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5D08" w:rsidRPr="00E05D08" w:rsidRDefault="00E05D08" w:rsidP="00E05D08">
      <w:pPr>
        <w:spacing w:after="120" w:line="280" w:lineRule="atLeast"/>
        <w:mirrorIndents/>
        <w:rPr>
          <w:rFonts w:eastAsia="Times New Roman" w:cs="Times New Roman"/>
          <w:szCs w:val="20"/>
        </w:rPr>
      </w:pPr>
      <w:bookmarkStart w:id="0" w:name="_Hlk503275930"/>
      <w:r w:rsidRPr="00E05D08">
        <w:rPr>
          <w:rFonts w:eastAsia="Times New Roman" w:cs="Times New Roman"/>
          <w:noProof/>
          <w:szCs w:val="24"/>
          <w:lang w:val="en-GB" w:eastAsia="en-GB"/>
        </w:rPr>
        <mc:AlternateContent>
          <mc:Choice Requires="wps">
            <w:drawing>
              <wp:anchor distT="0" distB="0" distL="114300" distR="114300" simplePos="0" relativeHeight="251660288" behindDoc="1" locked="0" layoutInCell="1" allowOverlap="1" wp14:anchorId="152489BB" wp14:editId="35C492F1">
                <wp:simplePos x="0" y="0"/>
                <wp:positionH relativeFrom="page">
                  <wp:posOffset>2052320</wp:posOffset>
                </wp:positionH>
                <wp:positionV relativeFrom="page">
                  <wp:posOffset>5022850</wp:posOffset>
                </wp:positionV>
                <wp:extent cx="4958080" cy="3855720"/>
                <wp:effectExtent l="0" t="0" r="13970" b="11430"/>
                <wp:wrapTight wrapText="bothSides">
                  <wp:wrapPolygon edited="0">
                    <wp:start x="0" y="0"/>
                    <wp:lineTo x="0" y="21557"/>
                    <wp:lineTo x="21578" y="21557"/>
                    <wp:lineTo x="21578"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F8C" w:rsidRPr="00DD6E53" w:rsidRDefault="00533F8C" w:rsidP="00E05D08">
                            <w:pPr>
                              <w:pStyle w:val="HTitle1"/>
                            </w:pPr>
                            <w:r>
                              <w:t xml:space="preserve">Leitlinien </w:t>
                            </w:r>
                          </w:p>
                          <w:p w:rsidR="00533F8C" w:rsidRPr="00DD6E53" w:rsidRDefault="00533F8C" w:rsidP="00C947BA">
                            <w:pPr>
                              <w:pStyle w:val="HTitle2"/>
                              <w:jc w:val="left"/>
                            </w:pPr>
                            <w:bookmarkStart w:id="1" w:name="_Hlk501355929"/>
                            <w:r>
                              <w:t xml:space="preserve">Bewertung von Innovation in den </w:t>
                            </w:r>
                            <w:r>
                              <w:br/>
                              <w:t>Programmen zur Entwicklung des ländlichen Raums 2014-2020</w:t>
                            </w:r>
                            <w:bookmarkEnd w:id="1"/>
                            <w:r>
                              <w:t xml:space="preserve"> </w:t>
                            </w:r>
                          </w:p>
                          <w:p w:rsidR="00533F8C" w:rsidRPr="00DD6E53" w:rsidRDefault="00533F8C" w:rsidP="00E05D08">
                            <w:pPr>
                              <w:rPr>
                                <w:color w:val="6F6F6F"/>
                                <w:sz w:val="28"/>
                                <w:szCs w:val="28"/>
                              </w:rPr>
                            </w:pPr>
                          </w:p>
                          <w:p w:rsidR="00533F8C" w:rsidRDefault="00533F8C" w:rsidP="00E05D08">
                            <w:pPr>
                              <w:pStyle w:val="HTitle3"/>
                            </w:pPr>
                            <w:r>
                              <w:t xml:space="preserve">Dezember 2017 </w:t>
                            </w:r>
                          </w:p>
                          <w:p w:rsidR="00533F8C" w:rsidRDefault="00533F8C" w:rsidP="00E05D08">
                            <w:pPr>
                              <w:pStyle w:val="HTitle3"/>
                            </w:pPr>
                          </w:p>
                          <w:p w:rsidR="00533F8C" w:rsidRDefault="00533F8C" w:rsidP="00E05D08">
                            <w:pPr>
                              <w:pStyle w:val="HTitle3"/>
                            </w:pPr>
                          </w:p>
                          <w:p w:rsidR="00533F8C" w:rsidRDefault="00533F8C" w:rsidP="00E05D08">
                            <w:pPr>
                              <w:pStyle w:val="HTitle3"/>
                            </w:pPr>
                          </w:p>
                          <w:p w:rsidR="00533F8C" w:rsidRPr="00912430" w:rsidRDefault="00533F8C" w:rsidP="00912430">
                            <w:pPr>
                              <w:rPr>
                                <w:color w:val="auto"/>
                                <w:sz w:val="18"/>
                                <w:szCs w:val="18"/>
                              </w:rPr>
                            </w:pPr>
                            <w:r>
                              <w:rPr>
                                <w:i/>
                                <w:sz w:val="18"/>
                                <w:szCs w:val="18"/>
                              </w:rPr>
                              <w:t xml:space="preserve">Dieses Dokument enthält die Übersetzung der Leitlinien „Evaluation of Innovation in Rural Development Programmes 2014-2020“ in der Fassung vom Dezember 2017. Durch die Übersetzung sollen die Leitlinien für die einzelnen Interessengruppen hilfreicher und zugänglicher gemacht werden. Hinweis: Als endgültiger Referenztext gilt die englische Fassung. Die englische Fassung ist unter </w:t>
                            </w:r>
                            <w:hyperlink r:id="rId8" w:tgtFrame="_blank" w:history="1">
                              <w:r>
                                <w:rPr>
                                  <w:rStyle w:val="Hyperlink"/>
                                  <w:i/>
                                  <w:sz w:val="18"/>
                                  <w:szCs w:val="18"/>
                                </w:rPr>
                                <w:t>folgendem Link</w:t>
                              </w:r>
                            </w:hyperlink>
                            <w:r>
                              <w:rPr>
                                <w:rStyle w:val="Hyperlink"/>
                                <w:color w:val="auto"/>
                                <w:sz w:val="18"/>
                                <w:szCs w:val="18"/>
                                <w:u w:val="none"/>
                              </w:rPr>
                              <w:t xml:space="preserve"> abrufbar.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489BB" id="_x0000_t202" coordsize="21600,21600" o:spt="202" path="m,l,21600r21600,l21600,xe">
                <v:stroke joinstyle="miter"/>
                <v:path gradientshapeok="t" o:connecttype="rect"/>
              </v:shapetype>
              <v:shape id="Text Box 5" o:spid="_x0000_s1026" type="#_x0000_t202" style="position:absolute;left:0;text-align:left;margin-left:161.6pt;margin-top:395.5pt;width:390.4pt;height:303.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DQrwIAAKo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" filled="f" stroked="f">
                <v:textbox inset="0,0,0,0">
                  <w:txbxContent>
                    <w:p w:rsidR="00533F8C" w:rsidRPr="00DD6E53" w:rsidRDefault="00533F8C" w:rsidP="00E05D08">
                      <w:pPr>
                        <w:pStyle w:val="HTitle1"/>
                      </w:pPr>
                      <w:r>
                        <w:t xml:space="preserve">Leitlinien </w:t>
                      </w:r>
                    </w:p>
                    <w:p w:rsidR="00533F8C" w:rsidRPr="00DD6E53" w:rsidRDefault="00533F8C" w:rsidP="00C947BA">
                      <w:pPr>
                        <w:pStyle w:val="HTitle2"/>
                        <w:jc w:val="left"/>
                      </w:pPr>
                      <w:bookmarkStart w:id="2" w:name="_Hlk501355929"/>
                      <w:r>
                        <w:t xml:space="preserve">Bewertung von Innovation in den </w:t>
                      </w:r>
                      <w:r>
                        <w:br/>
                        <w:t>Programmen zur Entwicklung des ländlichen Raums 2014-2020</w:t>
                      </w:r>
                      <w:bookmarkEnd w:id="2"/>
                      <w:r>
                        <w:t xml:space="preserve"> </w:t>
                      </w:r>
                    </w:p>
                    <w:p w:rsidR="00533F8C" w:rsidRPr="00DD6E53" w:rsidRDefault="00533F8C" w:rsidP="00E05D08">
                      <w:pPr>
                        <w:rPr>
                          <w:color w:val="6F6F6F"/>
                          <w:sz w:val="28"/>
                          <w:szCs w:val="28"/>
                        </w:rPr>
                      </w:pPr>
                    </w:p>
                    <w:p w:rsidR="00533F8C" w:rsidRDefault="00533F8C" w:rsidP="00E05D08">
                      <w:pPr>
                        <w:pStyle w:val="HTitle3"/>
                      </w:pPr>
                      <w:r>
                        <w:t xml:space="preserve">Dezember 2017 </w:t>
                      </w:r>
                    </w:p>
                    <w:p w:rsidR="00533F8C" w:rsidRDefault="00533F8C" w:rsidP="00E05D08">
                      <w:pPr>
                        <w:pStyle w:val="HTitle3"/>
                      </w:pPr>
                    </w:p>
                    <w:p w:rsidR="00533F8C" w:rsidRDefault="00533F8C" w:rsidP="00E05D08">
                      <w:pPr>
                        <w:pStyle w:val="HTitle3"/>
                      </w:pPr>
                    </w:p>
                    <w:p w:rsidR="00533F8C" w:rsidRDefault="00533F8C" w:rsidP="00E05D08">
                      <w:pPr>
                        <w:pStyle w:val="HTitle3"/>
                      </w:pPr>
                    </w:p>
                    <w:p w:rsidR="00533F8C" w:rsidRPr="00912430" w:rsidRDefault="00533F8C" w:rsidP="00912430">
                      <w:pPr>
                        <w:rPr>
                          <w:color w:val="auto"/>
                          <w:sz w:val="18"/>
                          <w:szCs w:val="18"/>
                        </w:rPr>
                      </w:pPr>
                      <w:r>
                        <w:rPr>
                          <w:i/>
                          <w:sz w:val="18"/>
                          <w:szCs w:val="18"/>
                        </w:rPr>
                        <w:t xml:space="preserve">Dieses Dokument enthält die Übersetzung der Leitlinien „Evaluation of Innovation in Rural Development Programmes 2014-2020“ in der Fassung vom Dezember 2017. Durch die Übersetzung sollen die Leitlinien für die einzelnen Interessengruppen hilfreicher und zugänglicher gemacht werden. Hinweis: Als endgültiger Referenztext gilt die englische Fassung. Die englische Fassung ist unter </w:t>
                      </w:r>
                      <w:hyperlink r:id="rId9" w:tgtFrame="_blank" w:history="1">
                        <w:r>
                          <w:rPr>
                            <w:rStyle w:val="Hyperlink"/>
                            <w:i/>
                            <w:sz w:val="18"/>
                            <w:szCs w:val="18"/>
                          </w:rPr>
                          <w:t>folgendem Link</w:t>
                        </w:r>
                      </w:hyperlink>
                      <w:r>
                        <w:rPr>
                          <w:rStyle w:val="Hyperlink"/>
                          <w:color w:val="auto"/>
                          <w:sz w:val="18"/>
                          <w:szCs w:val="18"/>
                          <w:u w:val="none"/>
                        </w:rPr>
                        <w:t xml:space="preserve"> abrufbar.</w:t>
                      </w:r>
                    </w:p>
                  </w:txbxContent>
                </v:textbox>
                <w10:wrap type="tight" anchorx="page" anchory="page"/>
              </v:shape>
            </w:pict>
          </mc:Fallback>
        </mc:AlternateContent>
      </w:r>
      <w:r>
        <w:br w:type="page"/>
      </w:r>
    </w:p>
    <w:p w:rsidR="00E05D08" w:rsidRPr="00E05D08" w:rsidRDefault="00E05D08" w:rsidP="00E05D08">
      <w:pPr>
        <w:spacing w:after="120" w:line="280" w:lineRule="atLeast"/>
        <w:mirrorIndents/>
        <w:rPr>
          <w:rFonts w:eastAsia="Times New Roman" w:cs="Times New Roman"/>
          <w:szCs w:val="20"/>
        </w:rPr>
      </w:pPr>
      <w:r w:rsidRPr="00E05D08">
        <w:rPr>
          <w:rFonts w:eastAsia="Times New Roman" w:cs="Times New Roman"/>
          <w:noProof/>
          <w:szCs w:val="20"/>
          <w:lang w:val="en-GB" w:eastAsia="en-GB"/>
        </w:rPr>
        <w:lastRenderedPageBreak/>
        <mc:AlternateContent>
          <mc:Choice Requires="wps">
            <w:drawing>
              <wp:anchor distT="0" distB="0" distL="114300" distR="114300" simplePos="0" relativeHeight="251661312" behindDoc="0" locked="0" layoutInCell="1" allowOverlap="1" wp14:anchorId="09FE9336" wp14:editId="06624488">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533F8C" w:rsidRPr="007F1B7F" w:rsidRDefault="00533F8C" w:rsidP="00E05D08">
                            <w:pPr>
                              <w:pStyle w:val="Normal12PTcouleurgris"/>
                              <w:rPr>
                                <w:sz w:val="18"/>
                              </w:rPr>
                            </w:pPr>
                            <w:r>
                              <w:rPr>
                                <w:sz w:val="18"/>
                              </w:rPr>
                              <w:t>Urheberrechtshinweis</w:t>
                            </w:r>
                          </w:p>
                          <w:p w:rsidR="00533F8C" w:rsidRPr="007F1B7F" w:rsidRDefault="00533F8C" w:rsidP="00E05D08">
                            <w:pPr>
                              <w:pStyle w:val="Normal12PTcouleurgris"/>
                              <w:rPr>
                                <w:sz w:val="18"/>
                              </w:rPr>
                            </w:pPr>
                            <w:r>
                              <w:rPr>
                                <w:sz w:val="18"/>
                              </w:rPr>
                              <w:t>© Europäische Union, 2017</w:t>
                            </w:r>
                          </w:p>
                          <w:p w:rsidR="00533F8C" w:rsidRPr="007F1B7F" w:rsidRDefault="00533F8C" w:rsidP="00E05D08">
                            <w:pPr>
                              <w:pStyle w:val="Normal12PTcouleurgris"/>
                              <w:rPr>
                                <w:sz w:val="18"/>
                              </w:rPr>
                            </w:pPr>
                            <w:r>
                              <w:rPr>
                                <w:sz w:val="18"/>
                              </w:rPr>
                              <w:t>Nachdruck mit Quellenangabe gestattet.</w:t>
                            </w:r>
                          </w:p>
                          <w:p w:rsidR="00533F8C" w:rsidRPr="0002668A" w:rsidRDefault="00533F8C" w:rsidP="00E05D08">
                            <w:pPr>
                              <w:pStyle w:val="Normal12PTcouleurgris"/>
                              <w:rPr>
                                <w:sz w:val="18"/>
                              </w:rPr>
                            </w:pPr>
                            <w:r>
                              <w:rPr>
                                <w:bCs/>
                                <w:sz w:val="18"/>
                                <w:u w:val="single"/>
                              </w:rPr>
                              <w:t>Empfohlene Zitierweise:</w:t>
                            </w:r>
                            <w:r>
                              <w:rPr>
                                <w:sz w:val="18"/>
                              </w:rPr>
                              <w:t xml:space="preserve"> </w:t>
                            </w:r>
                          </w:p>
                          <w:p w:rsidR="00533F8C" w:rsidRPr="0002668A" w:rsidRDefault="00533F8C" w:rsidP="00E05D08">
                            <w:pPr>
                              <w:pStyle w:val="Normal12PTcouleurgris"/>
                              <w:rPr>
                                <w:sz w:val="18"/>
                              </w:rPr>
                            </w:pPr>
                            <w:r>
                              <w:rPr>
                                <w:sz w:val="18"/>
                              </w:rPr>
                              <w:t>EUROPÄISCHE KOMMISSION – Generaldirektion Landwirtschaft und ländliche Entwicklung – Referat C.4 (2017): Leitlinien zur Bewertung von Innovation in den Programmen zur Entwicklung des ländlichen Raums 2014-2020.</w:t>
                            </w:r>
                          </w:p>
                          <w:p w:rsidR="00533F8C" w:rsidRPr="0002668A" w:rsidRDefault="00533F8C" w:rsidP="00E05D08">
                            <w:pPr>
                              <w:pStyle w:val="Normal12PTcouleurgris"/>
                              <w:rPr>
                                <w:bCs/>
                                <w:sz w:val="18"/>
                                <w:u w:val="single"/>
                              </w:rPr>
                            </w:pPr>
                            <w:r>
                              <w:rPr>
                                <w:bCs/>
                                <w:sz w:val="18"/>
                                <w:u w:val="single"/>
                              </w:rPr>
                              <w:t>Haftungsausschluss:</w:t>
                            </w:r>
                          </w:p>
                          <w:p w:rsidR="00533F8C" w:rsidRPr="0002668A" w:rsidRDefault="00533F8C" w:rsidP="00E05D08">
                            <w:pPr>
                              <w:pStyle w:val="Normal12PTcouleurgris"/>
                              <w:rPr>
                                <w:sz w:val="18"/>
                              </w:rPr>
                            </w:pPr>
                            <w:r>
                              <w:rPr>
                                <w:sz w:val="18"/>
                              </w:rPr>
                              <w:t>Die Informationen und Ansichten in diesem Bericht sind diejenigen des Autors bzw. der Autoren und geben nicht zwangsläufig die offizielle Position der Kommission wider. Die Kommission übernimmt keine Haftung für die Richtigkeit der in dem Bericht enthaltenen Daten. Weder die Kommission noch jegliche andere Person, die im Namen der Kommission handelt, kann für die etwaige Verwendung der darin enthaltenen Informationen haftbar gemacht werden.</w:t>
                            </w:r>
                          </w:p>
                          <w:p w:rsidR="00533F8C" w:rsidRPr="000B1DDA" w:rsidRDefault="00533F8C" w:rsidP="00E05D08">
                            <w:pPr>
                              <w:pStyle w:val="Normal12PTcouleurgris"/>
                            </w:pPr>
                          </w:p>
                          <w:p w:rsidR="00533F8C" w:rsidRPr="004D4D87" w:rsidRDefault="00533F8C" w:rsidP="00E05D08">
                            <w:pPr>
                              <w:pStyle w:val="Normal12PTcouleurgris"/>
                            </w:pPr>
                            <w:r>
                              <w:rPr>
                                <w:noProof/>
                                <w:lang w:val="en-GB" w:eastAsia="en-GB"/>
                              </w:rPr>
                              <w:drawing>
                                <wp:inline distT="0" distB="0" distL="0" distR="0" wp14:anchorId="01647917" wp14:editId="06861B22">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61CBAE88" wp14:editId="5DF3922D">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533F8C" w:rsidRPr="00E05D08" w:rsidRDefault="00533F8C" w:rsidP="00E05D08">
                            <w:pPr>
                              <w:pStyle w:val="Normal12PTcouleurgris"/>
                              <w:rPr>
                                <w:color w:val="BFBFBF"/>
                              </w:rPr>
                            </w:pPr>
                          </w:p>
                          <w:p w:rsidR="00533F8C" w:rsidRPr="007F1B7F" w:rsidRDefault="00533F8C" w:rsidP="00E05D08">
                            <w:pPr>
                              <w:pStyle w:val="Normal12PTcouleurgris"/>
                              <w:rPr>
                                <w:sz w:val="18"/>
                              </w:rPr>
                            </w:pPr>
                            <w:r>
                              <w:rPr>
                                <w:sz w:val="18"/>
                              </w:rPr>
                              <w:t>Der Evaluierungs-Helpdesk ist innerhalb des Europäischen Netzwerks für die Entwicklung des ländlichen Raums (ENRD) für die Evaluierungsaufgaben zuständig und stellt in diesem Rahmen Leitlinien für die Bewertung der Programme zur Entwicklung des ländlichen Raums und der politischen Strategien bereit, für die das Referat C.4 „Monitoring und Evaluierung“ der GD Landwirtschaft der Europäischen Kommission zuständig ist. Um die Bewertung der EU-Politik zur Entwicklung des ländlichen Raums zu verbessern, unterstützt der Evaluierungs-Helpdesk alle an der Bewertung Beteiligten – insbesondere die GD Landwirtschaft, die nationalen Behörden, die Verwaltungsbehörden der Programme sowie die Bewerter – durch die Erarbeitung und Verbreitung geeigneter Methoden und Instrumente; durch die Erfassung und den Austausch bewährter Verfahren; durch Kapazitätsaufbau und die Kommunikation mit den Mitgliedern des Netzwerks hinsichtlich bewertungsbezogener Fragen.</w:t>
                            </w:r>
                          </w:p>
                          <w:p w:rsidR="00533F8C" w:rsidRPr="007F1B7F" w:rsidRDefault="00533F8C" w:rsidP="00E05D08">
                            <w:pPr>
                              <w:pStyle w:val="Normal12PTcouleurgris"/>
                              <w:rPr>
                                <w:sz w:val="18"/>
                              </w:rPr>
                            </w:pPr>
                            <w:r>
                              <w:rPr>
                                <w:sz w:val="18"/>
                              </w:rPr>
                              <w:t>Zusätzliche Informationen über die Tätigkeiten des Europäischen Evaluierungs-Helpdesk für ländliche Entwicklung sind im Internet auf dem Europa-Server (http://enrd.ec.europa.eu) erhältlich.</w:t>
                            </w:r>
                          </w:p>
                          <w:p w:rsidR="00533F8C" w:rsidRPr="00811EF1" w:rsidRDefault="00533F8C" w:rsidP="00E05D08">
                            <w:pPr>
                              <w:pStyle w:val="Hdisclaim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E9336" id="Text Box 7" o:spid="_x0000_s1027" type="#_x0000_t202" style="position:absolute;left:0;text-align:left;margin-left:-33.55pt;margin-top:322.45pt;width:518.4pt;height:406.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y6GQ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" stroked="f">
                <v:fill opacity="0"/>
                <v:textbox>
                  <w:txbxContent>
                    <w:p w:rsidR="00533F8C" w:rsidRPr="007F1B7F" w:rsidRDefault="00533F8C" w:rsidP="00E05D08">
                      <w:pPr>
                        <w:pStyle w:val="Normal12PTcouleurgris"/>
                        <w:rPr>
                          <w:sz w:val="18"/>
                        </w:rPr>
                      </w:pPr>
                      <w:r>
                        <w:rPr>
                          <w:sz w:val="18"/>
                        </w:rPr>
                        <w:t>Urheberrechtshinweis</w:t>
                      </w:r>
                    </w:p>
                    <w:p w:rsidR="00533F8C" w:rsidRPr="007F1B7F" w:rsidRDefault="00533F8C" w:rsidP="00E05D08">
                      <w:pPr>
                        <w:pStyle w:val="Normal12PTcouleurgris"/>
                        <w:rPr>
                          <w:sz w:val="18"/>
                        </w:rPr>
                      </w:pPr>
                      <w:r>
                        <w:rPr>
                          <w:sz w:val="18"/>
                        </w:rPr>
                        <w:t>© Europäische Union, 2017</w:t>
                      </w:r>
                    </w:p>
                    <w:p w:rsidR="00533F8C" w:rsidRPr="007F1B7F" w:rsidRDefault="00533F8C" w:rsidP="00E05D08">
                      <w:pPr>
                        <w:pStyle w:val="Normal12PTcouleurgris"/>
                        <w:rPr>
                          <w:sz w:val="18"/>
                        </w:rPr>
                      </w:pPr>
                      <w:r>
                        <w:rPr>
                          <w:sz w:val="18"/>
                        </w:rPr>
                        <w:t>Nachdruck mit Quellenangabe gestattet.</w:t>
                      </w:r>
                    </w:p>
                    <w:p w:rsidR="00533F8C" w:rsidRPr="0002668A" w:rsidRDefault="00533F8C" w:rsidP="00E05D08">
                      <w:pPr>
                        <w:pStyle w:val="Normal12PTcouleurgris"/>
                        <w:rPr>
                          <w:sz w:val="18"/>
                        </w:rPr>
                      </w:pPr>
                      <w:r>
                        <w:rPr>
                          <w:bCs/>
                          <w:sz w:val="18"/>
                          <w:u w:val="single"/>
                        </w:rPr>
                        <w:t>Empfohlene Zitierweise:</w:t>
                      </w:r>
                      <w:r>
                        <w:rPr>
                          <w:sz w:val="18"/>
                        </w:rPr>
                        <w:t xml:space="preserve"> </w:t>
                      </w:r>
                    </w:p>
                    <w:p w:rsidR="00533F8C" w:rsidRPr="0002668A" w:rsidRDefault="00533F8C" w:rsidP="00E05D08">
                      <w:pPr>
                        <w:pStyle w:val="Normal12PTcouleurgris"/>
                        <w:rPr>
                          <w:sz w:val="18"/>
                        </w:rPr>
                      </w:pPr>
                      <w:r>
                        <w:rPr>
                          <w:sz w:val="18"/>
                        </w:rPr>
                        <w:t>EUROPÄISCHE KOMMISSION – Generaldirektion Landwirtschaft und ländliche Entwicklung – Referat C.4 (2017): Leitlinien zur Bewertung von Innovation in den Programmen zur Entwicklung des ländlichen Raums 2014-2020.</w:t>
                      </w:r>
                    </w:p>
                    <w:p w:rsidR="00533F8C" w:rsidRPr="0002668A" w:rsidRDefault="00533F8C" w:rsidP="00E05D08">
                      <w:pPr>
                        <w:pStyle w:val="Normal12PTcouleurgris"/>
                        <w:rPr>
                          <w:bCs/>
                          <w:sz w:val="18"/>
                          <w:u w:val="single"/>
                        </w:rPr>
                      </w:pPr>
                      <w:r>
                        <w:rPr>
                          <w:bCs/>
                          <w:sz w:val="18"/>
                          <w:u w:val="single"/>
                        </w:rPr>
                        <w:t>Haftungsausschluss:</w:t>
                      </w:r>
                    </w:p>
                    <w:p w:rsidR="00533F8C" w:rsidRPr="0002668A" w:rsidRDefault="00533F8C" w:rsidP="00E05D08">
                      <w:pPr>
                        <w:pStyle w:val="Normal12PTcouleurgris"/>
                        <w:rPr>
                          <w:sz w:val="18"/>
                        </w:rPr>
                      </w:pPr>
                      <w:r>
                        <w:rPr>
                          <w:sz w:val="18"/>
                        </w:rPr>
                        <w:t>Die Informationen und Ansichten in diesem Bericht sind diejenigen des Autors bzw. der Autoren und geben nicht zwangsläufig die offizielle Position der Kommission wider. Die Kommission übernimmt keine Haftung für die Richtigkeit der in dem Bericht enthaltenen Daten. Weder die Kommission noch jegliche andere Person, die im Namen der Kommission handelt, kann für die etwaige Verwendung der darin enthaltenen Informationen haftbar gemacht werden.</w:t>
                      </w:r>
                    </w:p>
                    <w:p w:rsidR="00533F8C" w:rsidRPr="000B1DDA" w:rsidRDefault="00533F8C" w:rsidP="00E05D08">
                      <w:pPr>
                        <w:pStyle w:val="Normal12PTcouleurgris"/>
                      </w:pPr>
                    </w:p>
                    <w:p w:rsidR="00533F8C" w:rsidRPr="004D4D87" w:rsidRDefault="00533F8C" w:rsidP="00E05D08">
                      <w:pPr>
                        <w:pStyle w:val="Normal12PTcouleurgris"/>
                      </w:pPr>
                      <w:r>
                        <w:rPr>
                          <w:noProof/>
                          <w:lang w:val="en-GB" w:eastAsia="en-GB"/>
                        </w:rPr>
                        <w:drawing>
                          <wp:inline distT="0" distB="0" distL="0" distR="0" wp14:anchorId="01647917" wp14:editId="06861B22">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61CBAE88" wp14:editId="5DF3922D">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533F8C" w:rsidRPr="00E05D08" w:rsidRDefault="00533F8C" w:rsidP="00E05D08">
                      <w:pPr>
                        <w:pStyle w:val="Normal12PTcouleurgris"/>
                        <w:rPr>
                          <w:color w:val="BFBFBF"/>
                        </w:rPr>
                      </w:pPr>
                    </w:p>
                    <w:p w:rsidR="00533F8C" w:rsidRPr="007F1B7F" w:rsidRDefault="00533F8C" w:rsidP="00E05D08">
                      <w:pPr>
                        <w:pStyle w:val="Normal12PTcouleurgris"/>
                        <w:rPr>
                          <w:sz w:val="18"/>
                        </w:rPr>
                      </w:pPr>
                      <w:r>
                        <w:rPr>
                          <w:sz w:val="18"/>
                        </w:rPr>
                        <w:t>Der Evaluierungs-Helpdesk ist innerhalb des Europäischen Netzwerks für die Entwicklung des ländlichen Raums (ENRD) für die Evaluierungsaufgaben zuständig und stellt in diesem Rahmen Leitlinien für die Bewertung der Programme zur Entwicklung des ländlichen Raums und der politischen Strategien bereit, für die das Referat C.4 „Monitoring und Evaluierung“ der GD Landwirtschaft der Europäischen Kommission zuständig ist. Um die Bewertung der EU-Politik zur Entwicklung des ländlichen Raums zu verbessern, unterstützt der Evaluierungs-Helpdesk alle an der Bewertung Beteiligten – insbesondere die GD Landwirtschaft, die nationalen Behörden, die Verwaltungsbehörden der Programme sowie die Bewerter – durch die Erarbeitung und Verbreitung geeigneter Methoden und Instrumente; durch die Erfassung und den Austausch bewährter Verfahren; durch Kapazitätsaufbau und die Kommunikation mit den Mitgliedern des Netzwerks hinsichtlich bewertungsbezogener Fragen.</w:t>
                      </w:r>
                    </w:p>
                    <w:p w:rsidR="00533F8C" w:rsidRPr="007F1B7F" w:rsidRDefault="00533F8C" w:rsidP="00E05D08">
                      <w:pPr>
                        <w:pStyle w:val="Normal12PTcouleurgris"/>
                        <w:rPr>
                          <w:sz w:val="18"/>
                        </w:rPr>
                      </w:pPr>
                      <w:r>
                        <w:rPr>
                          <w:sz w:val="18"/>
                        </w:rPr>
                        <w:t>Zusätzliche Informationen über die Tätigkeiten des Europäischen Evaluierungs-Helpdesk für ländliche Entwicklung sind im Internet auf dem Europa-Server (http://enrd.ec.europa.eu) erhältlich.</w:t>
                      </w:r>
                    </w:p>
                    <w:p w:rsidR="00533F8C" w:rsidRPr="00811EF1" w:rsidRDefault="00533F8C" w:rsidP="00E05D08">
                      <w:pPr>
                        <w:pStyle w:val="Hdisclaimer"/>
                      </w:pPr>
                    </w:p>
                  </w:txbxContent>
                </v:textbox>
                <w10:wrap anchorx="margin"/>
              </v:shape>
            </w:pict>
          </mc:Fallback>
        </mc:AlternateContent>
      </w:r>
      <w:r>
        <w:br w:type="page"/>
      </w: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rPr>
      </w:pPr>
      <w:r w:rsidRPr="00E05D08">
        <w:rPr>
          <w:rFonts w:eastAsia="Times New Roman" w:cs="Times New Roman"/>
          <w:noProof/>
          <w:szCs w:val="20"/>
          <w:lang w:val="en-GB" w:eastAsia="en-GB"/>
        </w:rPr>
        <mc:AlternateContent>
          <mc:Choice Requires="wps">
            <w:drawing>
              <wp:anchor distT="0" distB="0" distL="114300" distR="114300" simplePos="0" relativeHeight="251662336" behindDoc="1" locked="0" layoutInCell="1" allowOverlap="1" wp14:anchorId="02EBCB93" wp14:editId="2AED7723">
                <wp:simplePos x="0" y="0"/>
                <wp:positionH relativeFrom="page">
                  <wp:posOffset>2204720</wp:posOffset>
                </wp:positionH>
                <wp:positionV relativeFrom="page">
                  <wp:posOffset>5175250</wp:posOffset>
                </wp:positionV>
                <wp:extent cx="4958080" cy="3855720"/>
                <wp:effectExtent l="4445" t="3175" r="0" b="0"/>
                <wp:wrapTight wrapText="bothSides">
                  <wp:wrapPolygon edited="0">
                    <wp:start x="0" y="0"/>
                    <wp:lineTo x="21600" y="0"/>
                    <wp:lineTo x="21600" y="21600"/>
                    <wp:lineTo x="0" y="21600"/>
                    <wp:lineTo x="0" y="0"/>
                  </wp:wrapPolygon>
                </wp:wrapTight>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F8C" w:rsidRPr="002D3552" w:rsidRDefault="00533F8C" w:rsidP="00E05D08">
                            <w:pPr>
                              <w:pStyle w:val="HTitle1"/>
                            </w:pPr>
                            <w:r>
                              <w:t xml:space="preserve">Leitlinien </w:t>
                            </w:r>
                          </w:p>
                          <w:p w:rsidR="00533F8C" w:rsidRPr="00DD6E53" w:rsidRDefault="00533F8C" w:rsidP="00C947BA">
                            <w:pPr>
                              <w:pStyle w:val="HTitle2"/>
                              <w:jc w:val="left"/>
                            </w:pPr>
                            <w:r>
                              <w:t xml:space="preserve">Bewertung von Innovation in den </w:t>
                            </w:r>
                            <w:r>
                              <w:br/>
                              <w:t xml:space="preserve">Programmen zur Entwicklung des ländlichen Raums 2014-2020 </w:t>
                            </w:r>
                          </w:p>
                          <w:p w:rsidR="00533F8C" w:rsidRPr="00DD6E53" w:rsidRDefault="00533F8C" w:rsidP="00E05D08">
                            <w:pPr>
                              <w:rPr>
                                <w:color w:val="6F6F6F"/>
                                <w:sz w:val="28"/>
                                <w:szCs w:val="28"/>
                              </w:rPr>
                            </w:pPr>
                          </w:p>
                          <w:p w:rsidR="00533F8C" w:rsidRDefault="00533F8C" w:rsidP="00E05D08">
                            <w:pPr>
                              <w:pStyle w:val="HTitle3"/>
                            </w:pPr>
                            <w:r>
                              <w:t xml:space="preserve">Dezember 2017 </w:t>
                            </w:r>
                          </w:p>
                          <w:p w:rsidR="00533F8C" w:rsidRPr="00BE49CF" w:rsidRDefault="00533F8C" w:rsidP="00E05D08">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BCB93" id="Text Box 16" o:spid="_x0000_s1028" type="#_x0000_t202" style="position:absolute;left:0;text-align:left;margin-left:173.6pt;margin-top:407.5pt;width:390.4pt;height:303.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Gt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cxdRrbMCAACy&#10;BQAADgAAAAAAAAAAAAAAAAAuAgAAZHJzL2Uyb0RvYy54bWxQSwECLQAUAAYACAAAACEAec+11OEA&#10;AAANAQAADwAAAAAAAAAAAAAAAAANBQAAZHJzL2Rvd25yZXYueG1sUEsFBgAAAAAEAAQA8wAAABsG&#10;AAAAAA==&#10;" filled="f" stroked="f">
                <v:textbox inset="0,0,0,0">
                  <w:txbxContent>
                    <w:p w:rsidR="00533F8C" w:rsidRPr="002D3552" w:rsidRDefault="00533F8C" w:rsidP="00E05D08">
                      <w:pPr>
                        <w:pStyle w:val="HTitle1"/>
                      </w:pPr>
                      <w:r>
                        <w:t xml:space="preserve">Leitlinien </w:t>
                      </w:r>
                    </w:p>
                    <w:p w:rsidR="00533F8C" w:rsidRPr="00DD6E53" w:rsidRDefault="00533F8C" w:rsidP="00C947BA">
                      <w:pPr>
                        <w:pStyle w:val="HTitle2"/>
                        <w:jc w:val="left"/>
                      </w:pPr>
                      <w:r>
                        <w:t xml:space="preserve">Bewertung von Innovation in den </w:t>
                      </w:r>
                      <w:r>
                        <w:br/>
                        <w:t xml:space="preserve">Programmen zur Entwicklung des ländlichen Raums 2014-2020 </w:t>
                      </w:r>
                    </w:p>
                    <w:p w:rsidR="00533F8C" w:rsidRPr="00DD6E53" w:rsidRDefault="00533F8C" w:rsidP="00E05D08">
                      <w:pPr>
                        <w:rPr>
                          <w:color w:val="6F6F6F"/>
                          <w:sz w:val="28"/>
                          <w:szCs w:val="28"/>
                        </w:rPr>
                      </w:pPr>
                    </w:p>
                    <w:p w:rsidR="00533F8C" w:rsidRDefault="00533F8C" w:rsidP="00E05D08">
                      <w:pPr>
                        <w:pStyle w:val="HTitle3"/>
                      </w:pPr>
                      <w:r>
                        <w:t xml:space="preserve">Dezember 2017 </w:t>
                      </w:r>
                    </w:p>
                    <w:p w:rsidR="00533F8C" w:rsidRPr="00BE49CF" w:rsidRDefault="00533F8C" w:rsidP="00E05D08">
                      <w:pPr>
                        <w:pStyle w:val="HTitle3"/>
                      </w:pPr>
                    </w:p>
                  </w:txbxContent>
                </v:textbox>
                <w10:wrap type="tight" anchorx="page" anchory="page"/>
              </v:shape>
            </w:pict>
          </mc:Fallback>
        </mc:AlternateContent>
      </w:r>
    </w:p>
    <w:p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BC211C">
          <w:headerReference w:type="default" r:id="rId12"/>
          <w:endnotePr>
            <w:numFmt w:val="decimal"/>
          </w:endnotePr>
          <w:pgSz w:w="11906" w:h="16838" w:code="9"/>
          <w:pgMar w:top="1440" w:right="1440" w:bottom="1134" w:left="1440" w:header="624" w:footer="709" w:gutter="0"/>
          <w:cols w:space="708"/>
          <w:titlePg/>
          <w:docGrid w:linePitch="360"/>
        </w:sectPr>
      </w:pPr>
    </w:p>
    <w:p w:rsidR="00405B0B" w:rsidRDefault="00405B0B"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lastRenderedPageBreak/>
        <w:br w:type="page"/>
      </w:r>
    </w:p>
    <w:p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b/>
          <w:bCs/>
          <w:caps/>
          <w:color w:val="F07E31"/>
          <w:szCs w:val="32"/>
        </w:rPr>
        <w:lastRenderedPageBreak/>
        <w:t>Inhaltsverzeichnis</w:t>
      </w:r>
    </w:p>
    <w:p w:rsidR="008518FD" w:rsidRDefault="009837FF" w:rsidP="008518FD">
      <w:pPr>
        <w:pStyle w:val="TOC1"/>
        <w:tabs>
          <w:tab w:val="right" w:leader="dot" w:pos="8931"/>
        </w:tabs>
        <w:ind w:right="545"/>
        <w:rPr>
          <w:rFonts w:asciiTheme="minorHAnsi" w:eastAsiaTheme="minorEastAsia" w:hAnsiTheme="minorHAnsi"/>
          <w:b w:val="0"/>
          <w:caps w:val="0"/>
          <w:noProof/>
          <w:color w:val="auto"/>
          <w:sz w:val="22"/>
          <w:lang w:val="el-GR" w:eastAsia="el-GR"/>
        </w:rPr>
      </w:pPr>
      <w:r>
        <w:rPr>
          <w:rFonts w:ascii="Helvetica LT Pro" w:eastAsia="Times New Roman" w:hAnsi="Helvetica LT Pro" w:cs="Times New Roman"/>
          <w:caps w:val="0"/>
          <w:color w:val="000000" w:themeColor="text1"/>
          <w:szCs w:val="20"/>
        </w:rPr>
        <w:fldChar w:fldCharType="begin"/>
      </w:r>
      <w:r>
        <w:rPr>
          <w:rFonts w:ascii="Helvetica LT Pro" w:eastAsia="Times New Roman" w:hAnsi="Helvetica LT Pro" w:cs="Times New Roman"/>
          <w:caps w:val="0"/>
          <w:color w:val="000000" w:themeColor="text1"/>
          <w:szCs w:val="20"/>
        </w:rPr>
        <w:instrText xml:space="preserve"> TOC \h \z \t "H_Heading 1;1;H_Heading 2;2;H_Heading 3;3" </w:instrText>
      </w:r>
      <w:r>
        <w:rPr>
          <w:rFonts w:ascii="Helvetica LT Pro" w:eastAsia="Times New Roman" w:hAnsi="Helvetica LT Pro" w:cs="Times New Roman"/>
          <w:caps w:val="0"/>
          <w:color w:val="000000" w:themeColor="text1"/>
          <w:szCs w:val="20"/>
        </w:rPr>
        <w:fldChar w:fldCharType="separate"/>
      </w:r>
      <w:hyperlink w:anchor="_Toc508377830" w:history="1">
        <w:r w:rsidR="008518FD" w:rsidRPr="00336873">
          <w:rPr>
            <w:rStyle w:val="Hyperlink"/>
            <w:noProof/>
          </w:rPr>
          <w:t>1.</w:t>
        </w:r>
        <w:r w:rsidR="008518FD">
          <w:rPr>
            <w:rFonts w:asciiTheme="minorHAnsi" w:eastAsiaTheme="minorEastAsia" w:hAnsiTheme="minorHAnsi"/>
            <w:b w:val="0"/>
            <w:caps w:val="0"/>
            <w:noProof/>
            <w:color w:val="auto"/>
            <w:sz w:val="22"/>
            <w:lang w:val="el-GR" w:eastAsia="el-GR"/>
          </w:rPr>
          <w:tab/>
        </w:r>
        <w:r w:rsidR="008518FD" w:rsidRPr="00336873">
          <w:rPr>
            <w:rStyle w:val="Hyperlink"/>
            <w:noProof/>
          </w:rPr>
          <w:t>KONZEPTIONELLER RAHMEN</w:t>
        </w:r>
        <w:r w:rsidR="008518FD">
          <w:rPr>
            <w:noProof/>
            <w:webHidden/>
          </w:rPr>
          <w:tab/>
        </w:r>
        <w:r w:rsidR="008518FD">
          <w:rPr>
            <w:noProof/>
            <w:webHidden/>
          </w:rPr>
          <w:fldChar w:fldCharType="begin"/>
        </w:r>
        <w:r w:rsidR="008518FD">
          <w:rPr>
            <w:noProof/>
            <w:webHidden/>
          </w:rPr>
          <w:instrText xml:space="preserve"> PAGEREF _Toc508377830 \h </w:instrText>
        </w:r>
        <w:r w:rsidR="008518FD">
          <w:rPr>
            <w:noProof/>
            <w:webHidden/>
          </w:rPr>
        </w:r>
        <w:r w:rsidR="008518FD">
          <w:rPr>
            <w:noProof/>
            <w:webHidden/>
          </w:rPr>
          <w:fldChar w:fldCharType="separate"/>
        </w:r>
        <w:r w:rsidR="007926F6">
          <w:rPr>
            <w:noProof/>
            <w:webHidden/>
          </w:rPr>
          <w:t>4</w:t>
        </w:r>
        <w:r w:rsidR="008518FD">
          <w:rPr>
            <w:noProof/>
            <w:webHidden/>
          </w:rPr>
          <w:fldChar w:fldCharType="end"/>
        </w:r>
      </w:hyperlink>
    </w:p>
    <w:p w:rsidR="008518FD" w:rsidRDefault="00533F8C" w:rsidP="00122217">
      <w:pPr>
        <w:pStyle w:val="TOC2"/>
        <w:rPr>
          <w:rFonts w:asciiTheme="minorHAnsi" w:eastAsiaTheme="minorEastAsia" w:hAnsiTheme="minorHAnsi"/>
          <w:noProof/>
          <w:color w:val="auto"/>
          <w:sz w:val="22"/>
          <w:lang w:val="el-GR" w:eastAsia="el-GR"/>
        </w:rPr>
      </w:pPr>
      <w:hyperlink w:anchor="_Toc508377831" w:history="1">
        <w:r w:rsidR="008518FD" w:rsidRPr="00336873">
          <w:rPr>
            <w:rStyle w:val="Hyperlink"/>
            <w:noProof/>
          </w:rPr>
          <w:t>1.1</w:t>
        </w:r>
        <w:r w:rsidR="008518FD">
          <w:rPr>
            <w:rFonts w:asciiTheme="minorHAnsi" w:eastAsiaTheme="minorEastAsia" w:hAnsiTheme="minorHAnsi"/>
            <w:noProof/>
            <w:color w:val="auto"/>
            <w:sz w:val="22"/>
            <w:lang w:val="el-GR" w:eastAsia="el-GR"/>
          </w:rPr>
          <w:tab/>
        </w:r>
        <w:r w:rsidR="008518FD" w:rsidRPr="00336873">
          <w:rPr>
            <w:rStyle w:val="Hyperlink"/>
            <w:noProof/>
          </w:rPr>
          <w:t>Innovation und die Entwicklung des ländlichen Raums</w:t>
        </w:r>
        <w:r w:rsidR="008518FD">
          <w:rPr>
            <w:noProof/>
            <w:webHidden/>
          </w:rPr>
          <w:tab/>
        </w:r>
        <w:r w:rsidR="008518FD">
          <w:rPr>
            <w:noProof/>
            <w:webHidden/>
          </w:rPr>
          <w:fldChar w:fldCharType="begin"/>
        </w:r>
        <w:r w:rsidR="008518FD">
          <w:rPr>
            <w:noProof/>
            <w:webHidden/>
          </w:rPr>
          <w:instrText xml:space="preserve"> PAGEREF _Toc508377831 \h </w:instrText>
        </w:r>
        <w:r w:rsidR="008518FD">
          <w:rPr>
            <w:noProof/>
            <w:webHidden/>
          </w:rPr>
        </w:r>
        <w:r w:rsidR="008518FD">
          <w:rPr>
            <w:noProof/>
            <w:webHidden/>
          </w:rPr>
          <w:fldChar w:fldCharType="separate"/>
        </w:r>
        <w:r w:rsidR="007926F6">
          <w:rPr>
            <w:noProof/>
            <w:webHidden/>
          </w:rPr>
          <w:t>4</w:t>
        </w:r>
        <w:r w:rsidR="008518FD">
          <w:rPr>
            <w:noProof/>
            <w:webHidden/>
          </w:rPr>
          <w:fldChar w:fldCharType="end"/>
        </w:r>
      </w:hyperlink>
    </w:p>
    <w:p w:rsidR="008518FD" w:rsidRDefault="00533F8C">
      <w:pPr>
        <w:pStyle w:val="TOC2"/>
        <w:rPr>
          <w:rFonts w:asciiTheme="minorHAnsi" w:eastAsiaTheme="minorEastAsia" w:hAnsiTheme="minorHAnsi"/>
          <w:noProof/>
          <w:color w:val="auto"/>
          <w:sz w:val="22"/>
          <w:lang w:val="el-GR" w:eastAsia="el-GR"/>
        </w:rPr>
      </w:pPr>
      <w:hyperlink w:anchor="_Toc508377832" w:history="1">
        <w:r w:rsidR="008518FD" w:rsidRPr="00336873">
          <w:rPr>
            <w:rStyle w:val="Hyperlink"/>
            <w:noProof/>
          </w:rPr>
          <w:t>1.2</w:t>
        </w:r>
        <w:r w:rsidR="008518FD">
          <w:rPr>
            <w:rFonts w:asciiTheme="minorHAnsi" w:eastAsiaTheme="minorEastAsia" w:hAnsiTheme="minorHAnsi"/>
            <w:noProof/>
            <w:color w:val="auto"/>
            <w:sz w:val="22"/>
            <w:lang w:val="el-GR" w:eastAsia="el-GR"/>
          </w:rPr>
          <w:tab/>
        </w:r>
        <w:r w:rsidR="008518FD" w:rsidRPr="00336873">
          <w:rPr>
            <w:rStyle w:val="Hyperlink"/>
            <w:noProof/>
          </w:rPr>
          <w:t>Der politische Rahmen der EU</w:t>
        </w:r>
        <w:r w:rsidR="008518FD">
          <w:rPr>
            <w:noProof/>
            <w:webHidden/>
          </w:rPr>
          <w:tab/>
        </w:r>
        <w:r w:rsidR="008518FD">
          <w:rPr>
            <w:noProof/>
            <w:webHidden/>
          </w:rPr>
          <w:fldChar w:fldCharType="begin"/>
        </w:r>
        <w:r w:rsidR="008518FD">
          <w:rPr>
            <w:noProof/>
            <w:webHidden/>
          </w:rPr>
          <w:instrText xml:space="preserve"> PAGEREF _Toc508377832 \h </w:instrText>
        </w:r>
        <w:r w:rsidR="008518FD">
          <w:rPr>
            <w:noProof/>
            <w:webHidden/>
          </w:rPr>
        </w:r>
        <w:r w:rsidR="008518FD">
          <w:rPr>
            <w:noProof/>
            <w:webHidden/>
          </w:rPr>
          <w:fldChar w:fldCharType="separate"/>
        </w:r>
        <w:r w:rsidR="007926F6">
          <w:rPr>
            <w:noProof/>
            <w:webHidden/>
          </w:rPr>
          <w:t>13</w:t>
        </w:r>
        <w:r w:rsidR="008518FD">
          <w:rPr>
            <w:noProof/>
            <w:webHidden/>
          </w:rPr>
          <w:fldChar w:fldCharType="end"/>
        </w:r>
      </w:hyperlink>
    </w:p>
    <w:p w:rsidR="008518FD" w:rsidRDefault="00533F8C" w:rsidP="008518FD">
      <w:pPr>
        <w:pStyle w:val="TOC3"/>
        <w:tabs>
          <w:tab w:val="right" w:leader="dot" w:pos="8931"/>
        </w:tabs>
        <w:ind w:right="545"/>
        <w:rPr>
          <w:rFonts w:asciiTheme="minorHAnsi" w:eastAsiaTheme="minorEastAsia" w:hAnsiTheme="minorHAnsi"/>
          <w:noProof/>
          <w:color w:val="auto"/>
          <w:sz w:val="22"/>
          <w:lang w:val="el-GR" w:eastAsia="el-GR"/>
        </w:rPr>
      </w:pPr>
      <w:hyperlink w:anchor="_Toc508377833" w:history="1">
        <w:r w:rsidR="008518FD" w:rsidRPr="00336873">
          <w:rPr>
            <w:rStyle w:val="Hyperlink"/>
            <w:noProof/>
          </w:rPr>
          <w:t>1.2.1</w:t>
        </w:r>
        <w:r w:rsidR="008518FD">
          <w:rPr>
            <w:rFonts w:asciiTheme="minorHAnsi" w:eastAsiaTheme="minorEastAsia" w:hAnsiTheme="minorHAnsi"/>
            <w:noProof/>
            <w:color w:val="auto"/>
            <w:sz w:val="22"/>
            <w:lang w:val="el-GR" w:eastAsia="el-GR"/>
          </w:rPr>
          <w:tab/>
        </w:r>
        <w:r w:rsidR="008518FD" w:rsidRPr="00336873">
          <w:rPr>
            <w:rStyle w:val="Hyperlink"/>
            <w:noProof/>
          </w:rPr>
          <w:t>Die Innovationspolitik im Rahmen der EU- und der Politik zur Entwicklung des ländlichen Raums</w:t>
        </w:r>
        <w:r w:rsidR="008518FD">
          <w:rPr>
            <w:noProof/>
            <w:webHidden/>
          </w:rPr>
          <w:tab/>
        </w:r>
        <w:r w:rsidR="008518FD">
          <w:rPr>
            <w:noProof/>
            <w:webHidden/>
          </w:rPr>
          <w:fldChar w:fldCharType="begin"/>
        </w:r>
        <w:r w:rsidR="008518FD">
          <w:rPr>
            <w:noProof/>
            <w:webHidden/>
          </w:rPr>
          <w:instrText xml:space="preserve"> PAGEREF _Toc508377833 \h </w:instrText>
        </w:r>
        <w:r w:rsidR="008518FD">
          <w:rPr>
            <w:noProof/>
            <w:webHidden/>
          </w:rPr>
        </w:r>
        <w:r w:rsidR="008518FD">
          <w:rPr>
            <w:noProof/>
            <w:webHidden/>
          </w:rPr>
          <w:fldChar w:fldCharType="separate"/>
        </w:r>
        <w:r w:rsidR="007926F6">
          <w:rPr>
            <w:noProof/>
            <w:webHidden/>
          </w:rPr>
          <w:t>13</w:t>
        </w:r>
        <w:r w:rsidR="008518FD">
          <w:rPr>
            <w:noProof/>
            <w:webHidden/>
          </w:rPr>
          <w:fldChar w:fldCharType="end"/>
        </w:r>
      </w:hyperlink>
    </w:p>
    <w:p w:rsidR="008518FD" w:rsidRDefault="00533F8C" w:rsidP="008518FD">
      <w:pPr>
        <w:pStyle w:val="TOC3"/>
        <w:tabs>
          <w:tab w:val="right" w:leader="dot" w:pos="8931"/>
        </w:tabs>
        <w:ind w:right="545"/>
        <w:rPr>
          <w:rFonts w:asciiTheme="minorHAnsi" w:eastAsiaTheme="minorEastAsia" w:hAnsiTheme="minorHAnsi"/>
          <w:noProof/>
          <w:color w:val="auto"/>
          <w:sz w:val="22"/>
          <w:lang w:val="el-GR" w:eastAsia="el-GR"/>
        </w:rPr>
      </w:pPr>
      <w:hyperlink w:anchor="_Toc508377834" w:history="1">
        <w:r w:rsidR="008518FD" w:rsidRPr="00336873">
          <w:rPr>
            <w:rStyle w:val="Hyperlink"/>
            <w:noProof/>
          </w:rPr>
          <w:t>1.2.2</w:t>
        </w:r>
        <w:r w:rsidR="008518FD">
          <w:rPr>
            <w:rFonts w:asciiTheme="minorHAnsi" w:eastAsiaTheme="minorEastAsia" w:hAnsiTheme="minorHAnsi"/>
            <w:noProof/>
            <w:color w:val="auto"/>
            <w:sz w:val="22"/>
            <w:lang w:val="el-GR" w:eastAsia="el-GR"/>
          </w:rPr>
          <w:tab/>
        </w:r>
        <w:r w:rsidR="008518FD" w:rsidRPr="00336873">
          <w:rPr>
            <w:rStyle w:val="Hyperlink"/>
            <w:noProof/>
          </w:rPr>
          <w:t>Die gemeinsamen Bewertungselemente für Innovation</w:t>
        </w:r>
        <w:r w:rsidR="008518FD">
          <w:rPr>
            <w:noProof/>
            <w:webHidden/>
          </w:rPr>
          <w:tab/>
        </w:r>
        <w:r w:rsidR="008518FD">
          <w:rPr>
            <w:noProof/>
            <w:webHidden/>
          </w:rPr>
          <w:fldChar w:fldCharType="begin"/>
        </w:r>
        <w:r w:rsidR="008518FD">
          <w:rPr>
            <w:noProof/>
            <w:webHidden/>
          </w:rPr>
          <w:instrText xml:space="preserve"> PAGEREF _Toc508377834 \h </w:instrText>
        </w:r>
        <w:r w:rsidR="008518FD">
          <w:rPr>
            <w:noProof/>
            <w:webHidden/>
          </w:rPr>
        </w:r>
        <w:r w:rsidR="008518FD">
          <w:rPr>
            <w:noProof/>
            <w:webHidden/>
          </w:rPr>
          <w:fldChar w:fldCharType="separate"/>
        </w:r>
        <w:r w:rsidR="007926F6">
          <w:rPr>
            <w:noProof/>
            <w:webHidden/>
          </w:rPr>
          <w:t>18</w:t>
        </w:r>
        <w:r w:rsidR="008518FD">
          <w:rPr>
            <w:noProof/>
            <w:webHidden/>
          </w:rPr>
          <w:fldChar w:fldCharType="end"/>
        </w:r>
      </w:hyperlink>
    </w:p>
    <w:p w:rsidR="008518FD" w:rsidRDefault="00533F8C" w:rsidP="00122217">
      <w:pPr>
        <w:pStyle w:val="TOC2"/>
        <w:rPr>
          <w:rFonts w:asciiTheme="minorHAnsi" w:eastAsiaTheme="minorEastAsia" w:hAnsiTheme="minorHAnsi"/>
          <w:noProof/>
          <w:color w:val="auto"/>
          <w:sz w:val="22"/>
          <w:lang w:val="el-GR" w:eastAsia="el-GR"/>
        </w:rPr>
      </w:pPr>
      <w:hyperlink w:anchor="_Toc508377835" w:history="1">
        <w:r w:rsidR="008518FD" w:rsidRPr="00336873">
          <w:rPr>
            <w:rStyle w:val="Hyperlink"/>
            <w:noProof/>
          </w:rPr>
          <w:t>1.3</w:t>
        </w:r>
        <w:r w:rsidR="008518FD">
          <w:rPr>
            <w:rFonts w:asciiTheme="minorHAnsi" w:eastAsiaTheme="minorEastAsia" w:hAnsiTheme="minorHAnsi"/>
            <w:noProof/>
            <w:color w:val="auto"/>
            <w:sz w:val="22"/>
            <w:lang w:val="el-GR" w:eastAsia="el-GR"/>
          </w:rPr>
          <w:tab/>
        </w:r>
        <w:r w:rsidR="008518FD" w:rsidRPr="00336873">
          <w:rPr>
            <w:rStyle w:val="Hyperlink"/>
            <w:noProof/>
          </w:rPr>
          <w:t>Herausforderungen bei der Bewertung von Innovation</w:t>
        </w:r>
        <w:r w:rsidR="008518FD">
          <w:rPr>
            <w:noProof/>
            <w:webHidden/>
          </w:rPr>
          <w:tab/>
        </w:r>
        <w:r w:rsidR="008518FD">
          <w:rPr>
            <w:noProof/>
            <w:webHidden/>
          </w:rPr>
          <w:fldChar w:fldCharType="begin"/>
        </w:r>
        <w:r w:rsidR="008518FD">
          <w:rPr>
            <w:noProof/>
            <w:webHidden/>
          </w:rPr>
          <w:instrText xml:space="preserve"> PAGEREF _Toc508377835 \h </w:instrText>
        </w:r>
        <w:r w:rsidR="008518FD">
          <w:rPr>
            <w:noProof/>
            <w:webHidden/>
          </w:rPr>
        </w:r>
        <w:r w:rsidR="008518FD">
          <w:rPr>
            <w:noProof/>
            <w:webHidden/>
          </w:rPr>
          <w:fldChar w:fldCharType="separate"/>
        </w:r>
        <w:r w:rsidR="007926F6">
          <w:rPr>
            <w:noProof/>
            <w:webHidden/>
          </w:rPr>
          <w:t>20</w:t>
        </w:r>
        <w:r w:rsidR="008518FD">
          <w:rPr>
            <w:noProof/>
            <w:webHidden/>
          </w:rPr>
          <w:fldChar w:fldCharType="end"/>
        </w:r>
      </w:hyperlink>
    </w:p>
    <w:p w:rsidR="008518FD" w:rsidRDefault="00533F8C" w:rsidP="008518FD">
      <w:pPr>
        <w:pStyle w:val="TOC1"/>
        <w:tabs>
          <w:tab w:val="right" w:leader="dot" w:pos="8931"/>
        </w:tabs>
        <w:ind w:right="545"/>
        <w:rPr>
          <w:rFonts w:asciiTheme="minorHAnsi" w:eastAsiaTheme="minorEastAsia" w:hAnsiTheme="minorHAnsi"/>
          <w:b w:val="0"/>
          <w:caps w:val="0"/>
          <w:noProof/>
          <w:color w:val="auto"/>
          <w:sz w:val="22"/>
          <w:lang w:val="el-GR" w:eastAsia="el-GR"/>
        </w:rPr>
      </w:pPr>
      <w:hyperlink w:anchor="_Toc508377836" w:history="1">
        <w:r w:rsidR="008518FD" w:rsidRPr="00336873">
          <w:rPr>
            <w:rStyle w:val="Hyperlink"/>
            <w:noProof/>
          </w:rPr>
          <w:t>2.</w:t>
        </w:r>
        <w:r w:rsidR="008518FD">
          <w:rPr>
            <w:rFonts w:asciiTheme="minorHAnsi" w:eastAsiaTheme="minorEastAsia" w:hAnsiTheme="minorHAnsi"/>
            <w:b w:val="0"/>
            <w:caps w:val="0"/>
            <w:noProof/>
            <w:color w:val="auto"/>
            <w:sz w:val="22"/>
            <w:lang w:val="el-GR" w:eastAsia="el-GR"/>
          </w:rPr>
          <w:tab/>
        </w:r>
        <w:r w:rsidR="008518FD" w:rsidRPr="00336873">
          <w:rPr>
            <w:rStyle w:val="Hyperlink"/>
            <w:noProof/>
          </w:rPr>
          <w:t>Bewertung von Innovation in den Programmen zur Entwicklung des ländlichen Raums</w:t>
        </w:r>
        <w:r w:rsidR="008518FD">
          <w:rPr>
            <w:noProof/>
            <w:webHidden/>
          </w:rPr>
          <w:tab/>
        </w:r>
        <w:r w:rsidR="008518FD">
          <w:rPr>
            <w:noProof/>
            <w:webHidden/>
          </w:rPr>
          <w:fldChar w:fldCharType="begin"/>
        </w:r>
        <w:r w:rsidR="008518FD">
          <w:rPr>
            <w:noProof/>
            <w:webHidden/>
          </w:rPr>
          <w:instrText xml:space="preserve"> PAGEREF _Toc508377836 \h </w:instrText>
        </w:r>
        <w:r w:rsidR="008518FD">
          <w:rPr>
            <w:noProof/>
            <w:webHidden/>
          </w:rPr>
        </w:r>
        <w:r w:rsidR="008518FD">
          <w:rPr>
            <w:noProof/>
            <w:webHidden/>
          </w:rPr>
          <w:fldChar w:fldCharType="separate"/>
        </w:r>
        <w:r w:rsidR="007926F6">
          <w:rPr>
            <w:noProof/>
            <w:webHidden/>
          </w:rPr>
          <w:t>22</w:t>
        </w:r>
        <w:r w:rsidR="008518FD">
          <w:rPr>
            <w:noProof/>
            <w:webHidden/>
          </w:rPr>
          <w:fldChar w:fldCharType="end"/>
        </w:r>
      </w:hyperlink>
    </w:p>
    <w:p w:rsidR="008518FD" w:rsidRDefault="00533F8C" w:rsidP="00122217">
      <w:pPr>
        <w:pStyle w:val="TOC2"/>
        <w:rPr>
          <w:rFonts w:asciiTheme="minorHAnsi" w:eastAsiaTheme="minorEastAsia" w:hAnsiTheme="minorHAnsi"/>
          <w:noProof/>
          <w:color w:val="auto"/>
          <w:sz w:val="22"/>
          <w:lang w:val="el-GR" w:eastAsia="el-GR"/>
        </w:rPr>
      </w:pPr>
      <w:hyperlink w:anchor="_Toc508377837" w:history="1">
        <w:r w:rsidR="008518FD" w:rsidRPr="00336873">
          <w:rPr>
            <w:rStyle w:val="Hyperlink"/>
            <w:noProof/>
          </w:rPr>
          <w:t>2.1</w:t>
        </w:r>
        <w:r w:rsidR="008518FD">
          <w:rPr>
            <w:rFonts w:asciiTheme="minorHAnsi" w:eastAsiaTheme="minorEastAsia" w:hAnsiTheme="minorHAnsi"/>
            <w:noProof/>
            <w:color w:val="auto"/>
            <w:sz w:val="22"/>
            <w:lang w:val="el-GR" w:eastAsia="el-GR"/>
          </w:rPr>
          <w:tab/>
        </w:r>
        <w:r w:rsidR="008518FD" w:rsidRPr="00336873">
          <w:rPr>
            <w:rStyle w:val="Hyperlink"/>
            <w:noProof/>
          </w:rPr>
          <w:t>Empfohlenes Vorgehen bei der Bewertung von Innovation in den Programmen zur Entwicklung des ländlichen Raums 2014-2020 (Überblick)</w:t>
        </w:r>
        <w:r w:rsidR="008518FD">
          <w:rPr>
            <w:noProof/>
            <w:webHidden/>
          </w:rPr>
          <w:tab/>
        </w:r>
        <w:r w:rsidR="008518FD">
          <w:rPr>
            <w:noProof/>
            <w:webHidden/>
          </w:rPr>
          <w:fldChar w:fldCharType="begin"/>
        </w:r>
        <w:r w:rsidR="008518FD">
          <w:rPr>
            <w:noProof/>
            <w:webHidden/>
          </w:rPr>
          <w:instrText xml:space="preserve"> PAGEREF _Toc508377837 \h </w:instrText>
        </w:r>
        <w:r w:rsidR="008518FD">
          <w:rPr>
            <w:noProof/>
            <w:webHidden/>
          </w:rPr>
        </w:r>
        <w:r w:rsidR="008518FD">
          <w:rPr>
            <w:noProof/>
            <w:webHidden/>
          </w:rPr>
          <w:fldChar w:fldCharType="separate"/>
        </w:r>
        <w:r w:rsidR="007926F6">
          <w:rPr>
            <w:noProof/>
            <w:webHidden/>
          </w:rPr>
          <w:t>22</w:t>
        </w:r>
        <w:r w:rsidR="008518FD">
          <w:rPr>
            <w:noProof/>
            <w:webHidden/>
          </w:rPr>
          <w:fldChar w:fldCharType="end"/>
        </w:r>
      </w:hyperlink>
    </w:p>
    <w:p w:rsidR="008518FD" w:rsidRDefault="00533F8C">
      <w:pPr>
        <w:pStyle w:val="TOC2"/>
        <w:rPr>
          <w:rFonts w:asciiTheme="minorHAnsi" w:eastAsiaTheme="minorEastAsia" w:hAnsiTheme="minorHAnsi"/>
          <w:noProof/>
          <w:color w:val="auto"/>
          <w:sz w:val="22"/>
          <w:lang w:val="el-GR" w:eastAsia="el-GR"/>
        </w:rPr>
      </w:pPr>
      <w:hyperlink w:anchor="_Toc508377838" w:history="1">
        <w:r w:rsidR="008518FD" w:rsidRPr="00336873">
          <w:rPr>
            <w:rStyle w:val="Hyperlink"/>
            <w:noProof/>
          </w:rPr>
          <w:t>2.2</w:t>
        </w:r>
        <w:r w:rsidR="008518FD">
          <w:rPr>
            <w:rFonts w:asciiTheme="minorHAnsi" w:eastAsiaTheme="minorEastAsia" w:hAnsiTheme="minorHAnsi"/>
            <w:noProof/>
            <w:color w:val="auto"/>
            <w:sz w:val="22"/>
            <w:lang w:val="el-GR" w:eastAsia="el-GR"/>
          </w:rPr>
          <w:tab/>
        </w:r>
        <w:r w:rsidR="008518FD" w:rsidRPr="00336873">
          <w:rPr>
            <w:rStyle w:val="Hyperlink"/>
            <w:noProof/>
          </w:rPr>
          <w:t>Untersuchung des Innovationspotenzials der Maßnahmen/Teilmaßnahmen des Programms zur Entwicklung des ländlichen Raums (empfohlen)</w:t>
        </w:r>
        <w:r w:rsidR="008518FD">
          <w:rPr>
            <w:noProof/>
            <w:webHidden/>
          </w:rPr>
          <w:tab/>
        </w:r>
        <w:r w:rsidR="008518FD">
          <w:rPr>
            <w:noProof/>
            <w:webHidden/>
          </w:rPr>
          <w:fldChar w:fldCharType="begin"/>
        </w:r>
        <w:r w:rsidR="008518FD">
          <w:rPr>
            <w:noProof/>
            <w:webHidden/>
          </w:rPr>
          <w:instrText xml:space="preserve"> PAGEREF _Toc508377838 \h </w:instrText>
        </w:r>
        <w:r w:rsidR="008518FD">
          <w:rPr>
            <w:noProof/>
            <w:webHidden/>
          </w:rPr>
        </w:r>
        <w:r w:rsidR="008518FD">
          <w:rPr>
            <w:noProof/>
            <w:webHidden/>
          </w:rPr>
          <w:fldChar w:fldCharType="separate"/>
        </w:r>
        <w:r w:rsidR="007926F6">
          <w:rPr>
            <w:noProof/>
            <w:webHidden/>
          </w:rPr>
          <w:t>25</w:t>
        </w:r>
        <w:r w:rsidR="008518FD">
          <w:rPr>
            <w:noProof/>
            <w:webHidden/>
          </w:rPr>
          <w:fldChar w:fldCharType="end"/>
        </w:r>
      </w:hyperlink>
    </w:p>
    <w:p w:rsidR="008518FD" w:rsidRDefault="00533F8C">
      <w:pPr>
        <w:pStyle w:val="TOC2"/>
        <w:rPr>
          <w:rFonts w:asciiTheme="minorHAnsi" w:eastAsiaTheme="minorEastAsia" w:hAnsiTheme="minorHAnsi"/>
          <w:noProof/>
          <w:color w:val="auto"/>
          <w:sz w:val="22"/>
          <w:lang w:val="el-GR" w:eastAsia="el-GR"/>
        </w:rPr>
      </w:pPr>
      <w:hyperlink w:anchor="_Toc508377839" w:history="1">
        <w:r w:rsidR="008518FD" w:rsidRPr="00336873">
          <w:rPr>
            <w:rStyle w:val="Hyperlink"/>
            <w:noProof/>
          </w:rPr>
          <w:t>2.3</w:t>
        </w:r>
        <w:r w:rsidR="008518FD">
          <w:rPr>
            <w:rFonts w:asciiTheme="minorHAnsi" w:eastAsiaTheme="minorEastAsia" w:hAnsiTheme="minorHAnsi"/>
            <w:noProof/>
            <w:color w:val="auto"/>
            <w:sz w:val="22"/>
            <w:lang w:val="el-GR" w:eastAsia="el-GR"/>
          </w:rPr>
          <w:tab/>
        </w:r>
        <w:r w:rsidR="008518FD" w:rsidRPr="00336873">
          <w:rPr>
            <w:rStyle w:val="Hyperlink"/>
            <w:noProof/>
          </w:rPr>
          <w:t>Ergänzung der gemeinsamen Bewertungselemente für Innovation (empfohlen)</w:t>
        </w:r>
        <w:r w:rsidR="008518FD">
          <w:rPr>
            <w:noProof/>
            <w:webHidden/>
          </w:rPr>
          <w:tab/>
        </w:r>
        <w:r w:rsidR="008518FD">
          <w:rPr>
            <w:noProof/>
            <w:webHidden/>
          </w:rPr>
          <w:fldChar w:fldCharType="begin"/>
        </w:r>
        <w:r w:rsidR="008518FD">
          <w:rPr>
            <w:noProof/>
            <w:webHidden/>
          </w:rPr>
          <w:instrText xml:space="preserve"> PAGEREF _Toc508377839 \h </w:instrText>
        </w:r>
        <w:r w:rsidR="008518FD">
          <w:rPr>
            <w:noProof/>
            <w:webHidden/>
          </w:rPr>
        </w:r>
        <w:r w:rsidR="008518FD">
          <w:rPr>
            <w:noProof/>
            <w:webHidden/>
          </w:rPr>
          <w:fldChar w:fldCharType="separate"/>
        </w:r>
        <w:r w:rsidR="007926F6">
          <w:rPr>
            <w:noProof/>
            <w:webHidden/>
          </w:rPr>
          <w:t>30</w:t>
        </w:r>
        <w:r w:rsidR="008518FD">
          <w:rPr>
            <w:noProof/>
            <w:webHidden/>
          </w:rPr>
          <w:fldChar w:fldCharType="end"/>
        </w:r>
      </w:hyperlink>
    </w:p>
    <w:p w:rsidR="008518FD" w:rsidRDefault="00533F8C">
      <w:pPr>
        <w:pStyle w:val="TOC2"/>
        <w:rPr>
          <w:rFonts w:asciiTheme="minorHAnsi" w:eastAsiaTheme="minorEastAsia" w:hAnsiTheme="minorHAnsi"/>
          <w:noProof/>
          <w:color w:val="auto"/>
          <w:sz w:val="22"/>
          <w:lang w:val="el-GR" w:eastAsia="el-GR"/>
        </w:rPr>
      </w:pPr>
      <w:hyperlink w:anchor="_Toc508377840" w:history="1">
        <w:r w:rsidR="008518FD" w:rsidRPr="00336873">
          <w:rPr>
            <w:rStyle w:val="Hyperlink"/>
            <w:noProof/>
            <w:snapToGrid w:val="0"/>
          </w:rPr>
          <w:t>2.4</w:t>
        </w:r>
        <w:r w:rsidR="008518FD">
          <w:rPr>
            <w:rFonts w:asciiTheme="minorHAnsi" w:eastAsiaTheme="minorEastAsia" w:hAnsiTheme="minorHAnsi"/>
            <w:noProof/>
            <w:color w:val="auto"/>
            <w:sz w:val="22"/>
            <w:lang w:val="el-GR" w:eastAsia="el-GR"/>
          </w:rPr>
          <w:tab/>
        </w:r>
        <w:r w:rsidR="008518FD" w:rsidRPr="00336873">
          <w:rPr>
            <w:rStyle w:val="Hyperlink"/>
            <w:noProof/>
          </w:rPr>
          <w:t>Beantwortung der relevanten gemeinsamen Bewertungsfragen (</w:t>
        </w:r>
        <w:r w:rsidR="00794807">
          <w:rPr>
            <w:rStyle w:val="Hyperlink"/>
            <w:noProof/>
          </w:rPr>
          <w:t>obligatorisch</w:t>
        </w:r>
        <w:r w:rsidR="008518FD" w:rsidRPr="00336873">
          <w:rPr>
            <w:rStyle w:val="Hyperlink"/>
            <w:noProof/>
          </w:rPr>
          <w:t>)</w:t>
        </w:r>
        <w:r w:rsidR="008518FD">
          <w:rPr>
            <w:noProof/>
            <w:webHidden/>
          </w:rPr>
          <w:tab/>
        </w:r>
        <w:r w:rsidR="008518FD">
          <w:rPr>
            <w:noProof/>
            <w:webHidden/>
          </w:rPr>
          <w:fldChar w:fldCharType="begin"/>
        </w:r>
        <w:r w:rsidR="008518FD">
          <w:rPr>
            <w:noProof/>
            <w:webHidden/>
          </w:rPr>
          <w:instrText xml:space="preserve"> PAGEREF _Toc508377840 \h </w:instrText>
        </w:r>
        <w:r w:rsidR="008518FD">
          <w:rPr>
            <w:noProof/>
            <w:webHidden/>
          </w:rPr>
        </w:r>
        <w:r w:rsidR="008518FD">
          <w:rPr>
            <w:noProof/>
            <w:webHidden/>
          </w:rPr>
          <w:fldChar w:fldCharType="separate"/>
        </w:r>
        <w:r w:rsidR="007926F6">
          <w:rPr>
            <w:noProof/>
            <w:webHidden/>
          </w:rPr>
          <w:t>31</w:t>
        </w:r>
        <w:r w:rsidR="008518FD">
          <w:rPr>
            <w:noProof/>
            <w:webHidden/>
          </w:rPr>
          <w:fldChar w:fldCharType="end"/>
        </w:r>
      </w:hyperlink>
    </w:p>
    <w:p w:rsidR="008518FD" w:rsidRDefault="00533F8C" w:rsidP="008518FD">
      <w:pPr>
        <w:pStyle w:val="TOC3"/>
        <w:tabs>
          <w:tab w:val="right" w:leader="dot" w:pos="8931"/>
        </w:tabs>
        <w:ind w:right="545"/>
        <w:rPr>
          <w:rFonts w:asciiTheme="minorHAnsi" w:eastAsiaTheme="minorEastAsia" w:hAnsiTheme="minorHAnsi"/>
          <w:noProof/>
          <w:color w:val="auto"/>
          <w:sz w:val="22"/>
          <w:lang w:val="el-GR" w:eastAsia="el-GR"/>
        </w:rPr>
      </w:pPr>
      <w:hyperlink w:anchor="_Toc508377841" w:history="1">
        <w:r w:rsidR="008518FD" w:rsidRPr="00336873">
          <w:rPr>
            <w:rStyle w:val="Hyperlink"/>
            <w:noProof/>
          </w:rPr>
          <w:t>2.4.1</w:t>
        </w:r>
        <w:r w:rsidR="008518FD">
          <w:rPr>
            <w:rFonts w:asciiTheme="minorHAnsi" w:eastAsiaTheme="minorEastAsia" w:hAnsiTheme="minorHAnsi"/>
            <w:noProof/>
            <w:color w:val="auto"/>
            <w:sz w:val="22"/>
            <w:lang w:val="el-GR" w:eastAsia="el-GR"/>
          </w:rPr>
          <w:tab/>
        </w:r>
        <w:r w:rsidR="008518FD" w:rsidRPr="00336873">
          <w:rPr>
            <w:rStyle w:val="Hyperlink"/>
            <w:noProof/>
          </w:rPr>
          <w:t>CEQ Nr. 1: „In welchem Umfang wurden durch die Interventionen im Rahmen des Programms zur Entwicklung des ländlichen Raums die Innovation, die Zusammenarbeit und der Aufbau der Wissensbasis in ländlichen Gebieten gefördert?“</w:t>
        </w:r>
        <w:r w:rsidR="008518FD">
          <w:rPr>
            <w:noProof/>
            <w:webHidden/>
          </w:rPr>
          <w:tab/>
        </w:r>
        <w:r w:rsidR="008518FD">
          <w:rPr>
            <w:noProof/>
            <w:webHidden/>
          </w:rPr>
          <w:fldChar w:fldCharType="begin"/>
        </w:r>
        <w:r w:rsidR="008518FD">
          <w:rPr>
            <w:noProof/>
            <w:webHidden/>
          </w:rPr>
          <w:instrText xml:space="preserve"> PAGEREF _Toc508377841 \h </w:instrText>
        </w:r>
        <w:r w:rsidR="008518FD">
          <w:rPr>
            <w:noProof/>
            <w:webHidden/>
          </w:rPr>
        </w:r>
        <w:r w:rsidR="008518FD">
          <w:rPr>
            <w:noProof/>
            <w:webHidden/>
          </w:rPr>
          <w:fldChar w:fldCharType="separate"/>
        </w:r>
        <w:r w:rsidR="007926F6">
          <w:rPr>
            <w:noProof/>
            <w:webHidden/>
          </w:rPr>
          <w:t>32</w:t>
        </w:r>
        <w:r w:rsidR="008518FD">
          <w:rPr>
            <w:noProof/>
            <w:webHidden/>
          </w:rPr>
          <w:fldChar w:fldCharType="end"/>
        </w:r>
      </w:hyperlink>
    </w:p>
    <w:p w:rsidR="008518FD" w:rsidRDefault="00533F8C" w:rsidP="008518FD">
      <w:pPr>
        <w:pStyle w:val="TOC3"/>
        <w:tabs>
          <w:tab w:val="right" w:leader="dot" w:pos="8931"/>
        </w:tabs>
        <w:ind w:right="545"/>
        <w:rPr>
          <w:rFonts w:asciiTheme="minorHAnsi" w:eastAsiaTheme="minorEastAsia" w:hAnsiTheme="minorHAnsi"/>
          <w:noProof/>
          <w:color w:val="auto"/>
          <w:sz w:val="22"/>
          <w:lang w:val="el-GR" w:eastAsia="el-GR"/>
        </w:rPr>
      </w:pPr>
      <w:hyperlink w:anchor="_Toc508377842" w:history="1">
        <w:r w:rsidR="008518FD" w:rsidRPr="00336873">
          <w:rPr>
            <w:rStyle w:val="Hyperlink"/>
            <w:noProof/>
          </w:rPr>
          <w:t>2.4.2</w:t>
        </w:r>
        <w:r w:rsidR="008518FD">
          <w:rPr>
            <w:rFonts w:asciiTheme="minorHAnsi" w:eastAsiaTheme="minorEastAsia" w:hAnsiTheme="minorHAnsi"/>
            <w:noProof/>
            <w:color w:val="auto"/>
            <w:sz w:val="22"/>
            <w:lang w:val="el-GR" w:eastAsia="el-GR"/>
          </w:rPr>
          <w:tab/>
        </w:r>
        <w:r w:rsidR="008518FD" w:rsidRPr="00336873">
          <w:rPr>
            <w:rStyle w:val="Hyperlink"/>
            <w:noProof/>
          </w:rPr>
          <w:t>CEQ Nr. 2 „In welchem Umfang wurden durch die Interventionen im Rahmen des Programms zur Entwicklung des ländlichen Raums die Verbindungen zwischen Landwirtschaft, Nahrungsmittelerzeugung und Forstwirtschaft sowie Forschung und Innovation, unter anderem mit Blick auf ein besseres Umweltmanagement und eine bessere Umweltleistung, gestärkt?“</w:t>
        </w:r>
        <w:r w:rsidR="008518FD">
          <w:rPr>
            <w:noProof/>
            <w:webHidden/>
          </w:rPr>
          <w:tab/>
        </w:r>
        <w:r w:rsidR="008518FD">
          <w:rPr>
            <w:noProof/>
            <w:webHidden/>
          </w:rPr>
          <w:fldChar w:fldCharType="begin"/>
        </w:r>
        <w:r w:rsidR="008518FD">
          <w:rPr>
            <w:noProof/>
            <w:webHidden/>
          </w:rPr>
          <w:instrText xml:space="preserve"> PAGEREF _Toc508377842 \h </w:instrText>
        </w:r>
        <w:r w:rsidR="008518FD">
          <w:rPr>
            <w:noProof/>
            <w:webHidden/>
          </w:rPr>
        </w:r>
        <w:r w:rsidR="008518FD">
          <w:rPr>
            <w:noProof/>
            <w:webHidden/>
          </w:rPr>
          <w:fldChar w:fldCharType="separate"/>
        </w:r>
        <w:r w:rsidR="007926F6">
          <w:rPr>
            <w:noProof/>
            <w:webHidden/>
          </w:rPr>
          <w:t>43</w:t>
        </w:r>
        <w:r w:rsidR="008518FD">
          <w:rPr>
            <w:noProof/>
            <w:webHidden/>
          </w:rPr>
          <w:fldChar w:fldCharType="end"/>
        </w:r>
      </w:hyperlink>
    </w:p>
    <w:p w:rsidR="008518FD" w:rsidRDefault="00533F8C" w:rsidP="008518FD">
      <w:pPr>
        <w:pStyle w:val="TOC3"/>
        <w:tabs>
          <w:tab w:val="right" w:leader="dot" w:pos="8931"/>
        </w:tabs>
        <w:ind w:right="545"/>
        <w:rPr>
          <w:rFonts w:asciiTheme="minorHAnsi" w:eastAsiaTheme="minorEastAsia" w:hAnsiTheme="minorHAnsi"/>
          <w:noProof/>
          <w:color w:val="auto"/>
          <w:sz w:val="22"/>
          <w:lang w:val="el-GR" w:eastAsia="el-GR"/>
        </w:rPr>
      </w:pPr>
      <w:hyperlink w:anchor="_Toc508377843" w:history="1">
        <w:r w:rsidR="008518FD" w:rsidRPr="00336873">
          <w:rPr>
            <w:rStyle w:val="Hyperlink"/>
            <w:noProof/>
          </w:rPr>
          <w:t>2.4.3</w:t>
        </w:r>
        <w:r w:rsidR="008518FD">
          <w:rPr>
            <w:rFonts w:asciiTheme="minorHAnsi" w:eastAsiaTheme="minorEastAsia" w:hAnsiTheme="minorHAnsi"/>
            <w:noProof/>
            <w:color w:val="auto"/>
            <w:sz w:val="22"/>
            <w:lang w:val="el-GR" w:eastAsia="el-GR"/>
          </w:rPr>
          <w:tab/>
        </w:r>
        <w:r w:rsidR="008518FD" w:rsidRPr="00336873">
          <w:rPr>
            <w:rStyle w:val="Hyperlink"/>
            <w:noProof/>
          </w:rPr>
          <w:t>CEQ Nr. 21 „In welchem Umfang hat das nationale Netzwerk für den ländlichen Raum zur Erreichung der in Artikel 54 Absatz 2 der Verordnung (EU) Nr. 1305/2013 festgelegten Ziele beigetragen?“</w:t>
        </w:r>
        <w:r w:rsidR="008518FD">
          <w:rPr>
            <w:noProof/>
            <w:webHidden/>
          </w:rPr>
          <w:tab/>
        </w:r>
        <w:r w:rsidR="008518FD">
          <w:rPr>
            <w:noProof/>
            <w:webHidden/>
          </w:rPr>
          <w:fldChar w:fldCharType="begin"/>
        </w:r>
        <w:r w:rsidR="008518FD">
          <w:rPr>
            <w:noProof/>
            <w:webHidden/>
          </w:rPr>
          <w:instrText xml:space="preserve"> PAGEREF _Toc508377843 \h </w:instrText>
        </w:r>
        <w:r w:rsidR="008518FD">
          <w:rPr>
            <w:noProof/>
            <w:webHidden/>
          </w:rPr>
        </w:r>
        <w:r w:rsidR="008518FD">
          <w:rPr>
            <w:noProof/>
            <w:webHidden/>
          </w:rPr>
          <w:fldChar w:fldCharType="separate"/>
        </w:r>
        <w:r w:rsidR="007926F6">
          <w:rPr>
            <w:noProof/>
            <w:webHidden/>
          </w:rPr>
          <w:t>54</w:t>
        </w:r>
        <w:r w:rsidR="008518FD">
          <w:rPr>
            <w:noProof/>
            <w:webHidden/>
          </w:rPr>
          <w:fldChar w:fldCharType="end"/>
        </w:r>
      </w:hyperlink>
    </w:p>
    <w:p w:rsidR="008518FD" w:rsidRDefault="00533F8C" w:rsidP="008518FD">
      <w:pPr>
        <w:pStyle w:val="TOC3"/>
        <w:tabs>
          <w:tab w:val="right" w:leader="dot" w:pos="8931"/>
        </w:tabs>
        <w:ind w:right="545"/>
        <w:rPr>
          <w:rFonts w:asciiTheme="minorHAnsi" w:eastAsiaTheme="minorEastAsia" w:hAnsiTheme="minorHAnsi"/>
          <w:noProof/>
          <w:color w:val="auto"/>
          <w:sz w:val="22"/>
          <w:lang w:val="el-GR" w:eastAsia="el-GR"/>
        </w:rPr>
      </w:pPr>
      <w:hyperlink w:anchor="_Toc508377844" w:history="1">
        <w:r w:rsidR="008518FD" w:rsidRPr="00336873">
          <w:rPr>
            <w:rStyle w:val="Hyperlink"/>
            <w:noProof/>
          </w:rPr>
          <w:t>2.4.4</w:t>
        </w:r>
        <w:r w:rsidR="008518FD">
          <w:rPr>
            <w:rFonts w:asciiTheme="minorHAnsi" w:eastAsiaTheme="minorEastAsia" w:hAnsiTheme="minorHAnsi"/>
            <w:noProof/>
            <w:color w:val="auto"/>
            <w:sz w:val="22"/>
            <w:lang w:val="el-GR" w:eastAsia="el-GR"/>
          </w:rPr>
          <w:tab/>
        </w:r>
        <w:r w:rsidR="008518FD" w:rsidRPr="00336873">
          <w:rPr>
            <w:rStyle w:val="Hyperlink"/>
            <w:noProof/>
          </w:rPr>
          <w:t>CEQ Nr. 23: „In welchem Umfang hat das Programm zur Entwicklung des ländlichen Raums zur Erreichung des Kernziels der Strategie Europa 2020, 3 % des BIP der EU in Forschung, Entwicklung und Innovation zu investieren, beigetragen?“</w:t>
        </w:r>
        <w:r w:rsidR="008518FD">
          <w:rPr>
            <w:noProof/>
            <w:webHidden/>
          </w:rPr>
          <w:tab/>
        </w:r>
        <w:r w:rsidR="008518FD">
          <w:rPr>
            <w:noProof/>
            <w:webHidden/>
          </w:rPr>
          <w:fldChar w:fldCharType="begin"/>
        </w:r>
        <w:r w:rsidR="008518FD">
          <w:rPr>
            <w:noProof/>
            <w:webHidden/>
          </w:rPr>
          <w:instrText xml:space="preserve"> PAGEREF _Toc508377844 \h </w:instrText>
        </w:r>
        <w:r w:rsidR="008518FD">
          <w:rPr>
            <w:noProof/>
            <w:webHidden/>
          </w:rPr>
        </w:r>
        <w:r w:rsidR="008518FD">
          <w:rPr>
            <w:noProof/>
            <w:webHidden/>
          </w:rPr>
          <w:fldChar w:fldCharType="separate"/>
        </w:r>
        <w:r w:rsidR="007926F6">
          <w:rPr>
            <w:noProof/>
            <w:webHidden/>
          </w:rPr>
          <w:t>67</w:t>
        </w:r>
        <w:r w:rsidR="008518FD">
          <w:rPr>
            <w:noProof/>
            <w:webHidden/>
          </w:rPr>
          <w:fldChar w:fldCharType="end"/>
        </w:r>
      </w:hyperlink>
    </w:p>
    <w:p w:rsidR="008518FD" w:rsidRDefault="00533F8C" w:rsidP="008518FD">
      <w:pPr>
        <w:pStyle w:val="TOC3"/>
        <w:tabs>
          <w:tab w:val="right" w:leader="dot" w:pos="8931"/>
        </w:tabs>
        <w:ind w:right="545"/>
        <w:rPr>
          <w:rFonts w:asciiTheme="minorHAnsi" w:eastAsiaTheme="minorEastAsia" w:hAnsiTheme="minorHAnsi"/>
          <w:noProof/>
          <w:color w:val="auto"/>
          <w:sz w:val="22"/>
          <w:lang w:val="el-GR" w:eastAsia="el-GR"/>
        </w:rPr>
      </w:pPr>
      <w:hyperlink w:anchor="_Toc508377845" w:history="1">
        <w:r w:rsidR="008518FD" w:rsidRPr="00336873">
          <w:rPr>
            <w:rStyle w:val="Hyperlink"/>
            <w:noProof/>
          </w:rPr>
          <w:t>2.4.5</w:t>
        </w:r>
        <w:r w:rsidR="008518FD">
          <w:rPr>
            <w:rFonts w:asciiTheme="minorHAnsi" w:eastAsiaTheme="minorEastAsia" w:hAnsiTheme="minorHAnsi"/>
            <w:noProof/>
            <w:color w:val="auto"/>
            <w:sz w:val="22"/>
            <w:lang w:val="el-GR" w:eastAsia="el-GR"/>
          </w:rPr>
          <w:tab/>
        </w:r>
        <w:r w:rsidR="008518FD" w:rsidRPr="00336873">
          <w:rPr>
            <w:rStyle w:val="Hyperlink"/>
            <w:noProof/>
          </w:rPr>
          <w:t>CEQ Nr. 30: „In welchem Umfang hat das Programm zur Entwicklung des ländlichen Raums zur Förderung von Innovationen beigetragen?“</w:t>
        </w:r>
        <w:r w:rsidR="008518FD">
          <w:rPr>
            <w:noProof/>
            <w:webHidden/>
          </w:rPr>
          <w:tab/>
        </w:r>
        <w:r w:rsidR="008518FD">
          <w:rPr>
            <w:noProof/>
            <w:webHidden/>
          </w:rPr>
          <w:fldChar w:fldCharType="begin"/>
        </w:r>
        <w:r w:rsidR="008518FD">
          <w:rPr>
            <w:noProof/>
            <w:webHidden/>
          </w:rPr>
          <w:instrText xml:space="preserve"> PAGEREF _Toc508377845 \h </w:instrText>
        </w:r>
        <w:r w:rsidR="008518FD">
          <w:rPr>
            <w:noProof/>
            <w:webHidden/>
          </w:rPr>
        </w:r>
        <w:r w:rsidR="008518FD">
          <w:rPr>
            <w:noProof/>
            <w:webHidden/>
          </w:rPr>
          <w:fldChar w:fldCharType="separate"/>
        </w:r>
        <w:r w:rsidR="007926F6">
          <w:rPr>
            <w:noProof/>
            <w:webHidden/>
          </w:rPr>
          <w:t>75</w:t>
        </w:r>
        <w:r w:rsidR="008518FD">
          <w:rPr>
            <w:noProof/>
            <w:webHidden/>
          </w:rPr>
          <w:fldChar w:fldCharType="end"/>
        </w:r>
      </w:hyperlink>
    </w:p>
    <w:p w:rsidR="008518FD" w:rsidRDefault="00533F8C" w:rsidP="008518FD">
      <w:pPr>
        <w:pStyle w:val="TOC1"/>
        <w:tabs>
          <w:tab w:val="right" w:leader="dot" w:pos="8931"/>
        </w:tabs>
        <w:ind w:right="545"/>
        <w:rPr>
          <w:rFonts w:asciiTheme="minorHAnsi" w:eastAsiaTheme="minorEastAsia" w:hAnsiTheme="minorHAnsi"/>
          <w:b w:val="0"/>
          <w:caps w:val="0"/>
          <w:noProof/>
          <w:color w:val="auto"/>
          <w:sz w:val="22"/>
          <w:lang w:val="el-GR" w:eastAsia="el-GR"/>
        </w:rPr>
      </w:pPr>
      <w:hyperlink w:anchor="_Toc508377846" w:history="1">
        <w:r w:rsidR="008518FD" w:rsidRPr="00336873">
          <w:rPr>
            <w:rStyle w:val="Hyperlink"/>
            <w:noProof/>
          </w:rPr>
          <w:t>3.</w:t>
        </w:r>
        <w:r w:rsidR="008518FD">
          <w:rPr>
            <w:rFonts w:asciiTheme="minorHAnsi" w:eastAsiaTheme="minorEastAsia" w:hAnsiTheme="minorHAnsi"/>
            <w:b w:val="0"/>
            <w:caps w:val="0"/>
            <w:noProof/>
            <w:color w:val="auto"/>
            <w:sz w:val="22"/>
            <w:lang w:val="el-GR" w:eastAsia="el-GR"/>
          </w:rPr>
          <w:tab/>
        </w:r>
        <w:r w:rsidR="008518FD" w:rsidRPr="00336873">
          <w:rPr>
            <w:rStyle w:val="Hyperlink"/>
            <w:noProof/>
          </w:rPr>
          <w:t>ANHÄNGE</w:t>
        </w:r>
        <w:r w:rsidR="008518FD">
          <w:rPr>
            <w:noProof/>
            <w:webHidden/>
          </w:rPr>
          <w:tab/>
        </w:r>
        <w:r w:rsidR="008518FD">
          <w:rPr>
            <w:noProof/>
            <w:webHidden/>
          </w:rPr>
          <w:fldChar w:fldCharType="begin"/>
        </w:r>
        <w:r w:rsidR="008518FD">
          <w:rPr>
            <w:noProof/>
            <w:webHidden/>
          </w:rPr>
          <w:instrText xml:space="preserve"> PAGEREF _Toc508377846 \h </w:instrText>
        </w:r>
        <w:r w:rsidR="008518FD">
          <w:rPr>
            <w:noProof/>
            <w:webHidden/>
          </w:rPr>
        </w:r>
        <w:r w:rsidR="008518FD">
          <w:rPr>
            <w:noProof/>
            <w:webHidden/>
          </w:rPr>
          <w:fldChar w:fldCharType="separate"/>
        </w:r>
        <w:r w:rsidR="007926F6">
          <w:rPr>
            <w:noProof/>
            <w:webHidden/>
          </w:rPr>
          <w:t>90</w:t>
        </w:r>
        <w:r w:rsidR="008518FD">
          <w:rPr>
            <w:noProof/>
            <w:webHidden/>
          </w:rPr>
          <w:fldChar w:fldCharType="end"/>
        </w:r>
      </w:hyperlink>
    </w:p>
    <w:p w:rsidR="008518FD" w:rsidRDefault="00533F8C" w:rsidP="00122217">
      <w:pPr>
        <w:pStyle w:val="TOC2"/>
        <w:rPr>
          <w:rFonts w:asciiTheme="minorHAnsi" w:eastAsiaTheme="minorEastAsia" w:hAnsiTheme="minorHAnsi"/>
          <w:noProof/>
          <w:color w:val="auto"/>
          <w:sz w:val="22"/>
          <w:lang w:val="el-GR" w:eastAsia="el-GR"/>
        </w:rPr>
      </w:pPr>
      <w:hyperlink w:anchor="_Toc508377847" w:history="1">
        <w:r w:rsidR="008518FD" w:rsidRPr="00336873">
          <w:rPr>
            <w:rStyle w:val="Hyperlink"/>
            <w:noProof/>
          </w:rPr>
          <w:t>3.1</w:t>
        </w:r>
        <w:r w:rsidR="008518FD">
          <w:rPr>
            <w:rFonts w:asciiTheme="minorHAnsi" w:eastAsiaTheme="minorEastAsia" w:hAnsiTheme="minorHAnsi"/>
            <w:noProof/>
            <w:color w:val="auto"/>
            <w:sz w:val="22"/>
            <w:lang w:val="el-GR" w:eastAsia="el-GR"/>
          </w:rPr>
          <w:tab/>
        </w:r>
        <w:r w:rsidR="008518FD" w:rsidRPr="00336873">
          <w:rPr>
            <w:rStyle w:val="Hyperlink"/>
            <w:noProof/>
          </w:rPr>
          <w:t>Glossar</w:t>
        </w:r>
        <w:r w:rsidR="008518FD">
          <w:rPr>
            <w:noProof/>
            <w:webHidden/>
          </w:rPr>
          <w:tab/>
        </w:r>
        <w:r w:rsidR="008518FD">
          <w:rPr>
            <w:noProof/>
            <w:webHidden/>
          </w:rPr>
          <w:fldChar w:fldCharType="begin"/>
        </w:r>
        <w:r w:rsidR="008518FD">
          <w:rPr>
            <w:noProof/>
            <w:webHidden/>
          </w:rPr>
          <w:instrText xml:space="preserve"> PAGEREF _Toc508377847 \h </w:instrText>
        </w:r>
        <w:r w:rsidR="008518FD">
          <w:rPr>
            <w:noProof/>
            <w:webHidden/>
          </w:rPr>
        </w:r>
        <w:r w:rsidR="008518FD">
          <w:rPr>
            <w:noProof/>
            <w:webHidden/>
          </w:rPr>
          <w:fldChar w:fldCharType="separate"/>
        </w:r>
        <w:r w:rsidR="007926F6">
          <w:rPr>
            <w:noProof/>
            <w:webHidden/>
          </w:rPr>
          <w:t>90</w:t>
        </w:r>
        <w:r w:rsidR="008518FD">
          <w:rPr>
            <w:noProof/>
            <w:webHidden/>
          </w:rPr>
          <w:fldChar w:fldCharType="end"/>
        </w:r>
      </w:hyperlink>
    </w:p>
    <w:p w:rsidR="008518FD" w:rsidRDefault="00533F8C">
      <w:pPr>
        <w:pStyle w:val="TOC2"/>
        <w:rPr>
          <w:rFonts w:asciiTheme="minorHAnsi" w:eastAsiaTheme="minorEastAsia" w:hAnsiTheme="minorHAnsi"/>
          <w:noProof/>
          <w:color w:val="auto"/>
          <w:sz w:val="22"/>
          <w:lang w:val="el-GR" w:eastAsia="el-GR"/>
        </w:rPr>
      </w:pPr>
      <w:hyperlink w:anchor="_Toc508377848" w:history="1">
        <w:r w:rsidR="008518FD" w:rsidRPr="00336873">
          <w:rPr>
            <w:rStyle w:val="Hyperlink"/>
            <w:noProof/>
          </w:rPr>
          <w:t>3.2</w:t>
        </w:r>
        <w:r w:rsidR="008518FD">
          <w:rPr>
            <w:rFonts w:asciiTheme="minorHAnsi" w:eastAsiaTheme="minorEastAsia" w:hAnsiTheme="minorHAnsi"/>
            <w:noProof/>
            <w:color w:val="auto"/>
            <w:sz w:val="22"/>
            <w:lang w:val="el-GR" w:eastAsia="el-GR"/>
          </w:rPr>
          <w:tab/>
        </w:r>
        <w:r w:rsidR="008518FD" w:rsidRPr="00336873">
          <w:rPr>
            <w:rStyle w:val="Hyperlink"/>
            <w:noProof/>
          </w:rPr>
          <w:t>Ermittlung des Innovationspotenzials des Programms zur Entwicklung des ländlichen Raums: Schritt für Schritt</w:t>
        </w:r>
        <w:r w:rsidR="008518FD">
          <w:rPr>
            <w:noProof/>
            <w:webHidden/>
          </w:rPr>
          <w:tab/>
        </w:r>
        <w:r w:rsidR="008518FD">
          <w:rPr>
            <w:noProof/>
            <w:webHidden/>
          </w:rPr>
          <w:fldChar w:fldCharType="begin"/>
        </w:r>
        <w:r w:rsidR="008518FD">
          <w:rPr>
            <w:noProof/>
            <w:webHidden/>
          </w:rPr>
          <w:instrText xml:space="preserve"> PAGEREF _Toc508377848 \h </w:instrText>
        </w:r>
        <w:r w:rsidR="008518FD">
          <w:rPr>
            <w:noProof/>
            <w:webHidden/>
          </w:rPr>
        </w:r>
        <w:r w:rsidR="008518FD">
          <w:rPr>
            <w:noProof/>
            <w:webHidden/>
          </w:rPr>
          <w:fldChar w:fldCharType="separate"/>
        </w:r>
        <w:r w:rsidR="007926F6">
          <w:rPr>
            <w:noProof/>
            <w:webHidden/>
          </w:rPr>
          <w:t>93</w:t>
        </w:r>
        <w:r w:rsidR="008518FD">
          <w:rPr>
            <w:noProof/>
            <w:webHidden/>
          </w:rPr>
          <w:fldChar w:fldCharType="end"/>
        </w:r>
      </w:hyperlink>
    </w:p>
    <w:p w:rsidR="00501827" w:rsidRDefault="009837FF" w:rsidP="00E05D08">
      <w:pPr>
        <w:tabs>
          <w:tab w:val="left" w:pos="454"/>
          <w:tab w:val="right" w:leader="dot" w:pos="9072"/>
        </w:tabs>
        <w:suppressAutoHyphens/>
        <w:ind w:left="454" w:hanging="454"/>
        <w:rPr>
          <w:rFonts w:ascii="Helvetica LT Pro" w:eastAsia="Times New Roman" w:hAnsi="Helvetica LT Pro" w:cs="Times New Roman"/>
          <w:b/>
          <w:color w:val="000000" w:themeColor="text1"/>
          <w:szCs w:val="20"/>
        </w:rPr>
      </w:pPr>
      <w:r>
        <w:rPr>
          <w:rFonts w:ascii="Helvetica LT Pro" w:eastAsia="Times New Roman" w:hAnsi="Helvetica LT Pro" w:cs="Times New Roman"/>
          <w:caps/>
          <w:color w:val="000000" w:themeColor="text1"/>
          <w:szCs w:val="20"/>
        </w:rPr>
        <w:fldChar w:fldCharType="end"/>
      </w:r>
    </w:p>
    <w:p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b/>
          <w:bCs/>
          <w:caps/>
          <w:color w:val="F07E31"/>
          <w:szCs w:val="32"/>
        </w:rPr>
        <w:lastRenderedPageBreak/>
        <w:t>Tabellen und Abbildungen</w:t>
      </w:r>
    </w:p>
    <w:p w:rsidR="008518FD" w:rsidRDefault="00E05D08" w:rsidP="00122217">
      <w:pPr>
        <w:pStyle w:val="TOC2"/>
        <w:rPr>
          <w:rFonts w:asciiTheme="minorHAnsi" w:eastAsiaTheme="minorEastAsia" w:hAnsiTheme="minorHAnsi"/>
          <w:noProof/>
          <w:color w:val="auto"/>
          <w:sz w:val="22"/>
          <w:lang w:val="el-GR" w:eastAsia="el-GR"/>
        </w:rPr>
      </w:pPr>
      <w:r w:rsidRPr="00530DA6">
        <w:rPr>
          <w:rStyle w:val="Hyperlink"/>
          <w14:scene3d>
            <w14:camera w14:prst="orthographicFront"/>
            <w14:lightRig w14:rig="threePt" w14:dir="t">
              <w14:rot w14:lat="0" w14:lon="0" w14:rev="0"/>
            </w14:lightRig>
          </w14:scene3d>
        </w:rPr>
        <w:fldChar w:fldCharType="begin"/>
      </w:r>
      <w:r w:rsidRPr="00530DA6">
        <w:rPr>
          <w:rStyle w:val="Hyperlink"/>
          <w14:scene3d>
            <w14:camera w14:prst="orthographicFront"/>
            <w14:lightRig w14:rig="threePt" w14:dir="t">
              <w14:rot w14:lat="0" w14:lon="0" w14:rev="0"/>
            </w14:lightRig>
          </w14:scene3d>
        </w:rPr>
        <w:instrText xml:space="preserve"> TOC \h \z \t "H_Heading_tables;2" </w:instrText>
      </w:r>
      <w:r w:rsidRPr="00530DA6">
        <w:rPr>
          <w:rStyle w:val="Hyperlink"/>
          <w14:scene3d>
            <w14:camera w14:prst="orthographicFront"/>
            <w14:lightRig w14:rig="threePt" w14:dir="t">
              <w14:rot w14:lat="0" w14:lon="0" w14:rev="0"/>
            </w14:lightRig>
          </w14:scene3d>
        </w:rPr>
        <w:fldChar w:fldCharType="separate"/>
      </w:r>
      <w:hyperlink w:anchor="_Toc508377849" w:history="1">
        <w:r w:rsidR="008518FD" w:rsidRPr="008518FD">
          <w:rPr>
            <w:rStyle w:val="Hyperlink"/>
            <w:noProof/>
            <w14:scene3d>
              <w14:camera w14:prst="orthographicFront"/>
              <w14:lightRig w14:rig="threePt" w14:dir="t">
                <w14:rot w14:lat="0" w14:lon="0" w14:rev="0"/>
              </w14:lightRig>
            </w14:scene3d>
          </w:rPr>
          <w:t>Tabelle</w:t>
        </w:r>
        <w:r w:rsidR="008518FD" w:rsidRPr="00206C7A">
          <w:rPr>
            <w:rStyle w:val="Hyperlink"/>
            <w:noProof/>
            <w14:scene3d>
              <w14:camera w14:prst="orthographicFront"/>
              <w14:lightRig w14:rig="threePt" w14:dir="t">
                <w14:rot w14:lat="0" w14:lon="0" w14:rev="0"/>
              </w14:lightRig>
            </w14:scene3d>
          </w:rPr>
          <w:t xml:space="preserve"> 1.</w:t>
        </w:r>
        <w:r w:rsidR="008518FD">
          <w:rPr>
            <w:rFonts w:asciiTheme="minorHAnsi" w:eastAsiaTheme="minorEastAsia" w:hAnsiTheme="minorHAnsi"/>
            <w:noProof/>
            <w:color w:val="auto"/>
            <w:sz w:val="22"/>
            <w:lang w:val="el-GR" w:eastAsia="el-GR"/>
          </w:rPr>
          <w:tab/>
        </w:r>
        <w:r w:rsidR="008518FD" w:rsidRPr="00206C7A">
          <w:rPr>
            <w:rStyle w:val="Hyperlink"/>
            <w:noProof/>
          </w:rPr>
          <w:t>Beurteilungselemente und Informationsquellen in Zusammenhang mit CEQ Nr. 1</w:t>
        </w:r>
        <w:r w:rsidR="008518FD">
          <w:rPr>
            <w:noProof/>
            <w:webHidden/>
          </w:rPr>
          <w:tab/>
        </w:r>
        <w:r w:rsidR="008518FD">
          <w:rPr>
            <w:noProof/>
            <w:webHidden/>
          </w:rPr>
          <w:fldChar w:fldCharType="begin"/>
        </w:r>
        <w:r w:rsidR="008518FD">
          <w:rPr>
            <w:noProof/>
            <w:webHidden/>
          </w:rPr>
          <w:instrText xml:space="preserve"> PAGEREF _Toc508377849 \h </w:instrText>
        </w:r>
        <w:r w:rsidR="008518FD">
          <w:rPr>
            <w:noProof/>
            <w:webHidden/>
          </w:rPr>
        </w:r>
        <w:r w:rsidR="008518FD">
          <w:rPr>
            <w:noProof/>
            <w:webHidden/>
          </w:rPr>
          <w:fldChar w:fldCharType="separate"/>
        </w:r>
        <w:r w:rsidR="007926F6">
          <w:rPr>
            <w:noProof/>
            <w:webHidden/>
          </w:rPr>
          <w:t>36</w:t>
        </w:r>
        <w:r w:rsidR="008518FD">
          <w:rPr>
            <w:noProof/>
            <w:webHidden/>
          </w:rPr>
          <w:fldChar w:fldCharType="end"/>
        </w:r>
      </w:hyperlink>
    </w:p>
    <w:p w:rsidR="008518FD" w:rsidRDefault="00533F8C" w:rsidP="00122217">
      <w:pPr>
        <w:pStyle w:val="TOC2"/>
        <w:rPr>
          <w:rFonts w:asciiTheme="minorHAnsi" w:eastAsiaTheme="minorEastAsia" w:hAnsiTheme="minorHAnsi"/>
          <w:noProof/>
          <w:color w:val="auto"/>
          <w:sz w:val="22"/>
          <w:lang w:val="el-GR" w:eastAsia="el-GR"/>
        </w:rPr>
      </w:pPr>
      <w:hyperlink w:anchor="_Toc508377850" w:history="1">
        <w:r w:rsidR="008518FD" w:rsidRPr="008518FD">
          <w:rPr>
            <w:rStyle w:val="Hyperlink"/>
            <w:noProof/>
            <w14:scene3d>
              <w14:camera w14:prst="orthographicFront"/>
              <w14:lightRig w14:rig="threePt" w14:dir="t">
                <w14:rot w14:lat="0" w14:lon="0" w14:rev="0"/>
              </w14:lightRig>
            </w14:scene3d>
          </w:rPr>
          <w:t>Tabelle</w:t>
        </w:r>
        <w:r w:rsidR="008518FD" w:rsidRPr="00206C7A">
          <w:rPr>
            <w:rStyle w:val="Hyperlink"/>
            <w:noProof/>
            <w14:scene3d>
              <w14:camera w14:prst="orthographicFront"/>
              <w14:lightRig w14:rig="threePt" w14:dir="t">
                <w14:rot w14:lat="0" w14:lon="0" w14:rev="0"/>
              </w14:lightRig>
            </w14:scene3d>
          </w:rPr>
          <w:t xml:space="preserve"> 2.</w:t>
        </w:r>
        <w:r w:rsidR="008518FD">
          <w:rPr>
            <w:rFonts w:asciiTheme="minorHAnsi" w:eastAsiaTheme="minorEastAsia" w:hAnsiTheme="minorHAnsi"/>
            <w:noProof/>
            <w:color w:val="auto"/>
            <w:sz w:val="22"/>
            <w:lang w:val="el-GR" w:eastAsia="el-GR"/>
          </w:rPr>
          <w:tab/>
        </w:r>
        <w:r w:rsidR="008518FD" w:rsidRPr="00206C7A">
          <w:rPr>
            <w:rStyle w:val="Hyperlink"/>
            <w:noProof/>
          </w:rPr>
          <w:t>Empfohlene Methoden für CEQ Nr. 1:</w:t>
        </w:r>
        <w:r w:rsidR="008518FD">
          <w:rPr>
            <w:noProof/>
            <w:webHidden/>
          </w:rPr>
          <w:tab/>
        </w:r>
        <w:r w:rsidR="008518FD">
          <w:rPr>
            <w:noProof/>
            <w:webHidden/>
          </w:rPr>
          <w:fldChar w:fldCharType="begin"/>
        </w:r>
        <w:r w:rsidR="008518FD">
          <w:rPr>
            <w:noProof/>
            <w:webHidden/>
          </w:rPr>
          <w:instrText xml:space="preserve"> PAGEREF _Toc508377850 \h </w:instrText>
        </w:r>
        <w:r w:rsidR="008518FD">
          <w:rPr>
            <w:noProof/>
            <w:webHidden/>
          </w:rPr>
        </w:r>
        <w:r w:rsidR="008518FD">
          <w:rPr>
            <w:noProof/>
            <w:webHidden/>
          </w:rPr>
          <w:fldChar w:fldCharType="separate"/>
        </w:r>
        <w:r w:rsidR="007926F6">
          <w:rPr>
            <w:noProof/>
            <w:webHidden/>
          </w:rPr>
          <w:t>39</w:t>
        </w:r>
        <w:r w:rsidR="008518FD">
          <w:rPr>
            <w:noProof/>
            <w:webHidden/>
          </w:rPr>
          <w:fldChar w:fldCharType="end"/>
        </w:r>
      </w:hyperlink>
    </w:p>
    <w:p w:rsidR="008518FD" w:rsidRDefault="00533F8C" w:rsidP="00122217">
      <w:pPr>
        <w:pStyle w:val="TOC2"/>
        <w:rPr>
          <w:rFonts w:asciiTheme="minorHAnsi" w:eastAsiaTheme="minorEastAsia" w:hAnsiTheme="minorHAnsi"/>
          <w:noProof/>
          <w:color w:val="auto"/>
          <w:sz w:val="22"/>
          <w:lang w:val="el-GR" w:eastAsia="el-GR"/>
        </w:rPr>
      </w:pPr>
      <w:hyperlink w:anchor="_Toc508377851" w:history="1">
        <w:r w:rsidR="008518FD" w:rsidRPr="008518FD">
          <w:rPr>
            <w:rStyle w:val="Hyperlink"/>
            <w:noProof/>
            <w14:scene3d>
              <w14:camera w14:prst="orthographicFront"/>
              <w14:lightRig w14:rig="threePt" w14:dir="t">
                <w14:rot w14:lat="0" w14:lon="0" w14:rev="0"/>
              </w14:lightRig>
            </w14:scene3d>
          </w:rPr>
          <w:t>Tabelle</w:t>
        </w:r>
        <w:r w:rsidR="008518FD" w:rsidRPr="00206C7A">
          <w:rPr>
            <w:rStyle w:val="Hyperlink"/>
            <w:noProof/>
            <w14:scene3d>
              <w14:camera w14:prst="orthographicFront"/>
              <w14:lightRig w14:rig="threePt" w14:dir="t">
                <w14:rot w14:lat="0" w14:lon="0" w14:rev="0"/>
              </w14:lightRig>
            </w14:scene3d>
          </w:rPr>
          <w:t xml:space="preserve"> 3.</w:t>
        </w:r>
        <w:r w:rsidR="008518FD">
          <w:rPr>
            <w:rFonts w:asciiTheme="minorHAnsi" w:eastAsiaTheme="minorEastAsia" w:hAnsiTheme="minorHAnsi"/>
            <w:noProof/>
            <w:color w:val="auto"/>
            <w:sz w:val="22"/>
            <w:lang w:val="el-GR" w:eastAsia="el-GR"/>
          </w:rPr>
          <w:tab/>
        </w:r>
        <w:r w:rsidR="008518FD" w:rsidRPr="00206C7A">
          <w:rPr>
            <w:rStyle w:val="Hyperlink"/>
            <w:noProof/>
          </w:rPr>
          <w:t>Beurteilungskriterien, Indikatoren und Datenbedarf und -quellen</w:t>
        </w:r>
        <w:r w:rsidR="008518FD">
          <w:rPr>
            <w:noProof/>
            <w:webHidden/>
          </w:rPr>
          <w:tab/>
        </w:r>
        <w:r w:rsidR="008518FD">
          <w:rPr>
            <w:noProof/>
            <w:webHidden/>
          </w:rPr>
          <w:fldChar w:fldCharType="begin"/>
        </w:r>
        <w:r w:rsidR="008518FD">
          <w:rPr>
            <w:noProof/>
            <w:webHidden/>
          </w:rPr>
          <w:instrText xml:space="preserve"> PAGEREF _Toc508377851 \h </w:instrText>
        </w:r>
        <w:r w:rsidR="008518FD">
          <w:rPr>
            <w:noProof/>
            <w:webHidden/>
          </w:rPr>
        </w:r>
        <w:r w:rsidR="008518FD">
          <w:rPr>
            <w:noProof/>
            <w:webHidden/>
          </w:rPr>
          <w:fldChar w:fldCharType="separate"/>
        </w:r>
        <w:r w:rsidR="007926F6">
          <w:rPr>
            <w:noProof/>
            <w:webHidden/>
          </w:rPr>
          <w:t>48</w:t>
        </w:r>
        <w:r w:rsidR="008518FD">
          <w:rPr>
            <w:noProof/>
            <w:webHidden/>
          </w:rPr>
          <w:fldChar w:fldCharType="end"/>
        </w:r>
      </w:hyperlink>
    </w:p>
    <w:p w:rsidR="008518FD" w:rsidRDefault="00533F8C" w:rsidP="00122217">
      <w:pPr>
        <w:pStyle w:val="TOC2"/>
        <w:rPr>
          <w:rFonts w:asciiTheme="minorHAnsi" w:eastAsiaTheme="minorEastAsia" w:hAnsiTheme="minorHAnsi"/>
          <w:noProof/>
          <w:color w:val="auto"/>
          <w:sz w:val="22"/>
          <w:lang w:val="el-GR" w:eastAsia="el-GR"/>
        </w:rPr>
      </w:pPr>
      <w:hyperlink w:anchor="_Toc508377852" w:history="1">
        <w:r w:rsidR="008518FD" w:rsidRPr="008518FD">
          <w:rPr>
            <w:rStyle w:val="Hyperlink"/>
            <w:noProof/>
            <w14:scene3d>
              <w14:camera w14:prst="orthographicFront"/>
              <w14:lightRig w14:rig="threePt" w14:dir="t">
                <w14:rot w14:lat="0" w14:lon="0" w14:rev="0"/>
              </w14:lightRig>
            </w14:scene3d>
          </w:rPr>
          <w:t>Tabelle</w:t>
        </w:r>
        <w:r w:rsidR="008518FD" w:rsidRPr="00206C7A">
          <w:rPr>
            <w:rStyle w:val="Hyperlink"/>
            <w:noProof/>
            <w14:scene3d>
              <w14:camera w14:prst="orthographicFront"/>
              <w14:lightRig w14:rig="threePt" w14:dir="t">
                <w14:rot w14:lat="0" w14:lon="0" w14:rev="0"/>
              </w14:lightRig>
            </w14:scene3d>
          </w:rPr>
          <w:t xml:space="preserve"> 4.</w:t>
        </w:r>
        <w:r w:rsidR="008518FD">
          <w:rPr>
            <w:rFonts w:asciiTheme="minorHAnsi" w:eastAsiaTheme="minorEastAsia" w:hAnsiTheme="minorHAnsi"/>
            <w:noProof/>
            <w:color w:val="auto"/>
            <w:sz w:val="22"/>
            <w:lang w:val="el-GR" w:eastAsia="el-GR"/>
          </w:rPr>
          <w:tab/>
        </w:r>
        <w:r w:rsidR="008518FD" w:rsidRPr="00206C7A">
          <w:rPr>
            <w:rStyle w:val="Hyperlink"/>
            <w:noProof/>
          </w:rPr>
          <w:t>Empfohlene Methoden für CEQ Nr. 2:</w:t>
        </w:r>
        <w:r w:rsidR="008518FD">
          <w:rPr>
            <w:noProof/>
            <w:webHidden/>
          </w:rPr>
          <w:tab/>
        </w:r>
        <w:r w:rsidR="008518FD">
          <w:rPr>
            <w:noProof/>
            <w:webHidden/>
          </w:rPr>
          <w:fldChar w:fldCharType="begin"/>
        </w:r>
        <w:r w:rsidR="008518FD">
          <w:rPr>
            <w:noProof/>
            <w:webHidden/>
          </w:rPr>
          <w:instrText xml:space="preserve"> PAGEREF _Toc508377852 \h </w:instrText>
        </w:r>
        <w:r w:rsidR="008518FD">
          <w:rPr>
            <w:noProof/>
            <w:webHidden/>
          </w:rPr>
        </w:r>
        <w:r w:rsidR="008518FD">
          <w:rPr>
            <w:noProof/>
            <w:webHidden/>
          </w:rPr>
          <w:fldChar w:fldCharType="separate"/>
        </w:r>
        <w:r w:rsidR="007926F6">
          <w:rPr>
            <w:noProof/>
            <w:webHidden/>
          </w:rPr>
          <w:t>51</w:t>
        </w:r>
        <w:r w:rsidR="008518FD">
          <w:rPr>
            <w:noProof/>
            <w:webHidden/>
          </w:rPr>
          <w:fldChar w:fldCharType="end"/>
        </w:r>
      </w:hyperlink>
    </w:p>
    <w:p w:rsidR="008518FD" w:rsidRDefault="00533F8C" w:rsidP="00122217">
      <w:pPr>
        <w:pStyle w:val="TOC2"/>
        <w:rPr>
          <w:rFonts w:asciiTheme="minorHAnsi" w:eastAsiaTheme="minorEastAsia" w:hAnsiTheme="minorHAnsi"/>
          <w:noProof/>
          <w:color w:val="auto"/>
          <w:sz w:val="22"/>
          <w:lang w:val="el-GR" w:eastAsia="el-GR"/>
        </w:rPr>
      </w:pPr>
      <w:hyperlink w:anchor="_Toc508377853" w:history="1">
        <w:r w:rsidR="008518FD" w:rsidRPr="008518FD">
          <w:rPr>
            <w:rStyle w:val="Hyperlink"/>
            <w:noProof/>
            <w14:scene3d>
              <w14:camera w14:prst="orthographicFront"/>
              <w14:lightRig w14:rig="threePt" w14:dir="t">
                <w14:rot w14:lat="0" w14:lon="0" w14:rev="0"/>
              </w14:lightRig>
            </w14:scene3d>
          </w:rPr>
          <w:t>Tabelle</w:t>
        </w:r>
        <w:r w:rsidR="008518FD" w:rsidRPr="00206C7A">
          <w:rPr>
            <w:rStyle w:val="Hyperlink"/>
            <w:noProof/>
            <w14:scene3d>
              <w14:camera w14:prst="orthographicFront"/>
              <w14:lightRig w14:rig="threePt" w14:dir="t">
                <w14:rot w14:lat="0" w14:lon="0" w14:rev="0"/>
              </w14:lightRig>
            </w14:scene3d>
          </w:rPr>
          <w:t xml:space="preserve"> 5.</w:t>
        </w:r>
        <w:r w:rsidR="008518FD">
          <w:rPr>
            <w:rFonts w:asciiTheme="minorHAnsi" w:eastAsiaTheme="minorEastAsia" w:hAnsiTheme="minorHAnsi"/>
            <w:noProof/>
            <w:color w:val="auto"/>
            <w:sz w:val="22"/>
            <w:lang w:val="el-GR" w:eastAsia="el-GR"/>
          </w:rPr>
          <w:tab/>
        </w:r>
        <w:r w:rsidR="008518FD" w:rsidRPr="00206C7A">
          <w:rPr>
            <w:rStyle w:val="Hyperlink"/>
            <w:noProof/>
          </w:rPr>
          <w:t>Vorgeschlagene zusätzliche Beurteilungskriterien, Indikatoren und Datenanforderungen zur Beantwortung der CEQ Nr. 21</w:t>
        </w:r>
        <w:r w:rsidR="008518FD">
          <w:rPr>
            <w:noProof/>
            <w:webHidden/>
          </w:rPr>
          <w:tab/>
        </w:r>
        <w:r w:rsidR="008518FD">
          <w:rPr>
            <w:noProof/>
            <w:webHidden/>
          </w:rPr>
          <w:fldChar w:fldCharType="begin"/>
        </w:r>
        <w:r w:rsidR="008518FD">
          <w:rPr>
            <w:noProof/>
            <w:webHidden/>
          </w:rPr>
          <w:instrText xml:space="preserve"> PAGEREF _Toc508377853 \h </w:instrText>
        </w:r>
        <w:r w:rsidR="008518FD">
          <w:rPr>
            <w:noProof/>
            <w:webHidden/>
          </w:rPr>
        </w:r>
        <w:r w:rsidR="008518FD">
          <w:rPr>
            <w:noProof/>
            <w:webHidden/>
          </w:rPr>
          <w:fldChar w:fldCharType="separate"/>
        </w:r>
        <w:r w:rsidR="007926F6">
          <w:rPr>
            <w:noProof/>
            <w:webHidden/>
          </w:rPr>
          <w:t>59</w:t>
        </w:r>
        <w:r w:rsidR="008518FD">
          <w:rPr>
            <w:noProof/>
            <w:webHidden/>
          </w:rPr>
          <w:fldChar w:fldCharType="end"/>
        </w:r>
      </w:hyperlink>
    </w:p>
    <w:p w:rsidR="008518FD" w:rsidRDefault="00533F8C" w:rsidP="00122217">
      <w:pPr>
        <w:pStyle w:val="TOC2"/>
        <w:rPr>
          <w:rFonts w:asciiTheme="minorHAnsi" w:eastAsiaTheme="minorEastAsia" w:hAnsiTheme="minorHAnsi"/>
          <w:noProof/>
          <w:color w:val="auto"/>
          <w:sz w:val="22"/>
          <w:lang w:val="el-GR" w:eastAsia="el-GR"/>
        </w:rPr>
      </w:pPr>
      <w:hyperlink w:anchor="_Toc508377854" w:history="1">
        <w:r w:rsidR="008518FD" w:rsidRPr="008518FD">
          <w:rPr>
            <w:rStyle w:val="Hyperlink"/>
            <w:noProof/>
            <w14:scene3d>
              <w14:camera w14:prst="orthographicFront"/>
              <w14:lightRig w14:rig="threePt" w14:dir="t">
                <w14:rot w14:lat="0" w14:lon="0" w14:rev="0"/>
              </w14:lightRig>
            </w14:scene3d>
          </w:rPr>
          <w:t>Tabelle</w:t>
        </w:r>
        <w:r w:rsidR="008518FD" w:rsidRPr="00206C7A">
          <w:rPr>
            <w:rStyle w:val="Hyperlink"/>
            <w:noProof/>
            <w14:scene3d>
              <w14:camera w14:prst="orthographicFront"/>
              <w14:lightRig w14:rig="threePt" w14:dir="t">
                <w14:rot w14:lat="0" w14:lon="0" w14:rev="0"/>
              </w14:lightRig>
            </w14:scene3d>
          </w:rPr>
          <w:t xml:space="preserve"> 6.</w:t>
        </w:r>
        <w:r w:rsidR="008518FD">
          <w:rPr>
            <w:rFonts w:asciiTheme="minorHAnsi" w:eastAsiaTheme="minorEastAsia" w:hAnsiTheme="minorHAnsi"/>
            <w:noProof/>
            <w:color w:val="auto"/>
            <w:sz w:val="22"/>
            <w:lang w:val="el-GR" w:eastAsia="el-GR"/>
          </w:rPr>
          <w:tab/>
        </w:r>
        <w:r w:rsidR="008518FD" w:rsidRPr="00206C7A">
          <w:rPr>
            <w:rStyle w:val="Hyperlink"/>
            <w:noProof/>
          </w:rPr>
          <w:t>Empfohlene Methoden für CEQ Nr. 21:</w:t>
        </w:r>
        <w:r w:rsidR="008518FD">
          <w:rPr>
            <w:noProof/>
            <w:webHidden/>
          </w:rPr>
          <w:tab/>
        </w:r>
        <w:r w:rsidR="008518FD">
          <w:rPr>
            <w:noProof/>
            <w:webHidden/>
          </w:rPr>
          <w:fldChar w:fldCharType="begin"/>
        </w:r>
        <w:r w:rsidR="008518FD">
          <w:rPr>
            <w:noProof/>
            <w:webHidden/>
          </w:rPr>
          <w:instrText xml:space="preserve"> PAGEREF _Toc508377854 \h </w:instrText>
        </w:r>
        <w:r w:rsidR="008518FD">
          <w:rPr>
            <w:noProof/>
            <w:webHidden/>
          </w:rPr>
        </w:r>
        <w:r w:rsidR="008518FD">
          <w:rPr>
            <w:noProof/>
            <w:webHidden/>
          </w:rPr>
          <w:fldChar w:fldCharType="separate"/>
        </w:r>
        <w:r w:rsidR="007926F6">
          <w:rPr>
            <w:noProof/>
            <w:webHidden/>
          </w:rPr>
          <w:t>64</w:t>
        </w:r>
        <w:r w:rsidR="008518FD">
          <w:rPr>
            <w:noProof/>
            <w:webHidden/>
          </w:rPr>
          <w:fldChar w:fldCharType="end"/>
        </w:r>
      </w:hyperlink>
    </w:p>
    <w:p w:rsidR="008518FD" w:rsidRDefault="00533F8C" w:rsidP="00122217">
      <w:pPr>
        <w:pStyle w:val="TOC2"/>
        <w:rPr>
          <w:rFonts w:asciiTheme="minorHAnsi" w:eastAsiaTheme="minorEastAsia" w:hAnsiTheme="minorHAnsi"/>
          <w:noProof/>
          <w:color w:val="auto"/>
          <w:sz w:val="22"/>
          <w:lang w:val="el-GR" w:eastAsia="el-GR"/>
        </w:rPr>
      </w:pPr>
      <w:hyperlink w:anchor="_Toc508377855" w:history="1">
        <w:r w:rsidR="008518FD" w:rsidRPr="008518FD">
          <w:rPr>
            <w:rStyle w:val="Hyperlink"/>
            <w:noProof/>
            <w14:scene3d>
              <w14:camera w14:prst="orthographicFront"/>
              <w14:lightRig w14:rig="threePt" w14:dir="t">
                <w14:rot w14:lat="0" w14:lon="0" w14:rev="0"/>
              </w14:lightRig>
            </w14:scene3d>
          </w:rPr>
          <w:t>Tabelle</w:t>
        </w:r>
        <w:r w:rsidR="008518FD" w:rsidRPr="00206C7A">
          <w:rPr>
            <w:rStyle w:val="Hyperlink"/>
            <w:noProof/>
            <w14:scene3d>
              <w14:camera w14:prst="orthographicFront"/>
              <w14:lightRig w14:rig="threePt" w14:dir="t">
                <w14:rot w14:lat="0" w14:lon="0" w14:rev="0"/>
              </w14:lightRig>
            </w14:scene3d>
          </w:rPr>
          <w:t xml:space="preserve"> 7.</w:t>
        </w:r>
        <w:r w:rsidR="008518FD">
          <w:rPr>
            <w:rFonts w:asciiTheme="minorHAnsi" w:eastAsiaTheme="minorEastAsia" w:hAnsiTheme="minorHAnsi"/>
            <w:noProof/>
            <w:color w:val="auto"/>
            <w:sz w:val="22"/>
            <w:lang w:val="el-GR" w:eastAsia="el-GR"/>
          </w:rPr>
          <w:tab/>
        </w:r>
        <w:r w:rsidR="008518FD" w:rsidRPr="00206C7A">
          <w:rPr>
            <w:rStyle w:val="Hyperlink"/>
            <w:noProof/>
          </w:rPr>
          <w:t>Beurteilungskriterien, Indikatoren und Datenanforderungen zur Beantwortung der CEQ Nr. 23</w:t>
        </w:r>
        <w:r w:rsidR="008518FD">
          <w:rPr>
            <w:noProof/>
            <w:webHidden/>
          </w:rPr>
          <w:tab/>
        </w:r>
        <w:r w:rsidR="008518FD">
          <w:rPr>
            <w:noProof/>
            <w:webHidden/>
          </w:rPr>
          <w:fldChar w:fldCharType="begin"/>
        </w:r>
        <w:r w:rsidR="008518FD">
          <w:rPr>
            <w:noProof/>
            <w:webHidden/>
          </w:rPr>
          <w:instrText xml:space="preserve"> PAGEREF _Toc508377855 \h </w:instrText>
        </w:r>
        <w:r w:rsidR="008518FD">
          <w:rPr>
            <w:noProof/>
            <w:webHidden/>
          </w:rPr>
        </w:r>
        <w:r w:rsidR="008518FD">
          <w:rPr>
            <w:noProof/>
            <w:webHidden/>
          </w:rPr>
          <w:fldChar w:fldCharType="separate"/>
        </w:r>
        <w:r w:rsidR="007926F6">
          <w:rPr>
            <w:noProof/>
            <w:webHidden/>
          </w:rPr>
          <w:t>70</w:t>
        </w:r>
        <w:r w:rsidR="008518FD">
          <w:rPr>
            <w:noProof/>
            <w:webHidden/>
          </w:rPr>
          <w:fldChar w:fldCharType="end"/>
        </w:r>
      </w:hyperlink>
    </w:p>
    <w:p w:rsidR="008518FD" w:rsidRDefault="00533F8C" w:rsidP="00122217">
      <w:pPr>
        <w:pStyle w:val="TOC2"/>
        <w:rPr>
          <w:rFonts w:asciiTheme="minorHAnsi" w:eastAsiaTheme="minorEastAsia" w:hAnsiTheme="minorHAnsi"/>
          <w:noProof/>
          <w:color w:val="auto"/>
          <w:sz w:val="22"/>
          <w:lang w:val="el-GR" w:eastAsia="el-GR"/>
        </w:rPr>
      </w:pPr>
      <w:hyperlink w:anchor="_Toc508377856" w:history="1">
        <w:r w:rsidR="008518FD" w:rsidRPr="008518FD">
          <w:rPr>
            <w:rStyle w:val="Hyperlink"/>
            <w:noProof/>
            <w14:scene3d>
              <w14:camera w14:prst="orthographicFront"/>
              <w14:lightRig w14:rig="threePt" w14:dir="t">
                <w14:rot w14:lat="0" w14:lon="0" w14:rev="0"/>
              </w14:lightRig>
            </w14:scene3d>
          </w:rPr>
          <w:t>Tabelle</w:t>
        </w:r>
        <w:r w:rsidR="008518FD" w:rsidRPr="00206C7A">
          <w:rPr>
            <w:rStyle w:val="Hyperlink"/>
            <w:noProof/>
            <w14:scene3d>
              <w14:camera w14:prst="orthographicFront"/>
              <w14:lightRig w14:rig="threePt" w14:dir="t">
                <w14:rot w14:lat="0" w14:lon="0" w14:rev="0"/>
              </w14:lightRig>
            </w14:scene3d>
          </w:rPr>
          <w:t xml:space="preserve"> 8.</w:t>
        </w:r>
        <w:r w:rsidR="008518FD">
          <w:rPr>
            <w:rFonts w:asciiTheme="minorHAnsi" w:eastAsiaTheme="minorEastAsia" w:hAnsiTheme="minorHAnsi"/>
            <w:noProof/>
            <w:color w:val="auto"/>
            <w:sz w:val="22"/>
            <w:lang w:val="el-GR" w:eastAsia="el-GR"/>
          </w:rPr>
          <w:tab/>
        </w:r>
        <w:r w:rsidR="008518FD" w:rsidRPr="00206C7A">
          <w:rPr>
            <w:rStyle w:val="Hyperlink"/>
            <w:noProof/>
          </w:rPr>
          <w:t>Beispiel für die geplanten und tatsächlichen Werte von gemeinsamen und zusätzlichen Indikatoren</w:t>
        </w:r>
        <w:r w:rsidR="008518FD">
          <w:rPr>
            <w:noProof/>
            <w:webHidden/>
          </w:rPr>
          <w:tab/>
        </w:r>
        <w:r w:rsidR="008518FD">
          <w:rPr>
            <w:noProof/>
            <w:webHidden/>
          </w:rPr>
          <w:fldChar w:fldCharType="begin"/>
        </w:r>
        <w:r w:rsidR="008518FD">
          <w:rPr>
            <w:noProof/>
            <w:webHidden/>
          </w:rPr>
          <w:instrText xml:space="preserve"> PAGEREF _Toc508377856 \h </w:instrText>
        </w:r>
        <w:r w:rsidR="008518FD">
          <w:rPr>
            <w:noProof/>
            <w:webHidden/>
          </w:rPr>
        </w:r>
        <w:r w:rsidR="008518FD">
          <w:rPr>
            <w:noProof/>
            <w:webHidden/>
          </w:rPr>
          <w:fldChar w:fldCharType="separate"/>
        </w:r>
        <w:r w:rsidR="007926F6">
          <w:rPr>
            <w:noProof/>
            <w:webHidden/>
          </w:rPr>
          <w:t>73</w:t>
        </w:r>
        <w:r w:rsidR="008518FD">
          <w:rPr>
            <w:noProof/>
            <w:webHidden/>
          </w:rPr>
          <w:fldChar w:fldCharType="end"/>
        </w:r>
      </w:hyperlink>
    </w:p>
    <w:p w:rsidR="008518FD" w:rsidRDefault="00533F8C" w:rsidP="00122217">
      <w:pPr>
        <w:pStyle w:val="TOC2"/>
        <w:rPr>
          <w:rFonts w:asciiTheme="minorHAnsi" w:eastAsiaTheme="minorEastAsia" w:hAnsiTheme="minorHAnsi"/>
          <w:noProof/>
          <w:color w:val="auto"/>
          <w:sz w:val="22"/>
          <w:lang w:val="el-GR" w:eastAsia="el-GR"/>
        </w:rPr>
      </w:pPr>
      <w:hyperlink w:anchor="_Toc508377857" w:history="1">
        <w:r w:rsidR="008518FD" w:rsidRPr="008518FD">
          <w:rPr>
            <w:rStyle w:val="Hyperlink"/>
            <w:noProof/>
            <w14:scene3d>
              <w14:camera w14:prst="orthographicFront"/>
              <w14:lightRig w14:rig="threePt" w14:dir="t">
                <w14:rot w14:lat="0" w14:lon="0" w14:rev="0"/>
              </w14:lightRig>
            </w14:scene3d>
          </w:rPr>
          <w:t>Tabelle</w:t>
        </w:r>
        <w:r w:rsidR="008518FD" w:rsidRPr="00206C7A">
          <w:rPr>
            <w:rStyle w:val="Hyperlink"/>
            <w:noProof/>
            <w14:scene3d>
              <w14:camera w14:prst="orthographicFront"/>
              <w14:lightRig w14:rig="threePt" w14:dir="t">
                <w14:rot w14:lat="0" w14:lon="0" w14:rev="0"/>
              </w14:lightRig>
            </w14:scene3d>
          </w:rPr>
          <w:t xml:space="preserve"> 9.</w:t>
        </w:r>
        <w:r w:rsidR="008518FD">
          <w:rPr>
            <w:rFonts w:asciiTheme="minorHAnsi" w:eastAsiaTheme="minorEastAsia" w:hAnsiTheme="minorHAnsi"/>
            <w:noProof/>
            <w:color w:val="auto"/>
            <w:sz w:val="22"/>
            <w:lang w:val="el-GR" w:eastAsia="el-GR"/>
          </w:rPr>
          <w:tab/>
        </w:r>
        <w:r w:rsidR="008518FD" w:rsidRPr="00206C7A">
          <w:rPr>
            <w:rStyle w:val="Hyperlink"/>
            <w:noProof/>
          </w:rPr>
          <w:t>Bewertungselemente für CEQ Nr. 30</w:t>
        </w:r>
        <w:r w:rsidR="008518FD">
          <w:rPr>
            <w:noProof/>
            <w:webHidden/>
          </w:rPr>
          <w:tab/>
        </w:r>
        <w:r w:rsidR="008518FD">
          <w:rPr>
            <w:noProof/>
            <w:webHidden/>
          </w:rPr>
          <w:fldChar w:fldCharType="begin"/>
        </w:r>
        <w:r w:rsidR="008518FD">
          <w:rPr>
            <w:noProof/>
            <w:webHidden/>
          </w:rPr>
          <w:instrText xml:space="preserve"> PAGEREF _Toc508377857 \h </w:instrText>
        </w:r>
        <w:r w:rsidR="008518FD">
          <w:rPr>
            <w:noProof/>
            <w:webHidden/>
          </w:rPr>
        </w:r>
        <w:r w:rsidR="008518FD">
          <w:rPr>
            <w:noProof/>
            <w:webHidden/>
          </w:rPr>
          <w:fldChar w:fldCharType="separate"/>
        </w:r>
        <w:r w:rsidR="007926F6">
          <w:rPr>
            <w:noProof/>
            <w:webHidden/>
          </w:rPr>
          <w:t>79</w:t>
        </w:r>
        <w:r w:rsidR="008518FD">
          <w:rPr>
            <w:noProof/>
            <w:webHidden/>
          </w:rPr>
          <w:fldChar w:fldCharType="end"/>
        </w:r>
      </w:hyperlink>
    </w:p>
    <w:p w:rsidR="001A12C3" w:rsidRPr="00530DA6" w:rsidRDefault="00E05D08" w:rsidP="00530DA6">
      <w:pPr>
        <w:tabs>
          <w:tab w:val="left" w:pos="1540"/>
          <w:tab w:val="right" w:leader="dot" w:pos="9016"/>
        </w:tabs>
        <w:ind w:left="1560" w:hanging="1340"/>
        <w:rPr>
          <w:rStyle w:val="Hyperlink"/>
          <w14:scene3d>
            <w14:camera w14:prst="orthographicFront"/>
            <w14:lightRig w14:rig="threePt" w14:dir="t">
              <w14:rot w14:lat="0" w14:lon="0" w14:rev="0"/>
            </w14:lightRig>
          </w14:scene3d>
        </w:rPr>
      </w:pPr>
      <w:r w:rsidRPr="00530DA6">
        <w:rPr>
          <w:rStyle w:val="Hyperlink"/>
          <w14:scene3d>
            <w14:camera w14:prst="orthographicFront"/>
            <w14:lightRig w14:rig="threePt" w14:dir="t">
              <w14:rot w14:lat="0" w14:lon="0" w14:rev="0"/>
            </w14:lightRig>
          </w14:scene3d>
        </w:rPr>
        <w:fldChar w:fldCharType="end"/>
      </w:r>
    </w:p>
    <w:p w:rsidR="008518FD" w:rsidRDefault="002F11D9" w:rsidP="008518FD">
      <w:pPr>
        <w:pStyle w:val="TOC4"/>
        <w:ind w:left="1134" w:hanging="1134"/>
        <w:rPr>
          <w:rFonts w:asciiTheme="minorHAnsi" w:eastAsiaTheme="minorEastAsia" w:hAnsiTheme="minorHAnsi"/>
          <w:color w:val="auto"/>
          <w:sz w:val="22"/>
          <w:lang w:val="el-GR" w:eastAsia="el-GR"/>
        </w:rPr>
      </w:pPr>
      <w:r>
        <w:rPr>
          <w:rStyle w:val="Hyperlink"/>
          <w14:scene3d>
            <w14:camera w14:prst="orthographicFront"/>
            <w14:lightRig w14:rig="threePt" w14:dir="t">
              <w14:rot w14:lat="0" w14:lon="0" w14:rev="0"/>
            </w14:lightRig>
          </w14:scene3d>
        </w:rPr>
        <w:fldChar w:fldCharType="begin"/>
      </w:r>
      <w:r>
        <w:rPr>
          <w:rStyle w:val="Hyperlink"/>
          <w14:scene3d>
            <w14:camera w14:prst="orthographicFront"/>
            <w14:lightRig w14:rig="threePt" w14:dir="t">
              <w14:rot w14:lat="0" w14:lon="0" w14:rev="0"/>
            </w14:lightRig>
          </w14:scene3d>
        </w:rPr>
        <w:instrText xml:space="preserve"> TOC \h \z \t "H_Heading_figures;4" </w:instrText>
      </w:r>
      <w:r>
        <w:rPr>
          <w:rStyle w:val="Hyperlink"/>
          <w14:scene3d>
            <w14:camera w14:prst="orthographicFront"/>
            <w14:lightRig w14:rig="threePt" w14:dir="t">
              <w14:rot w14:lat="0" w14:lon="0" w14:rev="0"/>
            </w14:lightRig>
          </w14:scene3d>
        </w:rPr>
        <w:fldChar w:fldCharType="separate"/>
      </w:r>
      <w:hyperlink w:anchor="_Toc508377957" w:history="1">
        <w:r w:rsidR="00A151C7" w:rsidRPr="00A151C7">
          <w:rPr>
            <w:rStyle w:val="Hyperlink"/>
          </w:rPr>
          <w:t>Abbildung</w:t>
        </w:r>
        <w:r w:rsidR="008518FD" w:rsidRPr="00C458E1">
          <w:rPr>
            <w:rStyle w:val="Hyperlink"/>
          </w:rPr>
          <w:t xml:space="preserve"> 1.</w:t>
        </w:r>
        <w:r w:rsidR="008518FD">
          <w:rPr>
            <w:rFonts w:asciiTheme="minorHAnsi" w:eastAsiaTheme="minorEastAsia" w:hAnsiTheme="minorHAnsi"/>
            <w:color w:val="auto"/>
            <w:sz w:val="22"/>
            <w:lang w:val="el-GR" w:eastAsia="el-GR"/>
          </w:rPr>
          <w:tab/>
        </w:r>
        <w:r w:rsidR="008518FD" w:rsidRPr="00C458E1">
          <w:rPr>
            <w:rStyle w:val="Hyperlink"/>
          </w:rPr>
          <w:t>Vereinfachte Darstellung der Innovationsförderung durch Programme zur Entwicklung des ländlichen Raums</w:t>
        </w:r>
        <w:r w:rsidR="008518FD">
          <w:rPr>
            <w:webHidden/>
          </w:rPr>
          <w:tab/>
        </w:r>
        <w:r w:rsidR="008518FD">
          <w:rPr>
            <w:webHidden/>
          </w:rPr>
          <w:fldChar w:fldCharType="begin"/>
        </w:r>
        <w:r w:rsidR="008518FD">
          <w:rPr>
            <w:webHidden/>
          </w:rPr>
          <w:instrText xml:space="preserve"> PAGEREF _Toc508377957 \h </w:instrText>
        </w:r>
        <w:r w:rsidR="008518FD">
          <w:rPr>
            <w:webHidden/>
          </w:rPr>
        </w:r>
        <w:r w:rsidR="008518FD">
          <w:rPr>
            <w:webHidden/>
          </w:rPr>
          <w:fldChar w:fldCharType="separate"/>
        </w:r>
        <w:r w:rsidR="007926F6">
          <w:rPr>
            <w:webHidden/>
          </w:rPr>
          <w:t>6</w:t>
        </w:r>
        <w:r w:rsidR="008518FD">
          <w:rPr>
            <w:webHidden/>
          </w:rPr>
          <w:fldChar w:fldCharType="end"/>
        </w:r>
      </w:hyperlink>
    </w:p>
    <w:p w:rsidR="008518FD" w:rsidRDefault="00533F8C" w:rsidP="008518FD">
      <w:pPr>
        <w:pStyle w:val="TOC4"/>
        <w:ind w:left="1134" w:hanging="1134"/>
        <w:rPr>
          <w:rFonts w:asciiTheme="minorHAnsi" w:eastAsiaTheme="minorEastAsia" w:hAnsiTheme="minorHAnsi"/>
          <w:color w:val="auto"/>
          <w:sz w:val="22"/>
          <w:lang w:val="el-GR" w:eastAsia="el-GR"/>
        </w:rPr>
      </w:pPr>
      <w:hyperlink w:anchor="_Toc508377958" w:history="1">
        <w:r w:rsidR="00A151C7" w:rsidRPr="00A151C7">
          <w:rPr>
            <w:rStyle w:val="Hyperlink"/>
          </w:rPr>
          <w:t>Abbildung</w:t>
        </w:r>
        <w:r w:rsidR="008518FD" w:rsidRPr="00C458E1">
          <w:rPr>
            <w:rStyle w:val="Hyperlink"/>
          </w:rPr>
          <w:t xml:space="preserve"> 2.</w:t>
        </w:r>
        <w:r w:rsidR="008518FD">
          <w:rPr>
            <w:rFonts w:asciiTheme="minorHAnsi" w:eastAsiaTheme="minorEastAsia" w:hAnsiTheme="minorHAnsi"/>
            <w:color w:val="auto"/>
            <w:sz w:val="22"/>
            <w:lang w:val="el-GR" w:eastAsia="el-GR"/>
          </w:rPr>
          <w:tab/>
        </w:r>
        <w:r w:rsidR="008518FD" w:rsidRPr="00C458E1">
          <w:rPr>
            <w:rStyle w:val="Hyperlink"/>
          </w:rPr>
          <w:t>Die Innovationspolitik im Rahmen der EU- und der Politik zur Entwicklung des ländlichen Raums</w:t>
        </w:r>
        <w:bookmarkStart w:id="3" w:name="_GoBack"/>
        <w:bookmarkEnd w:id="3"/>
        <w:r w:rsidR="008518FD">
          <w:rPr>
            <w:webHidden/>
          </w:rPr>
          <w:tab/>
        </w:r>
        <w:r w:rsidR="008518FD">
          <w:rPr>
            <w:webHidden/>
          </w:rPr>
          <w:fldChar w:fldCharType="begin"/>
        </w:r>
        <w:r w:rsidR="008518FD">
          <w:rPr>
            <w:webHidden/>
          </w:rPr>
          <w:instrText xml:space="preserve"> PAGEREF _Toc508377958 \h </w:instrText>
        </w:r>
        <w:r w:rsidR="008518FD">
          <w:rPr>
            <w:webHidden/>
          </w:rPr>
        </w:r>
        <w:r w:rsidR="008518FD">
          <w:rPr>
            <w:webHidden/>
          </w:rPr>
          <w:fldChar w:fldCharType="separate"/>
        </w:r>
        <w:r w:rsidR="007926F6">
          <w:rPr>
            <w:webHidden/>
          </w:rPr>
          <w:t>13</w:t>
        </w:r>
        <w:r w:rsidR="008518FD">
          <w:rPr>
            <w:webHidden/>
          </w:rPr>
          <w:fldChar w:fldCharType="end"/>
        </w:r>
      </w:hyperlink>
    </w:p>
    <w:p w:rsidR="008518FD" w:rsidRDefault="00533F8C" w:rsidP="008518FD">
      <w:pPr>
        <w:pStyle w:val="TOC4"/>
        <w:ind w:left="1134" w:hanging="1134"/>
        <w:rPr>
          <w:rFonts w:asciiTheme="minorHAnsi" w:eastAsiaTheme="minorEastAsia" w:hAnsiTheme="minorHAnsi"/>
          <w:color w:val="auto"/>
          <w:sz w:val="22"/>
          <w:lang w:val="el-GR" w:eastAsia="el-GR"/>
        </w:rPr>
      </w:pPr>
      <w:hyperlink w:anchor="_Toc508377959" w:history="1">
        <w:r w:rsidR="00A151C7" w:rsidRPr="00A151C7">
          <w:rPr>
            <w:rStyle w:val="Hyperlink"/>
          </w:rPr>
          <w:t>Abbildung</w:t>
        </w:r>
        <w:r w:rsidR="008518FD" w:rsidRPr="00C458E1">
          <w:rPr>
            <w:rStyle w:val="Hyperlink"/>
          </w:rPr>
          <w:t xml:space="preserve"> 3.</w:t>
        </w:r>
        <w:r w:rsidR="008518FD">
          <w:rPr>
            <w:rFonts w:asciiTheme="minorHAnsi" w:eastAsiaTheme="minorEastAsia" w:hAnsiTheme="minorHAnsi"/>
            <w:color w:val="auto"/>
            <w:sz w:val="22"/>
            <w:lang w:val="el-GR" w:eastAsia="el-GR"/>
          </w:rPr>
          <w:tab/>
        </w:r>
        <w:r w:rsidR="008518FD" w:rsidRPr="00C458E1">
          <w:rPr>
            <w:rStyle w:val="Hyperlink"/>
          </w:rPr>
          <w:t>Die gemeinsamen Bewertungselemente für die Bewertung von Innovation</w:t>
        </w:r>
        <w:r w:rsidR="008518FD">
          <w:rPr>
            <w:webHidden/>
          </w:rPr>
          <w:tab/>
        </w:r>
        <w:r w:rsidR="008518FD">
          <w:rPr>
            <w:webHidden/>
          </w:rPr>
          <w:fldChar w:fldCharType="begin"/>
        </w:r>
        <w:r w:rsidR="008518FD">
          <w:rPr>
            <w:webHidden/>
          </w:rPr>
          <w:instrText xml:space="preserve"> PAGEREF _Toc508377959 \h </w:instrText>
        </w:r>
        <w:r w:rsidR="008518FD">
          <w:rPr>
            <w:webHidden/>
          </w:rPr>
        </w:r>
        <w:r w:rsidR="008518FD">
          <w:rPr>
            <w:webHidden/>
          </w:rPr>
          <w:fldChar w:fldCharType="separate"/>
        </w:r>
        <w:r w:rsidR="007926F6">
          <w:rPr>
            <w:webHidden/>
          </w:rPr>
          <w:t>18</w:t>
        </w:r>
        <w:r w:rsidR="008518FD">
          <w:rPr>
            <w:webHidden/>
          </w:rPr>
          <w:fldChar w:fldCharType="end"/>
        </w:r>
      </w:hyperlink>
    </w:p>
    <w:p w:rsidR="008518FD" w:rsidRDefault="00533F8C" w:rsidP="008518FD">
      <w:pPr>
        <w:pStyle w:val="TOC4"/>
        <w:ind w:left="1134" w:hanging="1134"/>
        <w:rPr>
          <w:rFonts w:asciiTheme="minorHAnsi" w:eastAsiaTheme="minorEastAsia" w:hAnsiTheme="minorHAnsi"/>
          <w:color w:val="auto"/>
          <w:sz w:val="22"/>
          <w:lang w:val="el-GR" w:eastAsia="el-GR"/>
        </w:rPr>
      </w:pPr>
      <w:hyperlink w:anchor="_Toc508377960" w:history="1">
        <w:r w:rsidR="00A151C7" w:rsidRPr="00A151C7">
          <w:rPr>
            <w:rStyle w:val="Hyperlink"/>
          </w:rPr>
          <w:t>Abbildung</w:t>
        </w:r>
        <w:r w:rsidR="008518FD" w:rsidRPr="00C458E1">
          <w:rPr>
            <w:rStyle w:val="Hyperlink"/>
          </w:rPr>
          <w:t xml:space="preserve"> 4.</w:t>
        </w:r>
        <w:r w:rsidR="008518FD">
          <w:rPr>
            <w:rFonts w:asciiTheme="minorHAnsi" w:eastAsiaTheme="minorEastAsia" w:hAnsiTheme="minorHAnsi"/>
            <w:color w:val="auto"/>
            <w:sz w:val="22"/>
            <w:lang w:val="el-GR" w:eastAsia="el-GR"/>
          </w:rPr>
          <w:tab/>
        </w:r>
        <w:r w:rsidR="008518FD" w:rsidRPr="00C458E1">
          <w:rPr>
            <w:rStyle w:val="Hyperlink"/>
          </w:rPr>
          <w:t>Verwaltung der Bewertung von Innovation in den Programmen zur Entwicklung des ländlichen Raums 2014-2020</w:t>
        </w:r>
        <w:r w:rsidR="008518FD">
          <w:rPr>
            <w:webHidden/>
          </w:rPr>
          <w:tab/>
        </w:r>
        <w:r w:rsidR="008518FD">
          <w:rPr>
            <w:webHidden/>
          </w:rPr>
          <w:fldChar w:fldCharType="begin"/>
        </w:r>
        <w:r w:rsidR="008518FD">
          <w:rPr>
            <w:webHidden/>
          </w:rPr>
          <w:instrText xml:space="preserve"> PAGEREF _Toc508377960 \h </w:instrText>
        </w:r>
        <w:r w:rsidR="008518FD">
          <w:rPr>
            <w:webHidden/>
          </w:rPr>
        </w:r>
        <w:r w:rsidR="008518FD">
          <w:rPr>
            <w:webHidden/>
          </w:rPr>
          <w:fldChar w:fldCharType="separate"/>
        </w:r>
        <w:r w:rsidR="007926F6">
          <w:rPr>
            <w:webHidden/>
          </w:rPr>
          <w:t>22</w:t>
        </w:r>
        <w:r w:rsidR="008518FD">
          <w:rPr>
            <w:webHidden/>
          </w:rPr>
          <w:fldChar w:fldCharType="end"/>
        </w:r>
      </w:hyperlink>
    </w:p>
    <w:p w:rsidR="008518FD" w:rsidRDefault="00533F8C" w:rsidP="008518FD">
      <w:pPr>
        <w:pStyle w:val="TOC4"/>
        <w:ind w:left="1134" w:hanging="1134"/>
        <w:rPr>
          <w:rFonts w:asciiTheme="minorHAnsi" w:eastAsiaTheme="minorEastAsia" w:hAnsiTheme="minorHAnsi"/>
          <w:color w:val="auto"/>
          <w:sz w:val="22"/>
          <w:lang w:val="el-GR" w:eastAsia="el-GR"/>
        </w:rPr>
      </w:pPr>
      <w:hyperlink w:anchor="_Toc508377961" w:history="1">
        <w:r w:rsidR="00A151C7" w:rsidRPr="00A151C7">
          <w:rPr>
            <w:rStyle w:val="Hyperlink"/>
          </w:rPr>
          <w:t>Abbildung</w:t>
        </w:r>
        <w:r w:rsidR="008518FD" w:rsidRPr="00C458E1">
          <w:rPr>
            <w:rStyle w:val="Hyperlink"/>
          </w:rPr>
          <w:t xml:space="preserve"> 5.</w:t>
        </w:r>
        <w:r w:rsidR="008518FD">
          <w:rPr>
            <w:rFonts w:asciiTheme="minorHAnsi" w:eastAsiaTheme="minorEastAsia" w:hAnsiTheme="minorHAnsi"/>
            <w:color w:val="auto"/>
            <w:sz w:val="22"/>
            <w:lang w:val="el-GR" w:eastAsia="el-GR"/>
          </w:rPr>
          <w:tab/>
        </w:r>
        <w:r w:rsidR="008518FD" w:rsidRPr="00C458E1">
          <w:rPr>
            <w:rStyle w:val="Hyperlink"/>
          </w:rPr>
          <w:t>Berichtspflichten in Zusammenhang mit Innovation</w:t>
        </w:r>
        <w:r w:rsidR="008518FD">
          <w:rPr>
            <w:webHidden/>
          </w:rPr>
          <w:tab/>
        </w:r>
        <w:r w:rsidR="008518FD">
          <w:rPr>
            <w:webHidden/>
          </w:rPr>
          <w:fldChar w:fldCharType="begin"/>
        </w:r>
        <w:r w:rsidR="008518FD">
          <w:rPr>
            <w:webHidden/>
          </w:rPr>
          <w:instrText xml:space="preserve"> PAGEREF _Toc508377961 \h </w:instrText>
        </w:r>
        <w:r w:rsidR="008518FD">
          <w:rPr>
            <w:webHidden/>
          </w:rPr>
        </w:r>
        <w:r w:rsidR="008518FD">
          <w:rPr>
            <w:webHidden/>
          </w:rPr>
          <w:fldChar w:fldCharType="separate"/>
        </w:r>
        <w:r w:rsidR="007926F6">
          <w:rPr>
            <w:webHidden/>
          </w:rPr>
          <w:t>23</w:t>
        </w:r>
        <w:r w:rsidR="008518FD">
          <w:rPr>
            <w:webHidden/>
          </w:rPr>
          <w:fldChar w:fldCharType="end"/>
        </w:r>
      </w:hyperlink>
    </w:p>
    <w:p w:rsidR="008518FD" w:rsidRDefault="00533F8C" w:rsidP="008518FD">
      <w:pPr>
        <w:pStyle w:val="TOC4"/>
        <w:ind w:left="1134" w:hanging="1134"/>
        <w:rPr>
          <w:rFonts w:asciiTheme="minorHAnsi" w:eastAsiaTheme="minorEastAsia" w:hAnsiTheme="minorHAnsi"/>
          <w:color w:val="auto"/>
          <w:sz w:val="22"/>
          <w:lang w:val="el-GR" w:eastAsia="el-GR"/>
        </w:rPr>
      </w:pPr>
      <w:hyperlink w:anchor="_Toc508377962" w:history="1">
        <w:r w:rsidR="00A151C7" w:rsidRPr="00A151C7">
          <w:rPr>
            <w:rStyle w:val="Hyperlink"/>
          </w:rPr>
          <w:t>Abbildung</w:t>
        </w:r>
        <w:r w:rsidR="008518FD" w:rsidRPr="00C458E1">
          <w:rPr>
            <w:rStyle w:val="Hyperlink"/>
          </w:rPr>
          <w:t xml:space="preserve"> 6.</w:t>
        </w:r>
        <w:r w:rsidR="008518FD">
          <w:rPr>
            <w:rFonts w:asciiTheme="minorHAnsi" w:eastAsiaTheme="minorEastAsia" w:hAnsiTheme="minorHAnsi"/>
            <w:color w:val="auto"/>
            <w:sz w:val="22"/>
            <w:lang w:val="el-GR" w:eastAsia="el-GR"/>
          </w:rPr>
          <w:tab/>
        </w:r>
        <w:r w:rsidR="008518FD" w:rsidRPr="00C458E1">
          <w:rPr>
            <w:rStyle w:val="Hyperlink"/>
          </w:rPr>
          <w:t>Vorgehensweise bei der Bewertung von Innovation in den Programmen zur Entwicklung des ländlichen Raums</w:t>
        </w:r>
        <w:r w:rsidR="008518FD">
          <w:rPr>
            <w:webHidden/>
          </w:rPr>
          <w:tab/>
        </w:r>
        <w:r w:rsidR="008518FD">
          <w:rPr>
            <w:webHidden/>
          </w:rPr>
          <w:fldChar w:fldCharType="begin"/>
        </w:r>
        <w:r w:rsidR="008518FD">
          <w:rPr>
            <w:webHidden/>
          </w:rPr>
          <w:instrText xml:space="preserve"> PAGEREF _Toc508377962 \h </w:instrText>
        </w:r>
        <w:r w:rsidR="008518FD">
          <w:rPr>
            <w:webHidden/>
          </w:rPr>
        </w:r>
        <w:r w:rsidR="008518FD">
          <w:rPr>
            <w:webHidden/>
          </w:rPr>
          <w:fldChar w:fldCharType="separate"/>
        </w:r>
        <w:r w:rsidR="007926F6">
          <w:rPr>
            <w:webHidden/>
          </w:rPr>
          <w:t>25</w:t>
        </w:r>
        <w:r w:rsidR="008518FD">
          <w:rPr>
            <w:webHidden/>
          </w:rPr>
          <w:fldChar w:fldCharType="end"/>
        </w:r>
      </w:hyperlink>
    </w:p>
    <w:p w:rsidR="008518FD" w:rsidRDefault="00533F8C" w:rsidP="008518FD">
      <w:pPr>
        <w:pStyle w:val="TOC4"/>
        <w:ind w:left="1134" w:hanging="1134"/>
        <w:rPr>
          <w:rFonts w:asciiTheme="minorHAnsi" w:eastAsiaTheme="minorEastAsia" w:hAnsiTheme="minorHAnsi"/>
          <w:color w:val="auto"/>
          <w:sz w:val="22"/>
          <w:lang w:val="el-GR" w:eastAsia="el-GR"/>
        </w:rPr>
      </w:pPr>
      <w:hyperlink w:anchor="_Toc508377963" w:history="1">
        <w:r w:rsidR="00A151C7" w:rsidRPr="00A151C7">
          <w:rPr>
            <w:rStyle w:val="Hyperlink"/>
          </w:rPr>
          <w:t>Abbildung</w:t>
        </w:r>
        <w:r w:rsidR="008518FD" w:rsidRPr="00C458E1">
          <w:rPr>
            <w:rStyle w:val="Hyperlink"/>
          </w:rPr>
          <w:t xml:space="preserve"> 7.</w:t>
        </w:r>
        <w:r w:rsidR="008518FD">
          <w:rPr>
            <w:rFonts w:asciiTheme="minorHAnsi" w:eastAsiaTheme="minorEastAsia" w:hAnsiTheme="minorHAnsi"/>
            <w:color w:val="auto"/>
            <w:sz w:val="22"/>
            <w:lang w:val="el-GR" w:eastAsia="el-GR"/>
          </w:rPr>
          <w:tab/>
        </w:r>
        <w:r w:rsidR="008518FD" w:rsidRPr="00C458E1">
          <w:rPr>
            <w:rStyle w:val="Hyperlink"/>
          </w:rPr>
          <w:t>Schritte zur Untersuchung des Innovationspotenzials einer Maßnahme/Teilmaßnahme eines Programms zur Entwicklung des ländlichen Raums</w:t>
        </w:r>
        <w:r w:rsidR="008518FD">
          <w:rPr>
            <w:webHidden/>
          </w:rPr>
          <w:tab/>
        </w:r>
        <w:r w:rsidR="008518FD">
          <w:rPr>
            <w:webHidden/>
          </w:rPr>
          <w:fldChar w:fldCharType="begin"/>
        </w:r>
        <w:r w:rsidR="008518FD">
          <w:rPr>
            <w:webHidden/>
          </w:rPr>
          <w:instrText xml:space="preserve"> PAGEREF _Toc508377963 \h </w:instrText>
        </w:r>
        <w:r w:rsidR="008518FD">
          <w:rPr>
            <w:webHidden/>
          </w:rPr>
        </w:r>
        <w:r w:rsidR="008518FD">
          <w:rPr>
            <w:webHidden/>
          </w:rPr>
          <w:fldChar w:fldCharType="separate"/>
        </w:r>
        <w:r w:rsidR="007926F6">
          <w:rPr>
            <w:webHidden/>
          </w:rPr>
          <w:t>27</w:t>
        </w:r>
        <w:r w:rsidR="008518FD">
          <w:rPr>
            <w:webHidden/>
          </w:rPr>
          <w:fldChar w:fldCharType="end"/>
        </w:r>
      </w:hyperlink>
    </w:p>
    <w:p w:rsidR="008518FD" w:rsidRDefault="00533F8C" w:rsidP="008518FD">
      <w:pPr>
        <w:pStyle w:val="TOC4"/>
        <w:ind w:left="1134" w:hanging="1134"/>
        <w:rPr>
          <w:rFonts w:asciiTheme="minorHAnsi" w:eastAsiaTheme="minorEastAsia" w:hAnsiTheme="minorHAnsi"/>
          <w:color w:val="auto"/>
          <w:sz w:val="22"/>
          <w:lang w:val="el-GR" w:eastAsia="el-GR"/>
        </w:rPr>
      </w:pPr>
      <w:hyperlink w:anchor="_Toc508377964" w:history="1">
        <w:r w:rsidR="00A151C7" w:rsidRPr="00A151C7">
          <w:rPr>
            <w:rStyle w:val="Hyperlink"/>
          </w:rPr>
          <w:t>Abbildung</w:t>
        </w:r>
        <w:r w:rsidR="008518FD" w:rsidRPr="00C458E1">
          <w:rPr>
            <w:rStyle w:val="Hyperlink"/>
          </w:rPr>
          <w:t xml:space="preserve"> 8.</w:t>
        </w:r>
        <w:r w:rsidR="008518FD">
          <w:rPr>
            <w:rFonts w:asciiTheme="minorHAnsi" w:eastAsiaTheme="minorEastAsia" w:hAnsiTheme="minorHAnsi"/>
            <w:color w:val="auto"/>
            <w:sz w:val="22"/>
            <w:lang w:val="el-GR" w:eastAsia="el-GR"/>
          </w:rPr>
          <w:tab/>
        </w:r>
        <w:r w:rsidR="008518FD" w:rsidRPr="00C458E1">
          <w:rPr>
            <w:rStyle w:val="Hyperlink"/>
          </w:rPr>
          <w:t>Beispiel einer Interventionslogik im Zusammenhang mit CEQ Nr. 1</w:t>
        </w:r>
        <w:r w:rsidR="008518FD">
          <w:rPr>
            <w:webHidden/>
          </w:rPr>
          <w:tab/>
        </w:r>
        <w:r w:rsidR="008518FD">
          <w:rPr>
            <w:webHidden/>
          </w:rPr>
          <w:fldChar w:fldCharType="begin"/>
        </w:r>
        <w:r w:rsidR="008518FD">
          <w:rPr>
            <w:webHidden/>
          </w:rPr>
          <w:instrText xml:space="preserve"> PAGEREF _Toc508377964 \h </w:instrText>
        </w:r>
        <w:r w:rsidR="008518FD">
          <w:rPr>
            <w:webHidden/>
          </w:rPr>
        </w:r>
        <w:r w:rsidR="008518FD">
          <w:rPr>
            <w:webHidden/>
          </w:rPr>
          <w:fldChar w:fldCharType="separate"/>
        </w:r>
        <w:r w:rsidR="007926F6">
          <w:rPr>
            <w:webHidden/>
          </w:rPr>
          <w:t>35</w:t>
        </w:r>
        <w:r w:rsidR="008518FD">
          <w:rPr>
            <w:webHidden/>
          </w:rPr>
          <w:fldChar w:fldCharType="end"/>
        </w:r>
      </w:hyperlink>
    </w:p>
    <w:p w:rsidR="008518FD" w:rsidRDefault="00533F8C" w:rsidP="008518FD">
      <w:pPr>
        <w:pStyle w:val="TOC4"/>
        <w:ind w:left="1134" w:hanging="1134"/>
        <w:rPr>
          <w:rFonts w:asciiTheme="minorHAnsi" w:eastAsiaTheme="minorEastAsia" w:hAnsiTheme="minorHAnsi"/>
          <w:color w:val="auto"/>
          <w:sz w:val="22"/>
          <w:lang w:val="el-GR" w:eastAsia="el-GR"/>
        </w:rPr>
      </w:pPr>
      <w:hyperlink w:anchor="_Toc508377965" w:history="1">
        <w:r w:rsidR="00A151C7" w:rsidRPr="00A151C7">
          <w:rPr>
            <w:rStyle w:val="Hyperlink"/>
          </w:rPr>
          <w:t>Abbildung</w:t>
        </w:r>
        <w:r w:rsidR="008518FD" w:rsidRPr="00C458E1">
          <w:rPr>
            <w:rStyle w:val="Hyperlink"/>
          </w:rPr>
          <w:t xml:space="preserve"> 9.</w:t>
        </w:r>
        <w:r w:rsidR="008518FD">
          <w:rPr>
            <w:rFonts w:asciiTheme="minorHAnsi" w:eastAsiaTheme="minorEastAsia" w:hAnsiTheme="minorHAnsi"/>
            <w:color w:val="auto"/>
            <w:sz w:val="22"/>
            <w:lang w:val="el-GR" w:eastAsia="el-GR"/>
          </w:rPr>
          <w:tab/>
        </w:r>
        <w:r w:rsidR="008518FD" w:rsidRPr="00C458E1">
          <w:rPr>
            <w:rStyle w:val="Hyperlink"/>
          </w:rPr>
          <w:t>Beispiel für das Innovationspotenzial der einzelnen Teilmaßnahmen von M16</w:t>
        </w:r>
        <w:r w:rsidR="008518FD">
          <w:rPr>
            <w:webHidden/>
          </w:rPr>
          <w:tab/>
        </w:r>
        <w:r w:rsidR="008518FD">
          <w:rPr>
            <w:webHidden/>
          </w:rPr>
          <w:fldChar w:fldCharType="begin"/>
        </w:r>
        <w:r w:rsidR="008518FD">
          <w:rPr>
            <w:webHidden/>
          </w:rPr>
          <w:instrText xml:space="preserve"> PAGEREF _Toc508377965 \h </w:instrText>
        </w:r>
        <w:r w:rsidR="008518FD">
          <w:rPr>
            <w:webHidden/>
          </w:rPr>
        </w:r>
        <w:r w:rsidR="008518FD">
          <w:rPr>
            <w:webHidden/>
          </w:rPr>
          <w:fldChar w:fldCharType="separate"/>
        </w:r>
        <w:r w:rsidR="007926F6">
          <w:rPr>
            <w:webHidden/>
          </w:rPr>
          <w:t>46</w:t>
        </w:r>
        <w:r w:rsidR="008518FD">
          <w:rPr>
            <w:webHidden/>
          </w:rPr>
          <w:fldChar w:fldCharType="end"/>
        </w:r>
      </w:hyperlink>
    </w:p>
    <w:p w:rsidR="008518FD" w:rsidRDefault="00533F8C" w:rsidP="008518FD">
      <w:pPr>
        <w:pStyle w:val="TOC4"/>
        <w:ind w:left="1134" w:hanging="1134"/>
        <w:rPr>
          <w:rFonts w:asciiTheme="minorHAnsi" w:eastAsiaTheme="minorEastAsia" w:hAnsiTheme="minorHAnsi"/>
          <w:color w:val="auto"/>
          <w:sz w:val="22"/>
          <w:lang w:val="el-GR" w:eastAsia="el-GR"/>
        </w:rPr>
      </w:pPr>
      <w:hyperlink w:anchor="_Toc508377966" w:history="1">
        <w:r w:rsidR="00A151C7" w:rsidRPr="00A151C7">
          <w:rPr>
            <w:rStyle w:val="Hyperlink"/>
          </w:rPr>
          <w:t>Abbildung</w:t>
        </w:r>
        <w:r w:rsidR="008518FD" w:rsidRPr="00C458E1">
          <w:rPr>
            <w:rStyle w:val="Hyperlink"/>
          </w:rPr>
          <w:t xml:space="preserve"> 10.</w:t>
        </w:r>
        <w:r w:rsidR="008518FD">
          <w:rPr>
            <w:rFonts w:asciiTheme="minorHAnsi" w:eastAsiaTheme="minorEastAsia" w:hAnsiTheme="minorHAnsi"/>
            <w:color w:val="auto"/>
            <w:sz w:val="22"/>
            <w:lang w:val="el-GR" w:eastAsia="el-GR"/>
          </w:rPr>
          <w:tab/>
        </w:r>
        <w:r w:rsidR="008518FD" w:rsidRPr="00C458E1">
          <w:rPr>
            <w:rStyle w:val="Hyperlink"/>
          </w:rPr>
          <w:t>Innovationsbezogene Interventionslogik des NRN</w:t>
        </w:r>
        <w:r w:rsidR="008518FD">
          <w:rPr>
            <w:webHidden/>
          </w:rPr>
          <w:tab/>
        </w:r>
        <w:r w:rsidR="008518FD">
          <w:rPr>
            <w:webHidden/>
          </w:rPr>
          <w:fldChar w:fldCharType="begin"/>
        </w:r>
        <w:r w:rsidR="008518FD">
          <w:rPr>
            <w:webHidden/>
          </w:rPr>
          <w:instrText xml:space="preserve"> PAGEREF _Toc508377966 \h </w:instrText>
        </w:r>
        <w:r w:rsidR="008518FD">
          <w:rPr>
            <w:webHidden/>
          </w:rPr>
        </w:r>
        <w:r w:rsidR="008518FD">
          <w:rPr>
            <w:webHidden/>
          </w:rPr>
          <w:fldChar w:fldCharType="separate"/>
        </w:r>
        <w:r w:rsidR="007926F6">
          <w:rPr>
            <w:webHidden/>
          </w:rPr>
          <w:t>57</w:t>
        </w:r>
        <w:r w:rsidR="008518FD">
          <w:rPr>
            <w:webHidden/>
          </w:rPr>
          <w:fldChar w:fldCharType="end"/>
        </w:r>
      </w:hyperlink>
    </w:p>
    <w:p w:rsidR="008518FD" w:rsidRDefault="00533F8C" w:rsidP="008518FD">
      <w:pPr>
        <w:pStyle w:val="TOC4"/>
        <w:ind w:left="1134" w:hanging="1134"/>
        <w:rPr>
          <w:rFonts w:asciiTheme="minorHAnsi" w:eastAsiaTheme="minorEastAsia" w:hAnsiTheme="minorHAnsi"/>
          <w:color w:val="auto"/>
          <w:sz w:val="22"/>
          <w:lang w:val="el-GR" w:eastAsia="el-GR"/>
        </w:rPr>
      </w:pPr>
      <w:hyperlink w:anchor="_Toc508377967" w:history="1">
        <w:r w:rsidR="00A151C7" w:rsidRPr="00A151C7">
          <w:rPr>
            <w:rStyle w:val="Hyperlink"/>
          </w:rPr>
          <w:t>Abbildung</w:t>
        </w:r>
        <w:r w:rsidR="008518FD" w:rsidRPr="00C458E1">
          <w:rPr>
            <w:rStyle w:val="Hyperlink"/>
          </w:rPr>
          <w:t xml:space="preserve"> 11.</w:t>
        </w:r>
        <w:r w:rsidR="008518FD">
          <w:rPr>
            <w:rFonts w:asciiTheme="minorHAnsi" w:eastAsiaTheme="minorEastAsia" w:hAnsiTheme="minorHAnsi"/>
            <w:color w:val="auto"/>
            <w:sz w:val="22"/>
            <w:lang w:val="el-GR" w:eastAsia="el-GR"/>
          </w:rPr>
          <w:tab/>
        </w:r>
        <w:r w:rsidR="008518FD" w:rsidRPr="00C458E1">
          <w:rPr>
            <w:rStyle w:val="Hyperlink"/>
          </w:rPr>
          <w:t>Beispiel einer Interventionslogik für CEQ Nr. 30</w:t>
        </w:r>
        <w:r w:rsidR="008518FD">
          <w:rPr>
            <w:webHidden/>
          </w:rPr>
          <w:tab/>
        </w:r>
        <w:r w:rsidR="008518FD">
          <w:rPr>
            <w:webHidden/>
          </w:rPr>
          <w:fldChar w:fldCharType="begin"/>
        </w:r>
        <w:r w:rsidR="008518FD">
          <w:rPr>
            <w:webHidden/>
          </w:rPr>
          <w:instrText xml:space="preserve"> PAGEREF _Toc508377967 \h </w:instrText>
        </w:r>
        <w:r w:rsidR="008518FD">
          <w:rPr>
            <w:webHidden/>
          </w:rPr>
        </w:r>
        <w:r w:rsidR="008518FD">
          <w:rPr>
            <w:webHidden/>
          </w:rPr>
          <w:fldChar w:fldCharType="separate"/>
        </w:r>
        <w:r w:rsidR="007926F6">
          <w:rPr>
            <w:webHidden/>
          </w:rPr>
          <w:t>77</w:t>
        </w:r>
        <w:r w:rsidR="008518FD">
          <w:rPr>
            <w:webHidden/>
          </w:rPr>
          <w:fldChar w:fldCharType="end"/>
        </w:r>
      </w:hyperlink>
    </w:p>
    <w:p w:rsidR="00E05D08" w:rsidRPr="00E05D08" w:rsidRDefault="002F11D9" w:rsidP="00530DA6">
      <w:pPr>
        <w:tabs>
          <w:tab w:val="left" w:pos="1540"/>
          <w:tab w:val="right" w:leader="dot" w:pos="9016"/>
        </w:tabs>
        <w:ind w:left="1560" w:hanging="1340"/>
        <w:rPr>
          <w:rFonts w:eastAsia="Times New Roman" w:cs="Times New Roman"/>
          <w:szCs w:val="20"/>
        </w:rPr>
      </w:pPr>
      <w:r>
        <w:rPr>
          <w:rStyle w:val="Hyperlink"/>
          <w14:scene3d>
            <w14:camera w14:prst="orthographicFront"/>
            <w14:lightRig w14:rig="threePt" w14:dir="t">
              <w14:rot w14:lat="0" w14:lon="0" w14:rev="0"/>
            </w14:lightRig>
          </w14:scene3d>
        </w:rPr>
        <w:fldChar w:fldCharType="end"/>
      </w:r>
    </w:p>
    <w:p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400064">
          <w:headerReference w:type="even" r:id="rId13"/>
          <w:footerReference w:type="even" r:id="rId14"/>
          <w:footerReference w:type="default" r:id="rId15"/>
          <w:headerReference w:type="first" r:id="rId16"/>
          <w:footerReference w:type="first" r:id="rId17"/>
          <w:endnotePr>
            <w:numFmt w:val="decimal"/>
          </w:endnotePr>
          <w:pgSz w:w="11906" w:h="16838" w:code="9"/>
          <w:pgMar w:top="1440" w:right="1416" w:bottom="1134" w:left="1440" w:header="567" w:footer="1021" w:gutter="0"/>
          <w:pgNumType w:start="3"/>
          <w:cols w:space="708"/>
          <w:titlePg/>
          <w:docGrid w:linePitch="360"/>
        </w:sectPr>
      </w:pPr>
    </w:p>
    <w:p w:rsidR="006D209F" w:rsidRDefault="006D209F" w:rsidP="00E05D08">
      <w:pPr>
        <w:keepNext/>
        <w:spacing w:before="360" w:after="360" w:line="280" w:lineRule="atLeast"/>
        <w:outlineLvl w:val="0"/>
        <w:rPr>
          <w:rFonts w:ascii="Helvetica" w:eastAsia="Times New Roman" w:hAnsi="Helvetica" w:cs="Times New Roman"/>
          <w:b/>
          <w:bCs/>
          <w:caps/>
          <w:color w:val="F07E31"/>
          <w:kern w:val="32"/>
          <w:sz w:val="24"/>
          <w:szCs w:val="24"/>
        </w:rPr>
      </w:pPr>
      <w:r>
        <w:lastRenderedPageBreak/>
        <w:br w:type="page"/>
      </w:r>
    </w:p>
    <w:p w:rsidR="00E05D08" w:rsidRPr="00E05D08" w:rsidRDefault="00E05D08" w:rsidP="00E05D08">
      <w:pPr>
        <w:keepNext/>
        <w:spacing w:before="360" w:after="360" w:line="280" w:lineRule="atLeast"/>
        <w:outlineLvl w:val="0"/>
        <w:rPr>
          <w:rFonts w:ascii="Helvetica" w:eastAsia="Times New Roman" w:hAnsi="Helvetica" w:cs="Times New Roman"/>
          <w:b/>
          <w:bCs/>
          <w:caps/>
          <w:color w:val="F07E31"/>
          <w:kern w:val="32"/>
          <w:sz w:val="24"/>
          <w:szCs w:val="24"/>
        </w:rPr>
      </w:pPr>
      <w:r>
        <w:rPr>
          <w:rFonts w:ascii="Helvetica" w:hAnsi="Helvetica"/>
          <w:b/>
          <w:bCs/>
          <w:caps/>
          <w:color w:val="F07E31"/>
          <w:sz w:val="24"/>
          <w:szCs w:val="24"/>
        </w:rPr>
        <w:lastRenderedPageBreak/>
        <w:t>Dankeswort</w:t>
      </w:r>
    </w:p>
    <w:p w:rsidR="00E05D08" w:rsidRPr="00E05D08" w:rsidRDefault="00E05D08" w:rsidP="00E05D08">
      <w:pPr>
        <w:spacing w:after="120" w:line="280" w:lineRule="atLeast"/>
        <w:mirrorIndents/>
        <w:rPr>
          <w:rFonts w:eastAsia="Times New Roman" w:cs="Times New Roman"/>
          <w:i/>
          <w:szCs w:val="20"/>
        </w:rPr>
      </w:pPr>
      <w:r>
        <w:rPr>
          <w:i/>
          <w:szCs w:val="20"/>
        </w:rPr>
        <w:t xml:space="preserve">Die vorliegenden Leitlinien wurden von einem Expertenteam des Europäischen Evaluierungs-Helpdesks für ländliche Entwicklung zusammengestellt, bestehend aus Boru Douthwaite, Marili Parissaki, Andreas Resch, Jela Tvrdonova, Valérie Dumont, Matteo Metta, Myles Stiffler und Hannes Wimmer. </w:t>
      </w:r>
    </w:p>
    <w:p w:rsidR="00E05D08" w:rsidRPr="00E05D08" w:rsidRDefault="00E05D08" w:rsidP="00E05D08">
      <w:pPr>
        <w:spacing w:after="120" w:line="280" w:lineRule="atLeast"/>
        <w:mirrorIndents/>
        <w:rPr>
          <w:rFonts w:eastAsia="Times New Roman" w:cs="Times New Roman"/>
          <w:i/>
          <w:szCs w:val="20"/>
        </w:rPr>
      </w:pPr>
      <w:r>
        <w:rPr>
          <w:i/>
          <w:szCs w:val="20"/>
        </w:rPr>
        <w:t xml:space="preserve">Verschiedene Experten wurden als Gutachter herangezogen (Anna Maria Augustyn, Simona Cristiano, Anikó Juhász, Bill Slee) oder leisteten einen Wissensbeitrag zum Thema Bewertungsverfahren (Bart Van Herck, Dimitris Skuras). </w:t>
      </w:r>
    </w:p>
    <w:p w:rsidR="00E05D08" w:rsidRPr="00E05D08" w:rsidRDefault="00E05D08" w:rsidP="00E05D08">
      <w:pPr>
        <w:spacing w:after="120" w:line="280" w:lineRule="atLeast"/>
        <w:mirrorIndents/>
        <w:rPr>
          <w:rFonts w:eastAsia="Times New Roman" w:cs="Times New Roman"/>
          <w:i/>
          <w:szCs w:val="20"/>
        </w:rPr>
      </w:pPr>
      <w:r>
        <w:rPr>
          <w:i/>
          <w:szCs w:val="20"/>
        </w:rPr>
        <w:t>Für die Kohärenz der Leitlinien mit dem politischen Rahmen der EU sorgten Vertreter der GD Landwirtschaft und ländliche Entwicklung.</w:t>
      </w:r>
    </w:p>
    <w:p w:rsidR="00E05D08" w:rsidRPr="00E05D08" w:rsidRDefault="00E05D08" w:rsidP="00E05D08">
      <w:pPr>
        <w:spacing w:after="120" w:line="280" w:lineRule="atLeast"/>
        <w:mirrorIndents/>
        <w:rPr>
          <w:rFonts w:eastAsia="Times New Roman" w:cs="Times New Roman"/>
          <w:i/>
          <w:szCs w:val="20"/>
        </w:rPr>
      </w:pPr>
      <w:r>
        <w:rPr>
          <w:i/>
          <w:szCs w:val="20"/>
        </w:rPr>
        <w:t>Vertreter der Mitgliedstaaten haben im Rahmen des Diskussionstreffens vom 22. März 2017 und im Rahmen der 11. Sitzung der Expertengruppe für die Begleitung und Bewertung der GAP vom 10. Mai 2017 Stellungnahmen zu den Entwurfsfassungen der Leitlinien abgegeben.</w:t>
      </w:r>
      <w:r w:rsidR="006864FC">
        <w:rPr>
          <w:i/>
          <w:szCs w:val="20"/>
        </w:rPr>
        <w:t xml:space="preserve"> </w:t>
      </w:r>
    </w:p>
    <w:p w:rsidR="00E05D08" w:rsidRPr="00E05D08" w:rsidRDefault="00E05D08" w:rsidP="00E05D08">
      <w:pPr>
        <w:spacing w:after="120" w:line="280" w:lineRule="atLeast"/>
        <w:mirrorIndents/>
        <w:rPr>
          <w:rFonts w:eastAsia="Times New Roman" w:cs="Times New Roman"/>
          <w:i/>
          <w:szCs w:val="20"/>
        </w:rPr>
      </w:pPr>
      <w:r>
        <w:rPr>
          <w:i/>
          <w:szCs w:val="20"/>
        </w:rPr>
        <w:t>Die ENRD-Kontaktstelle und die EIP-Dienststelle wurden ebenfalls zu einer Stellungnahme zu den Leitlinien aufgefordert.</w:t>
      </w:r>
    </w:p>
    <w:p w:rsidR="00E05D08" w:rsidRPr="00E05D08" w:rsidRDefault="00E05D08" w:rsidP="00E05D08">
      <w:pPr>
        <w:spacing w:after="0" w:line="240" w:lineRule="auto"/>
        <w:rPr>
          <w:rFonts w:eastAsia="Times New Roman" w:cs="Times New Roman"/>
          <w:szCs w:val="20"/>
        </w:rPr>
      </w:pPr>
      <w:r>
        <w:br w:type="page"/>
      </w:r>
    </w:p>
    <w:p w:rsidR="00E05D08" w:rsidRPr="00A86A02" w:rsidRDefault="00E05D08" w:rsidP="00E05D08">
      <w:pPr>
        <w:spacing w:after="120" w:line="280" w:lineRule="atLeast"/>
        <w:mirrorIndents/>
        <w:rPr>
          <w:rFonts w:eastAsia="Times New Roman" w:cs="Arial"/>
          <w:smallCaps/>
          <w:color w:val="F07E31"/>
          <w:sz w:val="36"/>
          <w:szCs w:val="60"/>
          <w:lang w:eastAsia="de-DE"/>
        </w:rPr>
        <w:sectPr w:rsidR="00E05D08" w:rsidRPr="00A86A02" w:rsidSect="006D209F">
          <w:headerReference w:type="default" r:id="rId18"/>
          <w:footerReference w:type="default" r:id="rId19"/>
          <w:headerReference w:type="first" r:id="rId20"/>
          <w:footerReference w:type="first" r:id="rId21"/>
          <w:endnotePr>
            <w:numFmt w:val="decimal"/>
          </w:endnotePr>
          <w:pgSz w:w="11906" w:h="16838" w:code="9"/>
          <w:pgMar w:top="1440" w:right="1440" w:bottom="1134" w:left="1440" w:header="567" w:footer="1021" w:gutter="0"/>
          <w:cols w:space="708"/>
          <w:noEndnote/>
          <w:titlePg/>
          <w:docGrid w:linePitch="360"/>
        </w:sectPr>
      </w:pPr>
    </w:p>
    <w:p w:rsidR="00E05D08" w:rsidRPr="00E05D08" w:rsidRDefault="00E05D08" w:rsidP="00E05D08">
      <w:pPr>
        <w:spacing w:after="120" w:line="280" w:lineRule="atLeast"/>
        <w:mirrorIndents/>
        <w:rPr>
          <w:rFonts w:eastAsia="Times New Roman" w:cs="Arial"/>
          <w:smallCaps/>
          <w:color w:val="F07E31"/>
          <w:sz w:val="36"/>
          <w:szCs w:val="60"/>
        </w:rPr>
      </w:pPr>
      <w:r>
        <w:rPr>
          <w:smallCaps/>
          <w:color w:val="F07E31"/>
          <w:sz w:val="36"/>
          <w:szCs w:val="60"/>
        </w:rPr>
        <w:lastRenderedPageBreak/>
        <w:t xml:space="preserve">EINLEITUNG </w:t>
      </w:r>
    </w:p>
    <w:p w:rsidR="00E05D08" w:rsidRPr="00E05D08" w:rsidRDefault="00E05D08" w:rsidP="00E05D08">
      <w:pPr>
        <w:keepNext/>
        <w:spacing w:before="240" w:after="240" w:line="280" w:lineRule="atLeast"/>
        <w:outlineLvl w:val="3"/>
        <w:rPr>
          <w:rFonts w:eastAsia="Times New Roman" w:cs="Times New Roman"/>
          <w:b/>
          <w:bCs/>
          <w:color w:val="57825E"/>
          <w:kern w:val="32"/>
          <w:szCs w:val="24"/>
        </w:rPr>
      </w:pPr>
      <w:r>
        <w:rPr>
          <w:b/>
          <w:bCs/>
          <w:color w:val="57825E"/>
          <w:szCs w:val="24"/>
        </w:rPr>
        <w:t xml:space="preserve">Warum sollte Innovation in den Programmen zur Entwicklung des ländlichen Raums bewertet werden? </w:t>
      </w:r>
    </w:p>
    <w:p w:rsidR="00A45935" w:rsidRPr="00E05D08" w:rsidRDefault="00E05D08" w:rsidP="00E05D08">
      <w:pPr>
        <w:spacing w:after="120" w:line="280" w:lineRule="atLeast"/>
        <w:mirrorIndents/>
        <w:rPr>
          <w:rFonts w:eastAsia="Times New Roman" w:cs="Times New Roman"/>
          <w:bCs/>
          <w:iCs/>
          <w:color w:val="000000"/>
          <w:szCs w:val="20"/>
        </w:rPr>
      </w:pPr>
      <w:r>
        <w:rPr>
          <w:b/>
          <w:bCs/>
          <w:i/>
          <w:iCs/>
          <w:szCs w:val="20"/>
        </w:rPr>
        <w:t>Innovation ist eines der drei Querschnittsziele der Politik für den ländlichen Raum</w:t>
      </w:r>
      <w:r w:rsidR="00A45935" w:rsidRPr="00E05D08">
        <w:rPr>
          <w:rFonts w:eastAsia="Times New Roman" w:cs="Arial"/>
          <w:b/>
          <w:bCs/>
          <w:iCs/>
          <w:color w:val="000000"/>
          <w:szCs w:val="20"/>
          <w:vertAlign w:val="superscript"/>
          <w:lang w:eastAsia="de-DE"/>
        </w:rPr>
        <w:footnoteReference w:id="1"/>
      </w:r>
      <w:r>
        <w:rPr>
          <w:b/>
          <w:bCs/>
          <w:i/>
          <w:iCs/>
          <w:szCs w:val="20"/>
        </w:rPr>
        <w:t>. Durch die Interventionen, die im Rahmen der Maßnahmen und Schwerpunktbereiche der Programme zur Entwicklung des ländlichen Raums 2014-2020 umgesetzt werden, soll dieses Querschnittsziel erreicht werden</w:t>
      </w:r>
      <w:r w:rsidR="00A45935" w:rsidRPr="00E05D08">
        <w:rPr>
          <w:rFonts w:eastAsia="Times New Roman" w:cs="Arial"/>
          <w:b/>
          <w:i/>
          <w:iCs/>
          <w:szCs w:val="20"/>
          <w:vertAlign w:val="superscript"/>
          <w:lang w:eastAsia="de-DE"/>
        </w:rPr>
        <w:footnoteReference w:id="2"/>
      </w:r>
      <w:r>
        <w:rPr>
          <w:b/>
          <w:bCs/>
          <w:i/>
          <w:iCs/>
          <w:szCs w:val="20"/>
        </w:rPr>
        <w:t>.</w:t>
      </w:r>
      <w:r>
        <w:rPr>
          <w:b/>
          <w:bCs/>
          <w:i/>
          <w:iCs/>
          <w:color w:val="000000"/>
          <w:szCs w:val="20"/>
        </w:rPr>
        <w:t xml:space="preserve"> </w:t>
      </w:r>
    </w:p>
    <w:p w:rsidR="00A45935" w:rsidRPr="00E05D08" w:rsidRDefault="00A45935" w:rsidP="00E05D08">
      <w:pPr>
        <w:spacing w:after="120" w:line="280" w:lineRule="atLeast"/>
        <w:mirrorIndents/>
        <w:rPr>
          <w:rFonts w:eastAsia="Times New Roman" w:cs="Times New Roman"/>
          <w:szCs w:val="20"/>
        </w:rPr>
      </w:pPr>
      <w:r>
        <w:rPr>
          <w:b/>
          <w:szCs w:val="20"/>
        </w:rPr>
        <w:t>Die unter diesem Querschnittsziel erzielten Erfolge</w:t>
      </w:r>
      <w:r>
        <w:t xml:space="preserve"> </w:t>
      </w:r>
      <w:r>
        <w:rPr>
          <w:b/>
          <w:szCs w:val="20"/>
        </w:rPr>
        <w:t>sind der Gegenstand der Bewertung von Innovation</w:t>
      </w:r>
      <w:r w:rsidRPr="00E05D08">
        <w:rPr>
          <w:rFonts w:eastAsia="Times New Roman" w:cs="Arial"/>
          <w:bCs/>
          <w:iCs/>
          <w:color w:val="000000"/>
          <w:szCs w:val="20"/>
          <w:vertAlign w:val="superscript"/>
          <w:lang w:eastAsia="de-DE"/>
        </w:rPr>
        <w:footnoteReference w:id="3"/>
      </w:r>
      <w:r>
        <w:t>. Zur Beantwortung der innovationsbezogenen gemeinsamen Bewertungsfragen wird in dem Zusammenhang beurteilt, in welchem Umfang die Innovationen, die aus den Mitteln des Europäischen Landwirtschaftsfonds für die Entwicklung des ländlichen Raums (ELER) finanziert wurden, zur Verwirklichung der Ziele der Programme zur Entwicklung des ländlichen Raums sowie zu den Zielen der EU-Politik beigetragen haben.</w:t>
      </w:r>
    </w:p>
    <w:p w:rsidR="00A45935" w:rsidRPr="00E05D08" w:rsidRDefault="00A45935" w:rsidP="00E05D08">
      <w:pPr>
        <w:spacing w:after="120" w:line="280" w:lineRule="atLeast"/>
        <w:mirrorIndents/>
        <w:rPr>
          <w:rFonts w:eastAsia="Times New Roman" w:cs="Times New Roman"/>
          <w:szCs w:val="20"/>
        </w:rPr>
      </w:pPr>
      <w:r>
        <w:t>Es sprechen mehrere Gründe dafür, Innovation zu bewerten:</w:t>
      </w:r>
    </w:p>
    <w:p w:rsidR="00A45935" w:rsidRPr="00B05B45" w:rsidRDefault="00A45935" w:rsidP="00D77B96">
      <w:pPr>
        <w:pStyle w:val="Hlistbullet"/>
      </w:pPr>
      <w:r>
        <w:rPr>
          <w:b/>
        </w:rPr>
        <w:t>um Rechenschaft über die Interventionen zur Entwicklung des ländlichen Raums abzugeben</w:t>
      </w:r>
      <w:r>
        <w:t xml:space="preserve"> und zu zeigen, wie Innovation in den ländlichen Gebieten durch diese Interventionen gefördert wurde und wie sich die Interventionen auf die Programmergebnisse und die Politik des ländlichen Raums sowie auf die Ziele der Strategie Europa 2020 ausgewirkt haben; </w:t>
      </w:r>
    </w:p>
    <w:p w:rsidR="00A45935" w:rsidRPr="00B05B45" w:rsidRDefault="00A45935" w:rsidP="00D77B96">
      <w:pPr>
        <w:pStyle w:val="Hlistbullet"/>
      </w:pPr>
      <w:r>
        <w:rPr>
          <w:b/>
        </w:rPr>
        <w:t>um die ELER-Förderung gezielter auf Innovation auszurichten,</w:t>
      </w:r>
      <w:r>
        <w:t xml:space="preserve"> indem die relevantesten Programmbegünstigten und -gebiete sowie die passendsten förderfähigen Aktionen ausgewählt werden; </w:t>
      </w:r>
    </w:p>
    <w:p w:rsidR="00A45935" w:rsidRPr="00B05B45" w:rsidRDefault="00384697" w:rsidP="00D77B96">
      <w:pPr>
        <w:pStyle w:val="Hlistbullet"/>
      </w:pPr>
      <w:r w:rsidRPr="00B05B45">
        <w:rPr>
          <w:b/>
          <w:noProof/>
          <w:lang w:val="en-GB" w:eastAsia="en-GB"/>
        </w:rPr>
        <mc:AlternateContent>
          <mc:Choice Requires="wps">
            <w:drawing>
              <wp:anchor distT="0" distB="0" distL="114300" distR="114300" simplePos="0" relativeHeight="251702272" behindDoc="0" locked="0" layoutInCell="1" allowOverlap="1" wp14:anchorId="73003725" wp14:editId="6A508C4C">
                <wp:simplePos x="0" y="0"/>
                <wp:positionH relativeFrom="column">
                  <wp:posOffset>3116580</wp:posOffset>
                </wp:positionH>
                <wp:positionV relativeFrom="paragraph">
                  <wp:posOffset>300990</wp:posOffset>
                </wp:positionV>
                <wp:extent cx="2649855" cy="3268980"/>
                <wp:effectExtent l="0" t="0" r="17145" b="26670"/>
                <wp:wrapSquare wrapText="bothSides"/>
                <wp:docPr id="90" name="Rectangle: Diagonal Corners Rounded 90"/>
                <wp:cNvGraphicFramePr/>
                <a:graphic xmlns:a="http://schemas.openxmlformats.org/drawingml/2006/main">
                  <a:graphicData uri="http://schemas.microsoft.com/office/word/2010/wordprocessingShape">
                    <wps:wsp>
                      <wps:cNvSpPr/>
                      <wps:spPr>
                        <a:xfrm>
                          <a:off x="0" y="0"/>
                          <a:ext cx="2649855" cy="3268980"/>
                        </a:xfrm>
                        <a:prstGeom prst="round2DiagRect">
                          <a:avLst>
                            <a:gd name="adj1" fmla="val 8733"/>
                            <a:gd name="adj2" fmla="val 0"/>
                          </a:avLst>
                        </a:prstGeom>
                        <a:noFill/>
                        <a:ln w="25400" cap="flat" cmpd="sng" algn="ctr">
                          <a:solidFill>
                            <a:srgbClr val="BE4A35"/>
                          </a:solidFill>
                          <a:prstDash val="solid"/>
                        </a:ln>
                        <a:effectLst/>
                      </wps:spPr>
                      <wps:txbx>
                        <w:txbxContent>
                          <w:p w:rsidR="00533F8C" w:rsidRPr="00A86A02" w:rsidRDefault="00533F8C" w:rsidP="00E05D08">
                            <w:pPr>
                              <w:pStyle w:val="HBox"/>
                              <w:rPr>
                                <w:sz w:val="16"/>
                                <w:szCs w:val="16"/>
                              </w:rPr>
                            </w:pPr>
                            <w:r>
                              <w:rPr>
                                <w:noProof/>
                                <w:lang w:val="en-GB" w:eastAsia="en-GB"/>
                              </w:rPr>
                              <w:drawing>
                                <wp:inline distT="0" distB="0" distL="0" distR="0" wp14:anchorId="49370647" wp14:editId="5EF8BF1D">
                                  <wp:extent cx="664845" cy="487680"/>
                                  <wp:effectExtent l="0" t="0" r="0" b="7620"/>
                                  <wp:docPr id="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A86A02">
                              <w:rPr>
                                <w:sz w:val="16"/>
                                <w:szCs w:val="16"/>
                              </w:rPr>
                              <w:t xml:space="preserve">Das vorliegende Dokument versteht sich hauptsächlich als Ergänzung zu anderen Leitlinien und soll denjenigen, die an der Bewertung eines Programms zur Entwicklung des ländlichen Raums beteiligt sind, bei der Durchführung der Bewertungstätigkeiten helfen, die zur </w:t>
                            </w:r>
                            <w:r w:rsidRPr="00A86A02">
                              <w:rPr>
                                <w:b/>
                                <w:sz w:val="16"/>
                                <w:szCs w:val="16"/>
                              </w:rPr>
                              <w:t xml:space="preserve">Beantwortung der gemeinsamen innovationsbezogenen Bewertungsfragen erforderlich sind. </w:t>
                            </w:r>
                            <w:r w:rsidRPr="00A86A02">
                              <w:rPr>
                                <w:sz w:val="16"/>
                                <w:szCs w:val="16"/>
                              </w:rPr>
                              <w:t xml:space="preserve">Da sich die Auswirkungen der Programme zur Entwicklung des ländlichen Raums auf die Innovation in ländlichen Gebieten voraussichtlich erst </w:t>
                            </w:r>
                            <w:r w:rsidRPr="00122217">
                              <w:rPr>
                                <w:b/>
                                <w:sz w:val="16"/>
                                <w:szCs w:val="16"/>
                              </w:rPr>
                              <w:t>langfristig</w:t>
                            </w:r>
                            <w:r w:rsidRPr="00A86A02">
                              <w:rPr>
                                <w:sz w:val="16"/>
                                <w:szCs w:val="16"/>
                              </w:rPr>
                              <w:t xml:space="preserve"> zeigen</w:t>
                            </w:r>
                            <w:r w:rsidRPr="00A86A02">
                              <w:rPr>
                                <w:b/>
                                <w:sz w:val="16"/>
                                <w:szCs w:val="16"/>
                              </w:rPr>
                              <w:t xml:space="preserve">, </w:t>
                            </w:r>
                            <w:r w:rsidRPr="00122217">
                              <w:rPr>
                                <w:sz w:val="16"/>
                                <w:szCs w:val="16"/>
                              </w:rPr>
                              <w:t>liegt der Schwerpunkt der Leitlinien</w:t>
                            </w:r>
                            <w:r w:rsidRPr="00A86A02">
                              <w:rPr>
                                <w:b/>
                                <w:sz w:val="16"/>
                                <w:szCs w:val="16"/>
                              </w:rPr>
                              <w:t xml:space="preserve"> </w:t>
                            </w:r>
                            <w:r w:rsidRPr="00A86A02">
                              <w:rPr>
                                <w:sz w:val="16"/>
                                <w:szCs w:val="16"/>
                              </w:rPr>
                              <w:t>vor allem auf jenen Aktivitäten</w:t>
                            </w:r>
                            <w:r>
                              <w:t xml:space="preserve"> </w:t>
                            </w:r>
                            <w:r w:rsidRPr="00A86A02">
                              <w:rPr>
                                <w:sz w:val="16"/>
                                <w:szCs w:val="16"/>
                              </w:rPr>
                              <w:t>in Verbindung mit der Bewertung, die in den jährlichen Durchführungsbericht 2019 sowie in die Ex-post-Bewertung einfließen.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03725" id="Rectangle: Diagonal Corners Rounded 90" o:spid="_x0000_s1029" style="position:absolute;left:0;text-align:left;margin-left:245.4pt;margin-top:23.7pt;width:208.65pt;height:257.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9855,3268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" adj="-11796480,,5400" path="m231412,l2649855,r,l2649855,3037568v,127805,-103607,231412,-231412,231412l,3268980r,l,231412c,103607,103607,,231412,xe" filled="f" strokecolor="#be4a35" strokeweight="2pt">
                <v:stroke joinstyle="miter"/>
                <v:formulas/>
                <v:path arrowok="t" o:connecttype="custom" o:connectlocs="231412,0;2649855,0;2649855,0;2649855,3037568;2418443,3268980;0,3268980;0,3268980;0,231412;231412,0" o:connectangles="0,0,0,0,0,0,0,0,0" textboxrect="0,0,2649855,3268980"/>
                <v:textbox>
                  <w:txbxContent>
                    <w:p w:rsidR="00533F8C" w:rsidRPr="00A86A02" w:rsidRDefault="00533F8C" w:rsidP="00E05D08">
                      <w:pPr>
                        <w:pStyle w:val="HBox"/>
                        <w:rPr>
                          <w:sz w:val="16"/>
                          <w:szCs w:val="16"/>
                        </w:rPr>
                      </w:pPr>
                      <w:r>
                        <w:rPr>
                          <w:noProof/>
                          <w:lang w:val="en-GB" w:eastAsia="en-GB"/>
                        </w:rPr>
                        <w:drawing>
                          <wp:inline distT="0" distB="0" distL="0" distR="0" wp14:anchorId="49370647" wp14:editId="5EF8BF1D">
                            <wp:extent cx="664845" cy="487680"/>
                            <wp:effectExtent l="0" t="0" r="0" b="7620"/>
                            <wp:docPr id="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A86A02">
                        <w:rPr>
                          <w:sz w:val="16"/>
                          <w:szCs w:val="16"/>
                        </w:rPr>
                        <w:t xml:space="preserve">Das vorliegende Dokument versteht sich hauptsächlich als Ergänzung zu anderen Leitlinien und soll denjenigen, die an der Bewertung eines Programms zur Entwicklung des ländlichen Raums beteiligt sind, bei der Durchführung der Bewertungstätigkeiten helfen, die zur </w:t>
                      </w:r>
                      <w:r w:rsidRPr="00A86A02">
                        <w:rPr>
                          <w:b/>
                          <w:sz w:val="16"/>
                          <w:szCs w:val="16"/>
                        </w:rPr>
                        <w:t xml:space="preserve">Beantwortung der gemeinsamen innovationsbezogenen Bewertungsfragen erforderlich sind. </w:t>
                      </w:r>
                      <w:r w:rsidRPr="00A86A02">
                        <w:rPr>
                          <w:sz w:val="16"/>
                          <w:szCs w:val="16"/>
                        </w:rPr>
                        <w:t xml:space="preserve">Da sich die Auswirkungen der Programme zur Entwicklung des ländlichen Raums auf die Innovation in ländlichen Gebieten voraussichtlich erst </w:t>
                      </w:r>
                      <w:r w:rsidRPr="00122217">
                        <w:rPr>
                          <w:b/>
                          <w:sz w:val="16"/>
                          <w:szCs w:val="16"/>
                        </w:rPr>
                        <w:t>langfristig</w:t>
                      </w:r>
                      <w:r w:rsidRPr="00A86A02">
                        <w:rPr>
                          <w:sz w:val="16"/>
                          <w:szCs w:val="16"/>
                        </w:rPr>
                        <w:t xml:space="preserve"> zeigen</w:t>
                      </w:r>
                      <w:r w:rsidRPr="00A86A02">
                        <w:rPr>
                          <w:b/>
                          <w:sz w:val="16"/>
                          <w:szCs w:val="16"/>
                        </w:rPr>
                        <w:t xml:space="preserve">, </w:t>
                      </w:r>
                      <w:r w:rsidRPr="00122217">
                        <w:rPr>
                          <w:sz w:val="16"/>
                          <w:szCs w:val="16"/>
                        </w:rPr>
                        <w:t>liegt der Schwerpunkt der Leitlinien</w:t>
                      </w:r>
                      <w:r w:rsidRPr="00A86A02">
                        <w:rPr>
                          <w:b/>
                          <w:sz w:val="16"/>
                          <w:szCs w:val="16"/>
                        </w:rPr>
                        <w:t xml:space="preserve"> </w:t>
                      </w:r>
                      <w:r w:rsidRPr="00A86A02">
                        <w:rPr>
                          <w:sz w:val="16"/>
                          <w:szCs w:val="16"/>
                        </w:rPr>
                        <w:t>vor allem auf jenen Aktivitäten</w:t>
                      </w:r>
                      <w:r>
                        <w:t xml:space="preserve"> </w:t>
                      </w:r>
                      <w:r w:rsidRPr="00A86A02">
                        <w:rPr>
                          <w:sz w:val="16"/>
                          <w:szCs w:val="16"/>
                        </w:rPr>
                        <w:t>in Verbindung mit der Bewertung, die in den jährlichen Durchführungsbericht 2019 sowie in die Ex-post-Bewertung einfließen.</w:t>
                      </w:r>
                    </w:p>
                  </w:txbxContent>
                </v:textbox>
                <w10:wrap type="square"/>
              </v:shape>
            </w:pict>
          </mc:Fallback>
        </mc:AlternateContent>
      </w:r>
      <w:r w:rsidR="00A45935">
        <w:rPr>
          <w:b/>
        </w:rPr>
        <w:t>um das gemeinsame Lernen der Interessengruppen darüber zu fördern,</w:t>
      </w:r>
      <w:r w:rsidR="00A45935">
        <w:t xml:space="preserve"> wie innovative Projekte am besten unterstützt und umgesetzt werden können, indem aus Erfahrungen gelernt und ergründet wird, welche Voraussetzungen erfüllt werden müssten, damit die Vorhaben erfolgreich sind. </w:t>
      </w:r>
    </w:p>
    <w:p w:rsidR="00A45935" w:rsidRPr="00E05D08" w:rsidRDefault="00D66182" w:rsidP="00E05D08">
      <w:pPr>
        <w:keepNext/>
        <w:keepLines/>
        <w:tabs>
          <w:tab w:val="left" w:pos="680"/>
        </w:tabs>
        <w:spacing w:before="240" w:after="240" w:line="280" w:lineRule="atLeast"/>
        <w:mirrorIndents/>
        <w:outlineLvl w:val="3"/>
        <w:rPr>
          <w:rFonts w:eastAsia="Times New Roman" w:cs="Arial"/>
          <w:b/>
          <w:color w:val="57825E"/>
          <w:szCs w:val="20"/>
          <w14:textFill>
            <w14:solidFill>
              <w14:srgbClr w14:val="57825E">
                <w14:lumMod w14:val="75000"/>
              </w14:srgbClr>
            </w14:solidFill>
          </w14:textFill>
        </w:rPr>
      </w:pPr>
      <w:r>
        <w:rPr>
          <w:b/>
          <w:color w:val="57825E"/>
          <w:szCs w:val="20"/>
        </w:rPr>
        <w:t>Wozu braucht es diese Leitlinien?</w:t>
      </w:r>
    </w:p>
    <w:p w:rsidR="00A45935" w:rsidRPr="00E05D08" w:rsidRDefault="00A45935" w:rsidP="00E05D08">
      <w:pPr>
        <w:spacing w:after="120" w:line="280" w:lineRule="atLeast"/>
        <w:mirrorIndents/>
        <w:rPr>
          <w:rFonts w:eastAsia="Times New Roman" w:cs="Times New Roman"/>
          <w:szCs w:val="20"/>
        </w:rPr>
      </w:pPr>
      <w:r w:rsidRPr="00122217">
        <w:rPr>
          <w:szCs w:val="20"/>
        </w:rPr>
        <w:t>Aufgrund der wichtigen Stellung des Themas auf der allgemeinen politischen Agenda</w:t>
      </w:r>
      <w:r>
        <w:rPr>
          <w:b/>
          <w:szCs w:val="20"/>
        </w:rPr>
        <w:t xml:space="preserve"> </w:t>
      </w:r>
      <w:r w:rsidRPr="00122217">
        <w:rPr>
          <w:b/>
        </w:rPr>
        <w:t>hat die Bewertung von Innovation</w:t>
      </w:r>
      <w:r>
        <w:t xml:space="preserve"> im Programmplanungszeitraum 2014-2020 </w:t>
      </w:r>
      <w:r w:rsidRPr="00122217">
        <w:rPr>
          <w:b/>
        </w:rPr>
        <w:t>an Bedeutung gewonnen</w:t>
      </w:r>
      <w:r>
        <w:t xml:space="preserve">. Die Programme zur Entwicklung des ländlichen Raums können Innovationsprozesse </w:t>
      </w:r>
      <w:r w:rsidR="00C764E7">
        <w:t xml:space="preserve">fördern </w:t>
      </w:r>
      <w:r>
        <w:t xml:space="preserve">und im Rahmen des Programms sowie innerhalb des Innovationssystems insgesamt zu greifbaren und weniger greifbaren Ergebnissen führen. </w:t>
      </w:r>
    </w:p>
    <w:p w:rsidR="00A45935" w:rsidRPr="00E05D08" w:rsidRDefault="00A45935" w:rsidP="00E05D08">
      <w:pPr>
        <w:spacing w:after="120" w:line="280" w:lineRule="atLeast"/>
        <w:mirrorIndents/>
        <w:rPr>
          <w:rFonts w:eastAsia="Times New Roman" w:cs="Times New Roman"/>
          <w:szCs w:val="20"/>
        </w:rPr>
      </w:pPr>
      <w:r w:rsidRPr="00122217">
        <w:rPr>
          <w:b/>
        </w:rPr>
        <w:t>Die Erfassung</w:t>
      </w:r>
      <w:r>
        <w:t xml:space="preserve"> </w:t>
      </w:r>
      <w:r>
        <w:rPr>
          <w:b/>
          <w:szCs w:val="20"/>
        </w:rPr>
        <w:t xml:space="preserve">dieser Effekte birgt </w:t>
      </w:r>
      <w:r w:rsidRPr="00122217">
        <w:rPr>
          <w:szCs w:val="20"/>
        </w:rPr>
        <w:t>hinsichtlich der Bewertung</w:t>
      </w:r>
      <w:r w:rsidR="006864FC">
        <w:rPr>
          <w:b/>
          <w:szCs w:val="20"/>
        </w:rPr>
        <w:t xml:space="preserve"> </w:t>
      </w:r>
      <w:r>
        <w:rPr>
          <w:b/>
          <w:szCs w:val="20"/>
        </w:rPr>
        <w:t xml:space="preserve">mehrere methodische </w:t>
      </w:r>
      <w:r>
        <w:rPr>
          <w:b/>
          <w:szCs w:val="20"/>
        </w:rPr>
        <w:lastRenderedPageBreak/>
        <w:t>Herausforderungen</w:t>
      </w:r>
      <w:r>
        <w:t>:</w:t>
      </w:r>
      <w:r>
        <w:rPr>
          <w:b/>
          <w:szCs w:val="20"/>
        </w:rPr>
        <w:t xml:space="preserve"> </w:t>
      </w:r>
      <w:r>
        <w:t xml:space="preserve">Wie lässt sich der Gegenstand der Bewertung klar identifizieren? Welche Auswirkungen, die zu den Innovationsprozessen in ländlichen Gebieten beitragen, lassen sich dem Programm zur Entwicklung des ländlichen Raums zuschreiben? Wie lässt </w:t>
      </w:r>
      <w:r w:rsidR="00C764E7">
        <w:t xml:space="preserve">sich </w:t>
      </w:r>
      <w:r>
        <w:t>bewerten, inwieweit die aus ELER-Mitteln finanzierten Innovationen zu den breiteren Ergebnissen und Auswirkungen des Programms zur Entwicklung des ländlichen Raums beigetragen haben? Wie lässt sich messen, inwieweit die Ziele der regionalen/nationalen/EU-Politik erreicht wurden?</w:t>
      </w:r>
    </w:p>
    <w:p w:rsidR="00055039" w:rsidRDefault="00A45935" w:rsidP="00A6785E">
      <w:r>
        <w:t xml:space="preserve">Die </w:t>
      </w:r>
      <w:r>
        <w:rPr>
          <w:b/>
        </w:rPr>
        <w:t>4.</w:t>
      </w:r>
      <w:r>
        <w:rPr>
          <w:b/>
          <w:vertAlign w:val="superscript"/>
        </w:rPr>
        <w:t> </w:t>
      </w:r>
      <w:r w:rsidRPr="00384697">
        <w:rPr>
          <w:b/>
        </w:rPr>
        <w:t xml:space="preserve">thematische Arbeitsgruppe </w:t>
      </w:r>
      <w:r w:rsidRPr="00122217">
        <w:t>des Evaluierungs-Helpdesks</w:t>
      </w:r>
      <w:r w:rsidRPr="00384697">
        <w:rPr>
          <w:b/>
        </w:rPr>
        <w:t xml:space="preserve"> „Bewertung von Innovation in den Programmen zur Entwicklung des ländlichen Raums 2014-2020“</w:t>
      </w:r>
      <w:r>
        <w:t xml:space="preserve"> steckte sich folgende Ziele: (1) Untersuchung und Behandlung der wichtigsten Herausforderungen bei der Bewertung von Innovation; (2) Prüfung bestehender Bewertungserfahrungen auf dem Gebiet; (3) Ermittlung und Ausarbeitung praktischer Lösungen für die Bewertung von Innovation in den Programmen zur Entwicklung des ländlichen Raums; (4) Erarbeitung </w:t>
      </w:r>
      <w:r>
        <w:rPr>
          <w:b/>
        </w:rPr>
        <w:t>unverbindlicher Leitlinien für die Beantwortung der innovationsbezogenen gemeinsamen Bewertungsfragen</w:t>
      </w:r>
      <w:r>
        <w:t xml:space="preserve"> als Ergänzung zu den bestehenden Leitlinien und dem gemeinsamen Begleitungs- und Bewertungssystem (CMES). </w:t>
      </w:r>
    </w:p>
    <w:p w:rsidR="00A45935" w:rsidRPr="00E05D08" w:rsidRDefault="00A45935" w:rsidP="00055039">
      <w:pPr>
        <w:spacing w:after="120" w:line="280" w:lineRule="atLeast"/>
        <w:mirrorIndents/>
        <w:rPr>
          <w:rFonts w:eastAsia="Times New Roman" w:cs="Times New Roman"/>
          <w:b/>
          <w:color w:val="57825E"/>
          <w:szCs w:val="20"/>
        </w:rPr>
      </w:pPr>
      <w:r>
        <w:rPr>
          <w:b/>
          <w:color w:val="57825E"/>
          <w:szCs w:val="20"/>
        </w:rPr>
        <w:t>An welche Zielgruppe</w:t>
      </w:r>
      <w:r w:rsidR="00C764E7">
        <w:rPr>
          <w:b/>
          <w:color w:val="57825E"/>
          <w:szCs w:val="20"/>
        </w:rPr>
        <w:t>n</w:t>
      </w:r>
      <w:r>
        <w:rPr>
          <w:b/>
          <w:color w:val="57825E"/>
          <w:szCs w:val="20"/>
        </w:rPr>
        <w:t xml:space="preserve"> richten sich die Leitlinien?</w:t>
      </w:r>
    </w:p>
    <w:p w:rsidR="00A45935" w:rsidRPr="00E05D08" w:rsidRDefault="00A45935" w:rsidP="00E05D08">
      <w:pPr>
        <w:spacing w:after="120" w:line="280" w:lineRule="atLeast"/>
        <w:mirrorIndents/>
        <w:rPr>
          <w:rFonts w:eastAsia="Times New Roman" w:cs="Times New Roman"/>
          <w:szCs w:val="20"/>
        </w:rPr>
      </w:pPr>
      <w:r>
        <w:t xml:space="preserve">Die Leitlinien zur </w:t>
      </w:r>
      <w:r>
        <w:rPr>
          <w:i/>
          <w:szCs w:val="20"/>
        </w:rPr>
        <w:t>Bewertung von Innovation in den Programmen zur Entwicklung des ländlichen Raums 2014-2020</w:t>
      </w:r>
      <w:r>
        <w:t xml:space="preserve"> richten sich an verschiedene Akteure, die an der ländlichen Entwicklung beteiligt sind:</w:t>
      </w:r>
    </w:p>
    <w:p w:rsidR="00A45935" w:rsidRPr="00E16522" w:rsidRDefault="00A45935" w:rsidP="00D77B96">
      <w:r>
        <w:rPr>
          <w:b/>
        </w:rPr>
        <w:t>Verwaltungsbehörden</w:t>
      </w:r>
      <w:r>
        <w:t xml:space="preserve"> finden darin Informationen über die Bewertung von Innovation auf der Ebene des Programms zur Entwicklung des ländlichen Raums: Innovationsbegriff, politischer Rahmen und Schwerpunkt der innovationsbezogenen Bewertungsfragen. Das Dokument enthält praktische Leitlinien </w:t>
      </w:r>
      <w:r w:rsidR="00C764E7">
        <w:t xml:space="preserve">für </w:t>
      </w:r>
      <w:r>
        <w:t xml:space="preserve">die Vorbereitung, Verwaltung und Koordinierung einer Bewertung sowie darüber, wie der Beitrag von Innovationen zur Verwirklichung der Ziele der Programme zur Entwicklung des ländlichen Raums bewertet werden kann. </w:t>
      </w:r>
    </w:p>
    <w:p w:rsidR="00A45935" w:rsidRPr="00C37C7A" w:rsidRDefault="00A45935" w:rsidP="00C37C7A">
      <w:r>
        <w:rPr>
          <w:b/>
        </w:rPr>
        <w:t xml:space="preserve">Bewertungsexperten </w:t>
      </w:r>
      <w:r>
        <w:t xml:space="preserve">finden darin Lösungsansätze für verschiedene Herausforderungen im Zusammenhang mit der Bewertung von Innovation (z. B. Untersuchung des Innovationspotenzials eines Programms zur Entwicklung des ländlichen Raums bei der Festlegung der innovationsbezogenen Interventionslogik des Programms, Analyse des Beitrags von Innovation zur Verwirklichung der Ziele der Programme und zu den Ergebnissen und Auswirkungen des Programms). Die Bewerter erhalten außerdem eine Hilfestellung bei der Auswahl des besten Bewertungsansatzes und bei der Erfassung der Nachweise, die zur Beantwortung der Bewertungsfragen erforderlich sind. </w:t>
      </w:r>
    </w:p>
    <w:p w:rsidR="00A45935" w:rsidRPr="00E16522" w:rsidRDefault="00A45935" w:rsidP="00AA5817">
      <w:pPr>
        <w:pStyle w:val="HStandard"/>
      </w:pPr>
      <w:r>
        <w:rPr>
          <w:b/>
        </w:rPr>
        <w:t>Andere Interessengruppen</w:t>
      </w:r>
      <w:r>
        <w:t xml:space="preserve"> können die Leitlinien außerdem als Referenzdokument heranziehen: </w:t>
      </w:r>
      <w:r>
        <w:rPr>
          <w:b/>
        </w:rPr>
        <w:t>Bedienstete der Europäischen Kommission</w:t>
      </w:r>
      <w:r>
        <w:t xml:space="preserve"> (für Fragen in Zusammenhang mit der Bewertung von Innovation); </w:t>
      </w:r>
      <w:r>
        <w:rPr>
          <w:b/>
        </w:rPr>
        <w:t xml:space="preserve">operationelle Gruppen der Europäischen Innovationspartnerschaft (EIP) </w:t>
      </w:r>
      <w:r>
        <w:t xml:space="preserve">(als Hintergrundinformation bei der Ausarbeitung von Projekten und zur Beurteilung von deren Innovationspotenzial); </w:t>
      </w:r>
      <w:r>
        <w:rPr>
          <w:b/>
        </w:rPr>
        <w:t>Mitglieder</w:t>
      </w:r>
      <w:r>
        <w:t xml:space="preserve"> </w:t>
      </w:r>
      <w:r>
        <w:rPr>
          <w:b/>
        </w:rPr>
        <w:t>lokaler Aktionsgruppen (LAG)</w:t>
      </w:r>
      <w:r>
        <w:t xml:space="preserve"> (bei der Bewertung/Eigenbewertung innovativer Elemente ihrer Strategien, die unter die von der örtlichen Bevölkerung betriebenen Maßnahmen zur lokalen Entwicklung fallen (CLLD), und deren Auswirkungen auf die Innovation in ländlichen Gebieten); </w:t>
      </w:r>
      <w:r>
        <w:rPr>
          <w:b/>
        </w:rPr>
        <w:t>nationale Netzwerke für den ländlichen Raum (NRN)</w:t>
      </w:r>
      <w:r>
        <w:t xml:space="preserve"> beim Aufbau und bei der Unterstützung lokaler Aktionsgruppen und operationeller Gruppen der Europäischen Innovationspartnerschaft.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Aufbau der Leitlinien</w:t>
      </w:r>
    </w:p>
    <w:p w:rsidR="00A45935" w:rsidRPr="00E05D08" w:rsidRDefault="00A45935" w:rsidP="00E05D08">
      <w:pPr>
        <w:spacing w:after="120" w:line="280" w:lineRule="atLeast"/>
        <w:mirrorIndents/>
        <w:rPr>
          <w:rFonts w:eastAsia="Times New Roman" w:cs="Times New Roman"/>
          <w:szCs w:val="20"/>
        </w:rPr>
      </w:pPr>
      <w:r>
        <w:t xml:space="preserve">Die Leitlinien bestehen aus drei Teilen: </w:t>
      </w:r>
    </w:p>
    <w:p w:rsidR="00A45935" w:rsidRPr="00E05D08" w:rsidRDefault="00A45935" w:rsidP="00E05D08">
      <w:pPr>
        <w:spacing w:after="120" w:line="280" w:lineRule="atLeast"/>
        <w:mirrorIndents/>
        <w:rPr>
          <w:rFonts w:eastAsia="Times New Roman" w:cs="Times New Roman"/>
          <w:szCs w:val="20"/>
        </w:rPr>
      </w:pPr>
      <w:r>
        <w:t xml:space="preserve">In </w:t>
      </w:r>
      <w:r>
        <w:rPr>
          <w:b/>
          <w:color w:val="F07E31"/>
          <w:szCs w:val="20"/>
        </w:rPr>
        <w:t>Kapitel 1</w:t>
      </w:r>
      <w:r>
        <w:t xml:space="preserve"> werden das Innovationssystem in ländlichen Gebieten und der Begriff der Bewertung von Innovation in der Entwicklung des ländlichen Raums erläutert. Dabei werden der politische Rahmen der EU und der Programme zur Entwicklung des ländlichen Raums sowie deren Zusammenspiel erläutert und die gemeinsamen Bewertungselemente vorgestellt. In Kapitel 1.3 werden außerdem die </w:t>
      </w:r>
      <w:r>
        <w:lastRenderedPageBreak/>
        <w:t xml:space="preserve">Herausforderungen im Zusammenhang mit der Bewertung von Innovation in der Politik zur Entwicklung des ländlichen Raums erörtert. </w:t>
      </w:r>
    </w:p>
    <w:p w:rsidR="00A45935" w:rsidRPr="00E05D08" w:rsidRDefault="00A45935" w:rsidP="00E05D08">
      <w:pPr>
        <w:spacing w:after="120" w:line="280" w:lineRule="atLeast"/>
        <w:mirrorIndents/>
        <w:rPr>
          <w:rFonts w:eastAsia="Times New Roman" w:cs="Times New Roman"/>
          <w:szCs w:val="20"/>
        </w:rPr>
      </w:pPr>
      <w:r>
        <w:rPr>
          <w:b/>
          <w:color w:val="F07E31"/>
          <w:szCs w:val="20"/>
        </w:rPr>
        <w:t>Kapitel 2</w:t>
      </w:r>
      <w:r>
        <w:rPr>
          <w:color w:val="F07E31"/>
          <w:szCs w:val="20"/>
        </w:rPr>
        <w:t xml:space="preserve"> </w:t>
      </w:r>
      <w:r>
        <w:t xml:space="preserve">informiert Verwaltungsbehörden über die Besonderheiten im Zusammenhang mit der Bewertung von Innovation sowie über Berichtspflichten. Kapitel 2.2 enthält eine Erläuterung der verschiedenen Ansätze bei der Beantwortung der innovationsbezogenen Bewertungsfragen sowie spezifische Anleitungen für die einzelnen gemeinsamen Bewertungsfragen: die Nummern 1, 2, 21, 23 und 30 beziehen sich dabei auf die innovationsbezogenen Aspekte. Darüber hinaus enthält das Kapitel eine Beschreibung der Methoden, die sich für die Bewertung von Innovation eignen. </w:t>
      </w:r>
    </w:p>
    <w:p w:rsidR="00A45935" w:rsidRPr="00E05D08" w:rsidRDefault="00A45935" w:rsidP="00E05D08">
      <w:pPr>
        <w:spacing w:after="120" w:line="280" w:lineRule="atLeast"/>
        <w:mirrorIndents/>
        <w:rPr>
          <w:rFonts w:eastAsia="Times New Roman" w:cs="Times New Roman"/>
          <w:szCs w:val="20"/>
        </w:rPr>
      </w:pPr>
      <w:r>
        <w:rPr>
          <w:b/>
          <w:color w:val="F07E31"/>
          <w:szCs w:val="20"/>
        </w:rPr>
        <w:t xml:space="preserve">Kapitel 3 </w:t>
      </w:r>
      <w:r>
        <w:t>(</w:t>
      </w:r>
      <w:r w:rsidR="00CA4559">
        <w:t>Anhänge</w:t>
      </w:r>
      <w:r>
        <w:t xml:space="preserve">) umfasst das Glossar und die Schritte, die zur Ermittlung des Innovationspotenzials eines Programms zur Entwicklung des ländlichen Raums erforderlich sind. </w:t>
      </w:r>
    </w:p>
    <w:p w:rsidR="00A45935" w:rsidRPr="00E05D08" w:rsidRDefault="00A45935" w:rsidP="00E05D08">
      <w:pPr>
        <w:spacing w:after="0" w:line="240" w:lineRule="auto"/>
        <w:rPr>
          <w:rFonts w:eastAsia="Calibri" w:cs="Arial"/>
          <w:szCs w:val="18"/>
          <w14:textFill>
            <w14:solidFill>
              <w14:srgbClr w14:val="373737">
                <w14:lumMod w14:val="75000"/>
              </w14:srgbClr>
            </w14:solidFill>
          </w14:textFill>
        </w:rPr>
      </w:pPr>
      <w:r>
        <w:br w:type="page"/>
      </w:r>
    </w:p>
    <w:p w:rsidR="00A45935" w:rsidRPr="00E05D08" w:rsidRDefault="00A45935" w:rsidP="00E05D08">
      <w:pPr>
        <w:keepNext/>
        <w:keepLines/>
        <w:pageBreakBefore/>
        <w:tabs>
          <w:tab w:val="left" w:pos="567"/>
        </w:tabs>
        <w:spacing w:before="360" w:after="360" w:line="280" w:lineRule="atLeast"/>
        <w:ind w:left="567" w:hanging="567"/>
        <w:mirrorIndents/>
        <w:outlineLvl w:val="0"/>
        <w:rPr>
          <w:rFonts w:eastAsia="Times New Roman" w:cs="Times New Roman"/>
          <w:b/>
          <w:caps/>
          <w:color w:val="F07E31"/>
          <w:szCs w:val="20"/>
        </w:rPr>
        <w:sectPr w:rsidR="00A45935" w:rsidRPr="00E05D08" w:rsidSect="00055039">
          <w:footerReference w:type="default" r:id="rId23"/>
          <w:endnotePr>
            <w:numFmt w:val="decimal"/>
          </w:endnotePr>
          <w:type w:val="continuous"/>
          <w:pgSz w:w="11906" w:h="16838" w:code="9"/>
          <w:pgMar w:top="1440" w:right="1440" w:bottom="1134" w:left="1440" w:header="567" w:footer="1021" w:gutter="0"/>
          <w:pgNumType w:start="1"/>
          <w:cols w:space="708"/>
          <w:noEndnote/>
          <w:docGrid w:linePitch="360"/>
        </w:sectPr>
      </w:pPr>
      <w:bookmarkStart w:id="5" w:name="_Toc501382120"/>
    </w:p>
    <w:p w:rsidR="00A45935" w:rsidRPr="00967CFD" w:rsidRDefault="00A45935" w:rsidP="00582F60">
      <w:pPr>
        <w:pStyle w:val="HHeading1"/>
        <w:tabs>
          <w:tab w:val="clear" w:pos="567"/>
        </w:tabs>
      </w:pPr>
      <w:bookmarkStart w:id="6" w:name="_Toc508377830"/>
      <w:r>
        <w:lastRenderedPageBreak/>
        <w:t>KONZEPTIONELLER RAHMEN</w:t>
      </w:r>
      <w:bookmarkEnd w:id="5"/>
      <w:bookmarkEnd w:id="6"/>
    </w:p>
    <w:p w:rsidR="00A45935" w:rsidRPr="00967CFD" w:rsidRDefault="00405B0B" w:rsidP="00C37C7A">
      <w:pPr>
        <w:pStyle w:val="HHeading2"/>
      </w:pPr>
      <w:bookmarkStart w:id="7" w:name="Innovation_RD"/>
      <w:bookmarkStart w:id="8" w:name="_Toc501382121"/>
      <w:bookmarkStart w:id="9" w:name="_Toc508377831"/>
      <w:bookmarkStart w:id="10" w:name="_Toc493151895"/>
      <w:bookmarkEnd w:id="7"/>
      <w:r w:rsidRPr="003E55F2">
        <w:rPr>
          <w:noProof/>
          <w:lang w:val="en-GB" w:eastAsia="en-GB"/>
        </w:rPr>
        <mc:AlternateContent>
          <mc:Choice Requires="wps">
            <w:drawing>
              <wp:anchor distT="0" distB="0" distL="114300" distR="114300" simplePos="0" relativeHeight="251703296" behindDoc="0" locked="0" layoutInCell="1" allowOverlap="1" wp14:anchorId="2F233FD0" wp14:editId="7653E03B">
                <wp:simplePos x="0" y="0"/>
                <wp:positionH relativeFrom="column">
                  <wp:posOffset>3032760</wp:posOffset>
                </wp:positionH>
                <wp:positionV relativeFrom="paragraph">
                  <wp:posOffset>241300</wp:posOffset>
                </wp:positionV>
                <wp:extent cx="2642235" cy="3322320"/>
                <wp:effectExtent l="0" t="0" r="24765" b="11430"/>
                <wp:wrapSquare wrapText="bothSides"/>
                <wp:docPr id="32" name="Rectangle: Diagonal Corners Rounded 32"/>
                <wp:cNvGraphicFramePr/>
                <a:graphic xmlns:a="http://schemas.openxmlformats.org/drawingml/2006/main">
                  <a:graphicData uri="http://schemas.microsoft.com/office/word/2010/wordprocessingShape">
                    <wps:wsp>
                      <wps:cNvSpPr/>
                      <wps:spPr>
                        <a:xfrm>
                          <a:off x="0" y="0"/>
                          <a:ext cx="2642235" cy="3322320"/>
                        </a:xfrm>
                        <a:prstGeom prst="round2DiagRect">
                          <a:avLst>
                            <a:gd name="adj1" fmla="val 6695"/>
                            <a:gd name="adj2" fmla="val 0"/>
                          </a:avLst>
                        </a:prstGeom>
                        <a:noFill/>
                        <a:ln w="25400" cap="flat" cmpd="sng" algn="ctr">
                          <a:solidFill>
                            <a:srgbClr val="BE4A35"/>
                          </a:solidFill>
                          <a:prstDash val="solid"/>
                        </a:ln>
                        <a:effectLst/>
                      </wps:spPr>
                      <wps:txbx>
                        <w:txbxContent>
                          <w:p w:rsidR="00533F8C" w:rsidRDefault="00533F8C" w:rsidP="00E05D08">
                            <w:pPr>
                              <w:pStyle w:val="HStandard"/>
                            </w:pPr>
                            <w:r>
                              <w:rPr>
                                <w:noProof/>
                                <w:lang w:val="en-GB" w:eastAsia="en-GB"/>
                              </w:rPr>
                              <w:drawing>
                                <wp:inline distT="0" distB="0" distL="0" distR="0" wp14:anchorId="5F269A7B" wp14:editId="670157E4">
                                  <wp:extent cx="664845" cy="487680"/>
                                  <wp:effectExtent l="0" t="0" r="0" b="7620"/>
                                  <wp:docPr id="724"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rPr>
                              <w:t xml:space="preserve">Innovation wird häufig als </w:t>
                            </w:r>
                            <w:r>
                              <w:rPr>
                                <w:b/>
                                <w:color w:val="BE4A35"/>
                                <w:sz w:val="18"/>
                              </w:rPr>
                              <w:t>eine neue Idee beschrieben, die sich in der Praxis bewährt hat.</w:t>
                            </w:r>
                            <w:r>
                              <w:rPr>
                                <w:sz w:val="18"/>
                              </w:rPr>
                              <w:t xml:space="preserve"> Sie kann technischer, aber auch organisatorischer oder sozialer Natur sein. Innovation kann auf neuen, aber auch auf herkömmlichen Verfahren in einem neuen geografischen oder umweltbezogenen Kontext beruhen. Bei der neuen Idee kann es sich um ein neues Produkt, ein neues Verfahren, eine neue Dienstleistung, ein neues Herstellungsverfahren oder eine neue Art der Organisation usw. handeln. Eine neue Idee wird allerdings erst dann zu einer Innovation, wenn sie eine breite Anwendung findet und sich in der Praxis bewährt hat.</w:t>
                            </w:r>
                            <w:r>
                              <w:rPr>
                                <w:sz w:val="18"/>
                                <w:vertAlign w:val="superscript"/>
                              </w:rPr>
                              <w:t>4</w:t>
                            </w:r>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33FD0" id="Rectangle: Diagonal Corners Rounded 32" o:spid="_x0000_s1030" style="position:absolute;left:0;text-align:left;margin-left:238.8pt;margin-top:19pt;width:208.05pt;height:26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2235,3322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" adj="-11796480,,5400" path="m176898,l2642235,r,l2642235,3145422v,97698,-79200,176898,-176898,176898l,3322320r,l,176898c,79200,79200,,176898,xe" filled="f" strokecolor="#be4a35" strokeweight="2pt">
                <v:stroke joinstyle="miter"/>
                <v:formulas/>
                <v:path arrowok="t" o:connecttype="custom" o:connectlocs="176898,0;2642235,0;2642235,0;2642235,3145422;2465337,3322320;0,3322320;0,3322320;0,176898;176898,0" o:connectangles="0,0,0,0,0,0,0,0,0" textboxrect="0,0,2642235,3322320"/>
                <v:textbox>
                  <w:txbxContent>
                    <w:p w:rsidR="00533F8C" w:rsidRDefault="00533F8C" w:rsidP="00E05D08">
                      <w:pPr>
                        <w:pStyle w:val="HStandard"/>
                      </w:pPr>
                      <w:r>
                        <w:rPr>
                          <w:noProof/>
                          <w:lang w:val="en-GB" w:eastAsia="en-GB"/>
                        </w:rPr>
                        <w:drawing>
                          <wp:inline distT="0" distB="0" distL="0" distR="0" wp14:anchorId="5F269A7B" wp14:editId="670157E4">
                            <wp:extent cx="664845" cy="487680"/>
                            <wp:effectExtent l="0" t="0" r="0" b="7620"/>
                            <wp:docPr id="724"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rPr>
                        <w:t xml:space="preserve">Innovation wird häufig als </w:t>
                      </w:r>
                      <w:r>
                        <w:rPr>
                          <w:b/>
                          <w:color w:val="BE4A35"/>
                          <w:sz w:val="18"/>
                        </w:rPr>
                        <w:t>eine neue Idee beschrieben, die sich in der Praxis bewährt hat.</w:t>
                      </w:r>
                      <w:r>
                        <w:rPr>
                          <w:sz w:val="18"/>
                        </w:rPr>
                        <w:t xml:space="preserve"> Sie kann technischer, aber auch organisatorischer oder sozialer Natur sein. Innovation kann auf neuen, aber auch auf herkömmlichen Verfahren in einem neuen geografischen oder umweltbezogenen Kontext beruhen. Bei der neuen Idee kann es sich um ein neues Produkt, ein neues Verfahren, eine neue Dienstleistung, ein neues Herstellungsverfahren oder eine neue Art der Organisation usw. handeln. Eine neue Idee wird allerdings erst dann zu einer Innovation, wenn sie eine breite Anwendung findet und sich in der Praxis bewährt hat.</w:t>
                      </w:r>
                      <w:r>
                        <w:rPr>
                          <w:sz w:val="18"/>
                          <w:vertAlign w:val="superscript"/>
                        </w:rPr>
                        <w:t>4</w:t>
                      </w:r>
                      <w:r>
                        <w:rPr>
                          <w:sz w:val="18"/>
                        </w:rPr>
                        <w:t xml:space="preserve"> </w:t>
                      </w:r>
                    </w:p>
                  </w:txbxContent>
                </v:textbox>
                <w10:wrap type="square"/>
              </v:shape>
            </w:pict>
          </mc:Fallback>
        </mc:AlternateContent>
      </w:r>
      <w:r>
        <w:t>Innovation und die Entwicklung des ländlichen Raums</w:t>
      </w:r>
      <w:bookmarkEnd w:id="8"/>
      <w:bookmarkEnd w:id="9"/>
      <w:r>
        <w:t xml:space="preserve"> </w:t>
      </w:r>
      <w:bookmarkEnd w:id="10"/>
    </w:p>
    <w:p w:rsidR="00A45935" w:rsidRPr="00E05D08" w:rsidRDefault="00A45935" w:rsidP="00230C31">
      <w:pPr>
        <w:pStyle w:val="HHeading4"/>
      </w:pPr>
      <w:r>
        <w:t>Was versteht man unter Innovation?</w:t>
      </w:r>
    </w:p>
    <w:p w:rsidR="00A45935" w:rsidRPr="00E05D08" w:rsidRDefault="00A45935" w:rsidP="00E05D08">
      <w:pPr>
        <w:spacing w:after="120" w:line="280" w:lineRule="atLeast"/>
        <w:mirrorIndents/>
        <w:rPr>
          <w:rFonts w:eastAsia="Times New Roman" w:cs="Times New Roman"/>
          <w:szCs w:val="20"/>
        </w:rPr>
      </w:pPr>
      <w:r>
        <w:rPr>
          <w:b/>
          <w:szCs w:val="20"/>
        </w:rPr>
        <w:t xml:space="preserve">In Verbindung mit der Entwicklung des ländlichen Raums in der EU </w:t>
      </w:r>
      <w:r>
        <w:t>wird der Innovationsbegriff recht breit gefasst:</w:t>
      </w:r>
      <w:r w:rsidRPr="000E1D4B">
        <w:rPr>
          <w:rStyle w:val="FootnoteReference"/>
          <w:rFonts w:eastAsia="Times New Roman" w:cs="Times New Roman"/>
          <w:color w:val="FFFFFF" w:themeColor="background1"/>
          <w:szCs w:val="20"/>
          <w:lang w:eastAsia="de-DE"/>
        </w:rPr>
        <w:footnoteReference w:id="4"/>
      </w:r>
      <w:bookmarkStart w:id="11" w:name="_Hlk501370282"/>
      <w:r>
        <w:t xml:space="preserve">Durch das </w:t>
      </w:r>
      <w:r>
        <w:rPr>
          <w:b/>
          <w:szCs w:val="20"/>
        </w:rPr>
        <w:t>umfassende Verständnis von Innovation</w:t>
      </w:r>
      <w:r>
        <w:t xml:space="preserve"> lässt sich der Begriff auf verschiedene sozio-ökonomische und umweltbezogene Situationen in der EU anwenden. Er steht in Zusammenhang mit der Architektur der Programme zur Entwicklung des ländlichen Raums und deren Eigenschaft, auf den bestehenden Kontext einzugehen und für neue Lösungen für die Herausforderungen und Bedürfnisse im ländlichen Raum zu sorgen. Die Lösungen mögen zwar nicht unbedingt radikal oder von wesentlicher Bedeutung sein, sie führen aber möglicherweise zu kleineren Veränderungen, die manchmal eine Vorstufe zu größeren Veränderungen sind. </w:t>
      </w:r>
    </w:p>
    <w:p w:rsidR="00A45935" w:rsidRPr="00E05D08" w:rsidRDefault="00A45935" w:rsidP="00230C31">
      <w:pPr>
        <w:pStyle w:val="HHeading4"/>
      </w:pPr>
      <w:r>
        <w:t>Inwiefern sind die Interventionen der Programme zur Entwicklung des ländlichen Raums innovationsfördernd?</w:t>
      </w:r>
    </w:p>
    <w:p w:rsidR="00A45935" w:rsidRPr="00E05D08" w:rsidRDefault="00E971D1" w:rsidP="00E05D08">
      <w:pPr>
        <w:spacing w:after="120" w:line="280" w:lineRule="atLeast"/>
        <w:mirrorIndents/>
        <w:rPr>
          <w:rFonts w:eastAsia="Times New Roman" w:cs="Times New Roman"/>
          <w:szCs w:val="20"/>
        </w:rPr>
      </w:pPr>
      <w:r w:rsidRPr="00E05D08">
        <w:rPr>
          <w:noProof/>
          <w:szCs w:val="20"/>
          <w:lang w:val="en-GB" w:eastAsia="en-GB"/>
        </w:rPr>
        <mc:AlternateContent>
          <mc:Choice Requires="wps">
            <w:drawing>
              <wp:anchor distT="0" distB="0" distL="114300" distR="114300" simplePos="0" relativeHeight="251751424" behindDoc="0" locked="0" layoutInCell="1" allowOverlap="1" wp14:anchorId="0ACE3731" wp14:editId="2427FABD">
                <wp:simplePos x="0" y="0"/>
                <wp:positionH relativeFrom="column">
                  <wp:posOffset>-76200</wp:posOffset>
                </wp:positionH>
                <wp:positionV relativeFrom="paragraph">
                  <wp:posOffset>977900</wp:posOffset>
                </wp:positionV>
                <wp:extent cx="5811520" cy="2484120"/>
                <wp:effectExtent l="0" t="0" r="17780" b="11430"/>
                <wp:wrapSquare wrapText="bothSides"/>
                <wp:docPr id="53" name="Rectangle: Diagonal Corners Rounded 53"/>
                <wp:cNvGraphicFramePr/>
                <a:graphic xmlns:a="http://schemas.openxmlformats.org/drawingml/2006/main">
                  <a:graphicData uri="http://schemas.microsoft.com/office/word/2010/wordprocessingShape">
                    <wps:wsp>
                      <wps:cNvSpPr/>
                      <wps:spPr>
                        <a:xfrm>
                          <a:off x="0" y="0"/>
                          <a:ext cx="5811520" cy="2484120"/>
                        </a:xfrm>
                        <a:prstGeom prst="round2DiagRect">
                          <a:avLst>
                            <a:gd name="adj1" fmla="val 7093"/>
                            <a:gd name="adj2" fmla="val 0"/>
                          </a:avLst>
                        </a:prstGeom>
                        <a:noFill/>
                        <a:ln w="25400" cap="flat" cmpd="sng" algn="ctr">
                          <a:solidFill>
                            <a:srgbClr val="BE4A35"/>
                          </a:solidFill>
                          <a:prstDash val="solid"/>
                        </a:ln>
                        <a:effectLst/>
                      </wps:spPr>
                      <wps:txbx>
                        <w:txbxContent>
                          <w:p w:rsidR="00533F8C" w:rsidRPr="00270814" w:rsidRDefault="00533F8C" w:rsidP="00674A4B">
                            <w:pPr>
                              <w:pStyle w:val="HBox"/>
                            </w:pPr>
                            <w:r>
                              <w:rPr>
                                <w:noProof/>
                                <w:lang w:val="en-GB" w:eastAsia="en-GB"/>
                              </w:rPr>
                              <w:drawing>
                                <wp:inline distT="0" distB="0" distL="0" distR="0" wp14:anchorId="00EAC8BF" wp14:editId="4A23FE62">
                                  <wp:extent cx="664845" cy="487680"/>
                                  <wp:effectExtent l="0" t="0" r="0" b="7620"/>
                                  <wp:docPr id="6"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Neben der Politik zur Entwicklung des ländlichen Raums können auch </w:t>
                            </w:r>
                            <w:r>
                              <w:rPr>
                                <w:b/>
                                <w:color w:val="BE4A35"/>
                              </w:rPr>
                              <w:t>zahlreiche andere Faktoren, die im ländlichen Raum eine Rolle spielen, das Innovationssystem beeinflussen</w:t>
                            </w:r>
                            <w:r>
                              <w:t xml:space="preserve"> – so etwa die Forschung, die Bildung, die Steuerpolitik und andere aus EU-Mitteln finanzierte Programme (Horizont 2020, aus ESI-Mitteln finanzierte operationelle Programme), die innovative Maßnahmen und Verfahren fördern. Die Marktnachfrage für Innovationen kann ebenfalls eine entscheidende Rolle spielen.</w:t>
                            </w:r>
                          </w:p>
                          <w:p w:rsidR="00533F8C" w:rsidRPr="00D74B10" w:rsidRDefault="00533F8C" w:rsidP="00674A4B">
                            <w:pPr>
                              <w:pStyle w:val="HBox"/>
                            </w:pPr>
                            <w:r>
                              <w:t>Ob eine Innovation tatsächlich Einzug in den Alltag hält, hängt nicht nur von der Innovationskraft einer kreativen Idee ab, sondern auch von den Möglichkeiten des Marktes, der im Wirtschaftszweig herrschenden Annahmebereitschaft gegenüber der Innovation, der Kosteneffizienz, Wissen und Wahrnehmungen, zufälligen externen Faktoren usw. Wie diese Faktoren zusammenspielen, damit aus einer Idee eine Innovation wird, ist nicht vorhersehbar. Deshalb lässt sich erst im Nachhinein feststellen, ob eine neue Idee tatsächlich zu einer echten Innovation geführt 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E3731" id="Rectangle: Diagonal Corners Rounded 53" o:spid="_x0000_s1031" style="position:absolute;left:0;text-align:left;margin-left:-6pt;margin-top:77pt;width:457.6pt;height:195.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520,2484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" adj="-11796480,,5400" path="m176199,l5811520,r,l5811520,2307921v,97312,-78887,176199,-176199,176199l,2484120r,l,176199c,78887,78887,,176199,xe" filled="f" strokecolor="#be4a35" strokeweight="2pt">
                <v:stroke joinstyle="miter"/>
                <v:formulas/>
                <v:path arrowok="t" o:connecttype="custom" o:connectlocs="176199,0;5811520,0;5811520,0;5811520,2307921;5635321,2484120;0,2484120;0,2484120;0,176199;176199,0" o:connectangles="0,0,0,0,0,0,0,0,0" textboxrect="0,0,5811520,2484120"/>
                <v:textbox>
                  <w:txbxContent>
                    <w:p w:rsidR="00533F8C" w:rsidRPr="00270814" w:rsidRDefault="00533F8C" w:rsidP="00674A4B">
                      <w:pPr>
                        <w:pStyle w:val="HBox"/>
                      </w:pPr>
                      <w:r>
                        <w:rPr>
                          <w:noProof/>
                          <w:lang w:val="en-GB" w:eastAsia="en-GB"/>
                        </w:rPr>
                        <w:drawing>
                          <wp:inline distT="0" distB="0" distL="0" distR="0" wp14:anchorId="00EAC8BF" wp14:editId="4A23FE62">
                            <wp:extent cx="664845" cy="487680"/>
                            <wp:effectExtent l="0" t="0" r="0" b="7620"/>
                            <wp:docPr id="6"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Neben der Politik zur Entwicklung des ländlichen Raums können auch </w:t>
                      </w:r>
                      <w:r>
                        <w:rPr>
                          <w:b/>
                          <w:color w:val="BE4A35"/>
                        </w:rPr>
                        <w:t>zahlreiche andere Faktoren, die im ländlichen Raum eine Rolle spielen, das Innovationssystem beeinflussen</w:t>
                      </w:r>
                      <w:r>
                        <w:t xml:space="preserve"> – so etwa die Forschung, die Bildung, die Steuerpolitik und andere aus EU-Mitteln finanzierte Programme (Horizont 2020, aus ESI-Mitteln finanzierte operationelle Programme), die innovative Maßnahmen und Verfahren fördern. Die Marktnachfrage für Innovationen kann ebenfalls eine entscheidende Rolle spielen.</w:t>
                      </w:r>
                    </w:p>
                    <w:p w:rsidR="00533F8C" w:rsidRPr="00D74B10" w:rsidRDefault="00533F8C" w:rsidP="00674A4B">
                      <w:pPr>
                        <w:pStyle w:val="HBox"/>
                      </w:pPr>
                      <w:r>
                        <w:t>Ob eine Innovation tatsächlich Einzug in den Alltag hält, hängt nicht nur von der Innovationskraft einer kreativen Idee ab, sondern auch von den Möglichkeiten des Marktes, der im Wirtschaftszweig herrschenden Annahmebereitschaft gegenüber der Innovation, der Kosteneffizienz, Wissen und Wahrnehmungen, zufälligen externen Faktoren usw. Wie diese Faktoren zusammenspielen, damit aus einer Idee eine Innovation wird, ist nicht vorhersehbar. Deshalb lässt sich erst im Nachhinein feststellen, ob eine neue Idee tatsächlich zu einer echten Innovation geführt hat.</w:t>
                      </w:r>
                    </w:p>
                  </w:txbxContent>
                </v:textbox>
                <w10:wrap type="square"/>
              </v:shape>
            </w:pict>
          </mc:Fallback>
        </mc:AlternateContent>
      </w:r>
      <w:r w:rsidR="00A45935">
        <w:rPr>
          <w:b/>
          <w:szCs w:val="20"/>
        </w:rPr>
        <w:t>Ziel der Politik zur Entwicklung des ländlichen Raums ist es, die</w:t>
      </w:r>
      <w:r w:rsidR="00A45935">
        <w:t xml:space="preserve"> (technologische, institutionelle und soziale) Innovation zu fördern, um die Ziele und Prioritäten der ländlichen Entwicklung zu verwirklichen, sowie den Herausforderungen im ländlichen Raum zu begegnen. Die Maßnahmen/Teilmaßnahmen und Begünstigten der Programme zur Entwicklung des ländlichen Raums (z. B. operationelle Gruppen der EIP, LAG, Landwirte usw.) erzielen Outputs, Ergebnisse und </w:t>
      </w:r>
      <w:r w:rsidR="00A45935">
        <w:lastRenderedPageBreak/>
        <w:t xml:space="preserve">Auswirkungen, die zur Verwirklichung der Ziele der Programme beitragen, wobei sie das Innovationssystem, zu dem sie gehören, beeinflussen und umgekehrt selbst davon beeinflusst werden. </w:t>
      </w:r>
    </w:p>
    <w:p w:rsidR="00A45935" w:rsidRPr="00E05D08" w:rsidRDefault="00674A4B" w:rsidP="00E05D08">
      <w:pPr>
        <w:spacing w:after="120" w:line="280" w:lineRule="atLeast"/>
        <w:mirrorIndents/>
        <w:rPr>
          <w:rFonts w:eastAsia="Times New Roman" w:cs="Times New Roman"/>
          <w:szCs w:val="20"/>
        </w:rPr>
      </w:pPr>
      <w:r>
        <w:rPr>
          <w:b/>
          <w:szCs w:val="20"/>
        </w:rPr>
        <w:t>Das Innovationssystem</w:t>
      </w:r>
      <w:r>
        <w:t xml:space="preserve"> auf lokaler, regionaler, nationaler oder supra-nationaler Ebene besteht aus einer recht heterogenen Gruppe von Innovationsakteuren wie Unternehmer im ländlichen Raum (z. B. Land- und Forstwirte), Vertreter der Vorleistungs- und Tourismusbranche, Vertreter der verarbeitenden Industrie, Händler, Regulierungsbehörden, Forscher, Beratungsdienstleister, Regierungsorganisationen und Organisationen der Zivilgesellschaft. Das interaktive experimentelle Lernen unter diesen Akteuren ist von wesentlicher Bedeutung für das Innovationssystem, da die Akteure neue Ideen (neu im System) in die Praxis umsetzen. Der Technologie- und Informationsfluss zwischen den Akteuren ist für den Innovationsprozess innerhalb des Innovationssystems von entscheidend. </w:t>
      </w:r>
    </w:p>
    <w:p w:rsidR="00405B0B" w:rsidRDefault="00405B0B">
      <w:pPr>
        <w:jc w:val="left"/>
        <w:rPr>
          <w:rFonts w:eastAsia="Times New Roman" w:cs="Times New Roman"/>
          <w:b/>
          <w:szCs w:val="20"/>
        </w:rPr>
      </w:pPr>
      <w:r>
        <w:br w:type="page"/>
      </w:r>
    </w:p>
    <w:p w:rsidR="00A45935" w:rsidRPr="00E05D08" w:rsidRDefault="00A45935" w:rsidP="00E05D08">
      <w:pPr>
        <w:spacing w:after="120" w:line="280" w:lineRule="atLeast"/>
        <w:mirrorIndents/>
        <w:rPr>
          <w:rFonts w:eastAsia="Times New Roman" w:cs="Times New Roman"/>
          <w:szCs w:val="20"/>
        </w:rPr>
      </w:pPr>
      <w:r>
        <w:rPr>
          <w:b/>
          <w:szCs w:val="20"/>
        </w:rPr>
        <w:lastRenderedPageBreak/>
        <w:t>Der Innovationsprozess sieht drei Pfade vor</w:t>
      </w:r>
      <w:r>
        <w:t xml:space="preserve">: </w:t>
      </w:r>
    </w:p>
    <w:p w:rsidR="00A45935" w:rsidRPr="00987055" w:rsidRDefault="00A45935" w:rsidP="008C0B17">
      <w:pPr>
        <w:numPr>
          <w:ilvl w:val="0"/>
          <w:numId w:val="66"/>
        </w:numPr>
        <w:mirrorIndents/>
        <w:rPr>
          <w:szCs w:val="20"/>
        </w:rPr>
      </w:pPr>
      <w:r>
        <w:rPr>
          <w:b/>
          <w:color w:val="F07E31"/>
          <w:szCs w:val="20"/>
        </w:rPr>
        <w:t>Pfad 1:</w:t>
      </w:r>
      <w:r>
        <w:t xml:space="preserve"> Erfassung und Entwicklung neuer Ideen (z. B. neue Ansichten, Ansätze,</w:t>
      </w:r>
      <w:r>
        <w:rPr>
          <w:rFonts w:ascii="Times New Roman" w:hAnsi="Times New Roman"/>
          <w:sz w:val="24"/>
          <w:szCs w:val="20"/>
        </w:rPr>
        <w:t xml:space="preserve"> </w:t>
      </w:r>
      <w:r>
        <w:t xml:space="preserve">Produkte, Verfahren, Dienstleistungen, Produktionsverfahren/Technologien, neue Arten der Organisation oder neue Formen der Zusammenarbeit und des Lernens); </w:t>
      </w:r>
    </w:p>
    <w:p w:rsidR="00A45935" w:rsidRDefault="00A45935" w:rsidP="008C0B17">
      <w:pPr>
        <w:numPr>
          <w:ilvl w:val="0"/>
          <w:numId w:val="66"/>
        </w:numPr>
        <w:mirrorIndents/>
        <w:rPr>
          <w:szCs w:val="20"/>
        </w:rPr>
      </w:pPr>
      <w:r>
        <w:rPr>
          <w:b/>
          <w:color w:val="F07E31"/>
          <w:szCs w:val="20"/>
        </w:rPr>
        <w:t>Pfad 2:</w:t>
      </w:r>
      <w:r>
        <w:rPr>
          <w:b/>
          <w:szCs w:val="20"/>
        </w:rPr>
        <w:t xml:space="preserve"> </w:t>
      </w:r>
      <w:r>
        <w:t xml:space="preserve">Fähigkeit von Einzelpersonen und des Wissens- und Innovationssystems selbst, zu experimentieren, sich zu organisieren und neue Ideen und Ansätze zu nutzen; </w:t>
      </w:r>
    </w:p>
    <w:p w:rsidR="00A45935" w:rsidRPr="00987055" w:rsidRDefault="00A45935" w:rsidP="008C0B17">
      <w:pPr>
        <w:numPr>
          <w:ilvl w:val="0"/>
          <w:numId w:val="66"/>
        </w:numPr>
        <w:mirrorIndents/>
        <w:rPr>
          <w:szCs w:val="20"/>
        </w:rPr>
      </w:pPr>
      <w:r>
        <w:rPr>
          <w:b/>
          <w:color w:val="F07E31"/>
          <w:szCs w:val="20"/>
        </w:rPr>
        <w:t>Pfad 3:</w:t>
      </w:r>
      <w:r>
        <w:t xml:space="preserve"> Aufbau eines innovationsförderlichen institutionellen und politischen Umfelds. </w:t>
      </w:r>
      <w:bookmarkStart w:id="12" w:name="_Toc476660915"/>
      <w:bookmarkStart w:id="13" w:name="_Toc476661047"/>
    </w:p>
    <w:p w:rsidR="00A45935" w:rsidRPr="0095292E" w:rsidRDefault="00A45935" w:rsidP="0095292E">
      <w:pPr>
        <w:mirrorIndents/>
        <w:rPr>
          <w:szCs w:val="20"/>
        </w:rPr>
      </w:pPr>
      <w:r>
        <w:t>Die drei Pfade sollten nicht als isolierte Instanzen betrachtet werden, sondern vielmehr als sich überschneidende und miteinander verbundene Zugangspunkte zu Innovation (Abbildung 1).</w:t>
      </w:r>
    </w:p>
    <w:p w:rsidR="00A45935" w:rsidRPr="00447906" w:rsidRDefault="004313A1" w:rsidP="004F1EC2">
      <w:pPr>
        <w:pStyle w:val="HHeadingfigures"/>
        <w:tabs>
          <w:tab w:val="clear" w:pos="964"/>
        </w:tabs>
      </w:pPr>
      <w:bookmarkStart w:id="14" w:name="Pathways"/>
      <w:bookmarkStart w:id="15" w:name="_Toc508377957"/>
      <w:bookmarkEnd w:id="14"/>
      <w:r w:rsidRPr="004313A1">
        <w:t xml:space="preserve"> </w:t>
      </w:r>
      <w:r w:rsidR="00674A4B">
        <w:t>Vereinfachte Darstellung der Innovationsförderung durch Programme zur Entwicklung des ländlichen Raums</w:t>
      </w:r>
      <w:bookmarkEnd w:id="15"/>
      <w:r w:rsidR="00674A4B">
        <w:t xml:space="preserve"> </w:t>
      </w:r>
      <w:bookmarkEnd w:id="12"/>
      <w:bookmarkEnd w:id="13"/>
    </w:p>
    <w:p w:rsidR="00A45935" w:rsidRPr="00E05D08" w:rsidRDefault="006864FC" w:rsidP="00E05D08">
      <w:pPr>
        <w:spacing w:after="0" w:line="280" w:lineRule="atLeast"/>
        <w:jc w:val="center"/>
        <w:rPr>
          <w:rFonts w:eastAsia="Times New Roman" w:cs="Arial"/>
          <w:szCs w:val="18"/>
          <w:lang w:eastAsia="de-DE"/>
        </w:rPr>
      </w:pPr>
      <w:r w:rsidRPr="006864FC">
        <w:rPr>
          <w:noProof/>
          <w:lang w:val="en-GB" w:eastAsia="en-GB"/>
        </w:rPr>
        <w:drawing>
          <wp:inline distT="0" distB="0" distL="0" distR="0" wp14:anchorId="2CCAF762" wp14:editId="01813276">
            <wp:extent cx="5731510" cy="333874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338744"/>
                    </a:xfrm>
                    <a:prstGeom prst="rect">
                      <a:avLst/>
                    </a:prstGeom>
                    <a:noFill/>
                    <a:ln>
                      <a:noFill/>
                    </a:ln>
                  </pic:spPr>
                </pic:pic>
              </a:graphicData>
            </a:graphic>
          </wp:inline>
        </w:drawing>
      </w:r>
    </w:p>
    <w:p w:rsidR="00A45935" w:rsidRPr="00E05D08" w:rsidRDefault="00A45935" w:rsidP="00E05D08">
      <w:pPr>
        <w:suppressAutoHyphens/>
        <w:spacing w:before="60" w:after="140" w:line="240" w:lineRule="auto"/>
        <w:ind w:left="1134" w:right="1134"/>
        <w:mirrorIndents/>
        <w:jc w:val="center"/>
        <w:rPr>
          <w:rFonts w:eastAsia="Times New Roman" w:cs="Times New Roman"/>
          <w:i/>
          <w:sz w:val="16"/>
          <w:szCs w:val="20"/>
        </w:rPr>
      </w:pPr>
      <w:r>
        <w:rPr>
          <w:i/>
          <w:sz w:val="16"/>
          <w:szCs w:val="20"/>
        </w:rPr>
        <w:t>Quelle: Europäischer Evaluierungs-Helpdesk für ländliche Entwicklung, 2017.</w:t>
      </w:r>
    </w:p>
    <w:p w:rsidR="000E1D4B" w:rsidRDefault="00A45935" w:rsidP="00E05D08">
      <w:pPr>
        <w:spacing w:after="120" w:line="280" w:lineRule="atLeast"/>
        <w:mirrorIndents/>
        <w:rPr>
          <w:rFonts w:eastAsia="Times New Roman" w:cs="Times New Roman"/>
          <w:szCs w:val="20"/>
        </w:rPr>
      </w:pPr>
      <w:r>
        <w:t xml:space="preserve">Die Maßnahmen/Teilmaßnahmen der Programme zur Entwicklung des ländlichen Raums und deren Kombination können je nach dem spezifischen Innovationskonzept eines Programms zur Entwicklung des ländlichen Raums in unterschiedlichem Maße zu einem, zwei oder allen drei Pfaden beitragen (siehe </w:t>
      </w:r>
      <w:hyperlink w:anchor="Policy_framework" w:history="1">
        <w:r>
          <w:rPr>
            <w:rStyle w:val="Hyperlink"/>
            <w:sz w:val="20"/>
            <w:szCs w:val="20"/>
          </w:rPr>
          <w:t>Abschnitt 1.2.1</w:t>
        </w:r>
      </w:hyperlink>
      <w:r>
        <w:t xml:space="preserve">). </w:t>
      </w:r>
      <w:bookmarkStart w:id="16" w:name="_Hlk501621429"/>
    </w:p>
    <w:p w:rsidR="000E1D4B" w:rsidRDefault="000E1D4B">
      <w:pPr>
        <w:rPr>
          <w:rFonts w:eastAsia="Times New Roman" w:cs="Times New Roman"/>
          <w:b/>
          <w:color w:val="F07E31"/>
          <w:szCs w:val="20"/>
        </w:rPr>
      </w:pPr>
      <w:r>
        <w:br w:type="page"/>
      </w:r>
    </w:p>
    <w:p w:rsidR="00A45935" w:rsidRPr="00E05D08" w:rsidRDefault="00BC211C" w:rsidP="00E05D08">
      <w:pPr>
        <w:spacing w:after="120" w:line="280" w:lineRule="atLeast"/>
        <w:mirrorIndents/>
        <w:rPr>
          <w:rFonts w:eastAsia="Times New Roman" w:cs="Times New Roman"/>
          <w:szCs w:val="20"/>
        </w:rPr>
      </w:pPr>
      <w:r w:rsidRPr="00E05D08">
        <w:rPr>
          <w:rFonts w:eastAsia="Times New Roman" w:cs="Times New Roman"/>
          <w:noProof/>
          <w:szCs w:val="20"/>
          <w:lang w:val="en-GB" w:eastAsia="en-GB"/>
        </w:rPr>
        <w:lastRenderedPageBreak/>
        <mc:AlternateContent>
          <mc:Choice Requires="wps">
            <w:drawing>
              <wp:anchor distT="0" distB="0" distL="114300" distR="114300" simplePos="0" relativeHeight="251705344" behindDoc="0" locked="0" layoutInCell="1" allowOverlap="1" wp14:anchorId="547993C3" wp14:editId="572670D6">
                <wp:simplePos x="0" y="0"/>
                <wp:positionH relativeFrom="column">
                  <wp:posOffset>-68580</wp:posOffset>
                </wp:positionH>
                <wp:positionV relativeFrom="paragraph">
                  <wp:posOffset>0</wp:posOffset>
                </wp:positionV>
                <wp:extent cx="2832735" cy="4564380"/>
                <wp:effectExtent l="0" t="0" r="24765" b="26670"/>
                <wp:wrapSquare wrapText="bothSides"/>
                <wp:docPr id="55" name="Rectangle: Diagonal Corners Rounded 55"/>
                <wp:cNvGraphicFramePr/>
                <a:graphic xmlns:a="http://schemas.openxmlformats.org/drawingml/2006/main">
                  <a:graphicData uri="http://schemas.microsoft.com/office/word/2010/wordprocessingShape">
                    <wps:wsp>
                      <wps:cNvSpPr/>
                      <wps:spPr>
                        <a:xfrm>
                          <a:off x="0" y="0"/>
                          <a:ext cx="2832735" cy="4564380"/>
                        </a:xfrm>
                        <a:prstGeom prst="round2DiagRect">
                          <a:avLst>
                            <a:gd name="adj1" fmla="val 6641"/>
                            <a:gd name="adj2" fmla="val 0"/>
                          </a:avLst>
                        </a:prstGeom>
                        <a:noFill/>
                        <a:ln w="25400" cap="flat" cmpd="sng" algn="ctr">
                          <a:solidFill>
                            <a:srgbClr val="F07E31"/>
                          </a:solidFill>
                          <a:prstDash val="solid"/>
                        </a:ln>
                        <a:effectLst/>
                      </wps:spPr>
                      <wps:txbx>
                        <w:txbxContent>
                          <w:p w:rsidR="00533F8C" w:rsidRPr="00E05D08" w:rsidRDefault="00533F8C" w:rsidP="00E05D08">
                            <w:pPr>
                              <w:pStyle w:val="Normal12PTcouleurgris"/>
                              <w:rPr>
                                <w:b/>
                                <w:color w:val="F07E31"/>
                              </w:rPr>
                            </w:pPr>
                            <w:r>
                              <w:rPr>
                                <w:noProof/>
                                <w:lang w:val="en-GB" w:eastAsia="en-GB"/>
                              </w:rPr>
                              <w:drawing>
                                <wp:inline distT="0" distB="0" distL="0" distR="0" wp14:anchorId="24EB168C" wp14:editId="69CCB09B">
                                  <wp:extent cx="353060" cy="359410"/>
                                  <wp:effectExtent l="0" t="0" r="8890" b="2540"/>
                                  <wp:docPr id="72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Beispiele möglicher Beiträge eines Programms zur Entwicklung des ländlichen Raums zu Pfad 1</w:t>
                            </w:r>
                          </w:p>
                          <w:p w:rsidR="00533F8C" w:rsidRPr="00230C31" w:rsidRDefault="00533F8C" w:rsidP="00230C31">
                            <w:pPr>
                              <w:pStyle w:val="Hlistbullet"/>
                              <w:rPr>
                                <w:sz w:val="18"/>
                                <w:szCs w:val="18"/>
                              </w:rPr>
                            </w:pPr>
                            <w:r>
                              <w:rPr>
                                <w:sz w:val="18"/>
                                <w:szCs w:val="18"/>
                              </w:rPr>
                              <w:t xml:space="preserve">Entwicklung, Prüfung und Bewerbung einer Maschine zur mechanischen Unkrautbekämpfung auf landwirtschaftlichen Flächen (z. B. Vorhaben gemäß Artikel 17 und 35 der Verordnung (EU) Nr. 1305/2013); </w:t>
                            </w:r>
                          </w:p>
                          <w:p w:rsidR="00533F8C" w:rsidRPr="00230C31" w:rsidRDefault="00533F8C" w:rsidP="00230C31">
                            <w:pPr>
                              <w:pStyle w:val="Hlistbullet"/>
                              <w:rPr>
                                <w:sz w:val="18"/>
                                <w:szCs w:val="18"/>
                              </w:rPr>
                            </w:pPr>
                            <w:r>
                              <w:rPr>
                                <w:sz w:val="18"/>
                                <w:szCs w:val="18"/>
                              </w:rPr>
                              <w:t xml:space="preserve">Prüfung und Bereitstellung neuer Arten von Dienstleistungen in ländlichen Gebieten (z. B. Vorhaben gemäß Artikel 20 und 35 der Verordnung (EU) Nr. 1305/2013); </w:t>
                            </w:r>
                          </w:p>
                          <w:p w:rsidR="00533F8C" w:rsidRPr="00230C31" w:rsidRDefault="00533F8C" w:rsidP="00230C31">
                            <w:pPr>
                              <w:pStyle w:val="Hlistbullet"/>
                              <w:rPr>
                                <w:sz w:val="18"/>
                                <w:szCs w:val="18"/>
                              </w:rPr>
                            </w:pPr>
                            <w:r>
                              <w:rPr>
                                <w:sz w:val="18"/>
                                <w:szCs w:val="18"/>
                              </w:rPr>
                              <w:t>Einführung einer neuen Art der Organisation von Tagungen, Konferenzen und Schulungen (z. B. durch neue Moderationstechniken, Round-Table-Konferenzen) (z. B. Vorhaben gemäß Artikel 14 der Verordnung (EU) Nr.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7993C3" id="Rectangle: Diagonal Corners Rounded 55" o:spid="_x0000_s1032" style="position:absolute;left:0;text-align:left;margin-left:-5.4pt;margin-top:0;width:223.05pt;height:359.4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4564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" adj="-11796480,,5400" path="m188122,l2832735,r,l2832735,4376258v,103897,-84225,188122,-188122,188122l,4564380r,l,188122c,84225,84225,,188122,xe" filled="f" strokecolor="#f07e31" strokeweight="2pt">
                <v:stroke joinstyle="miter"/>
                <v:formulas/>
                <v:path arrowok="t" o:connecttype="custom" o:connectlocs="188122,0;2832735,0;2832735,0;2832735,4376258;2644613,4564380;0,4564380;0,4564380;0,188122;188122,0" o:connectangles="0,0,0,0,0,0,0,0,0" textboxrect="0,0,2832735,4564380"/>
                <v:textbox>
                  <w:txbxContent>
                    <w:p w:rsidR="00533F8C" w:rsidRPr="00E05D08" w:rsidRDefault="00533F8C" w:rsidP="00E05D08">
                      <w:pPr>
                        <w:pStyle w:val="Normal12PTcouleurgris"/>
                        <w:rPr>
                          <w:b/>
                          <w:color w:val="F07E31"/>
                        </w:rPr>
                      </w:pPr>
                      <w:r>
                        <w:rPr>
                          <w:noProof/>
                          <w:lang w:val="en-GB" w:eastAsia="en-GB"/>
                        </w:rPr>
                        <w:drawing>
                          <wp:inline distT="0" distB="0" distL="0" distR="0" wp14:anchorId="24EB168C" wp14:editId="69CCB09B">
                            <wp:extent cx="353060" cy="359410"/>
                            <wp:effectExtent l="0" t="0" r="8890" b="2540"/>
                            <wp:docPr id="72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Beispiele möglicher Beiträge eines Programms zur Entwicklung des ländlichen Raums zu Pfad 1</w:t>
                      </w:r>
                    </w:p>
                    <w:p w:rsidR="00533F8C" w:rsidRPr="00230C31" w:rsidRDefault="00533F8C" w:rsidP="00230C31">
                      <w:pPr>
                        <w:pStyle w:val="Hlistbullet"/>
                        <w:rPr>
                          <w:sz w:val="18"/>
                          <w:szCs w:val="18"/>
                        </w:rPr>
                      </w:pPr>
                      <w:r>
                        <w:rPr>
                          <w:sz w:val="18"/>
                          <w:szCs w:val="18"/>
                        </w:rPr>
                        <w:t xml:space="preserve">Entwicklung, Prüfung und Bewerbung einer Maschine zur mechanischen Unkrautbekämpfung auf landwirtschaftlichen Flächen (z. B. Vorhaben gemäß Artikel 17 und 35 der Verordnung (EU) Nr. 1305/2013); </w:t>
                      </w:r>
                    </w:p>
                    <w:p w:rsidR="00533F8C" w:rsidRPr="00230C31" w:rsidRDefault="00533F8C" w:rsidP="00230C31">
                      <w:pPr>
                        <w:pStyle w:val="Hlistbullet"/>
                        <w:rPr>
                          <w:sz w:val="18"/>
                          <w:szCs w:val="18"/>
                        </w:rPr>
                      </w:pPr>
                      <w:r>
                        <w:rPr>
                          <w:sz w:val="18"/>
                          <w:szCs w:val="18"/>
                        </w:rPr>
                        <w:t xml:space="preserve">Prüfung und Bereitstellung neuer Arten von Dienstleistungen in ländlichen Gebieten (z. B. Vorhaben gemäß Artikel 20 und 35 der Verordnung (EU) Nr. 1305/2013); </w:t>
                      </w:r>
                    </w:p>
                    <w:p w:rsidR="00533F8C" w:rsidRPr="00230C31" w:rsidRDefault="00533F8C" w:rsidP="00230C31">
                      <w:pPr>
                        <w:pStyle w:val="Hlistbullet"/>
                        <w:rPr>
                          <w:sz w:val="18"/>
                          <w:szCs w:val="18"/>
                        </w:rPr>
                      </w:pPr>
                      <w:r>
                        <w:rPr>
                          <w:sz w:val="18"/>
                          <w:szCs w:val="18"/>
                        </w:rPr>
                        <w:t>Einführung einer neuen Art der Organisation von Tagungen, Konferenzen und Schulungen (z. B. durch neue Moderationstechniken, Round-Table-Konferenzen) (z. B. Vorhaben gemäß Artikel 14 der Verordnung (EU) Nr. 1305/2013).</w:t>
                      </w:r>
                    </w:p>
                  </w:txbxContent>
                </v:textbox>
                <w10:wrap type="square"/>
              </v:shape>
            </w:pict>
          </mc:Fallback>
        </mc:AlternateContent>
      </w:r>
      <w:r>
        <w:rPr>
          <w:b/>
          <w:color w:val="F07E31"/>
          <w:szCs w:val="20"/>
        </w:rPr>
        <w:t>Der</w:t>
      </w:r>
      <w:r>
        <w:rPr>
          <w:b/>
          <w:szCs w:val="20"/>
        </w:rPr>
        <w:t xml:space="preserve"> </w:t>
      </w:r>
      <w:r>
        <w:rPr>
          <w:b/>
          <w:color w:val="F07E31"/>
          <w:szCs w:val="20"/>
        </w:rPr>
        <w:t>erste Pfad</w:t>
      </w:r>
      <w:r>
        <w:t xml:space="preserve"> versteht sich als die Fähigkeit, vielversprechende Ideen, die zu einer Innovation jeder Art (technologisch, nicht technologisch, sozial, organisatorisch usw.) führen könnten, zu ermitteln und zu fördern. Eine solche neue Idee wächst und wird zu einer echten Innovation, die im Idealfall einen spezifischen Bedarf deckt oder eine Chance bietet, die von vielen wahrgenommen werden kann. Die beiden wichtigsten Methoden zur Förderung von Ideen und zum Aufbau von Innovationsprozessen sind folgende: (1) der individuelle Ansatz (Identifizierung und Förderung einer Einzelperson, die eine Idee hat); (2) durch verschiedene Interessenträger, die in Gruppen zusammenarbeiten, um neue Ideen zu identifizieren, die es sich zu fördern lohnt (Zusammenführen der besten Partner in eine Gruppe, in der verschiedene komplementäre Kompetenzen gebündelt werden, die zum Aufbau eines Innovationsprojekts erforderlich sind). </w:t>
      </w:r>
    </w:p>
    <w:bookmarkEnd w:id="16"/>
    <w:p w:rsidR="000E1D4B" w:rsidRDefault="00A45935" w:rsidP="00E05D08">
      <w:pPr>
        <w:spacing w:after="120" w:line="280" w:lineRule="atLeast"/>
        <w:mirrorIndents/>
        <w:rPr>
          <w:rFonts w:eastAsia="Times New Roman" w:cs="Times New Roman"/>
          <w:szCs w:val="20"/>
        </w:rPr>
      </w:pPr>
      <w:r>
        <w:t xml:space="preserve">Um als innovativ zu gelten, muss die Idee zumindest teilweise eine Neuheit für das betreffende Umfeld oder den betreffenden Ort darstellen und ein plausibles Nützlichkeitsversprechen beinhalten (d. h. sie muss einem oder mehreren Interessenträgern dabei helfen, etwas anders, besser oder kostengünstiger zu machen, einen bestimmten Bedarf decken oder eine neue Chance eröffnen). </w:t>
      </w:r>
    </w:p>
    <w:p w:rsidR="000E1D4B" w:rsidRDefault="000E1D4B">
      <w:pPr>
        <w:rPr>
          <w:rFonts w:eastAsia="Times New Roman" w:cs="Times New Roman"/>
          <w:szCs w:val="20"/>
        </w:rPr>
      </w:pPr>
      <w:r>
        <w:br w:type="page"/>
      </w:r>
    </w:p>
    <w:p w:rsidR="00323AAC" w:rsidRDefault="00A45935" w:rsidP="00E05D08">
      <w:pPr>
        <w:spacing w:after="120" w:line="280" w:lineRule="atLeast"/>
        <w:mirrorIndents/>
      </w:pPr>
      <w:r>
        <w:lastRenderedPageBreak/>
        <w:t xml:space="preserve">Beim </w:t>
      </w:r>
      <w:r>
        <w:rPr>
          <w:b/>
          <w:color w:val="F07E31"/>
          <w:szCs w:val="20"/>
        </w:rPr>
        <w:t>zweiten Pfad</w:t>
      </w:r>
      <w:r>
        <w:t xml:space="preserve"> geht es um die Verbesserung der Innovationsfähigkeit. Dieser Pfad ergibt sich teilweise aus dem ersten Pfad. Das Programm zur Entwicklung des ländlichen Raums kann die Ermittlung entwicklungsbezogener Herausforderungen und Chancen erleichtern und interessierte und relevante Innovationsakteure zusammenbringen (z. B. durch operationelle Gruppen</w:t>
      </w:r>
      <w:r w:rsidRPr="00E05D08">
        <w:rPr>
          <w:rFonts w:eastAsia="Times New Roman" w:cs="Times New Roman"/>
          <w:szCs w:val="20"/>
          <w:vertAlign w:val="superscript"/>
          <w:lang w:eastAsia="de-DE"/>
        </w:rPr>
        <w:footnoteReference w:id="5"/>
      </w:r>
      <w:r>
        <w:t xml:space="preserve"> der EIP, die innovative Verfahren in Zusammenarbeit mit relevanten Akteuren mit komplementären Kenntnissen ((wie Landwirte, Unternehmen, Beratungsdienstleister, Forscher und andere)) testen, um die Ziele eines innovativen Projekts zu erreichen). Durch den Aufbau der nötigen Kompetenzen und Kenntnisse kann so darauf hingewirkt werden, die Lücke zwischen Wissenschaft und Praxis zu schließen. Die Synergien, die sich aus den multilateralen Projekten ergeben, die im Rahmen des EU-Programms für Forschung und Innovation Horizont 2020 finanziert werden, können sich ebenfalls vorteilhaft auswirken.</w:t>
      </w:r>
      <w:r w:rsidRPr="00E05D08">
        <w:rPr>
          <w:rFonts w:eastAsia="Times New Roman" w:cs="Times New Roman"/>
          <w:szCs w:val="20"/>
          <w:vertAlign w:val="superscript"/>
          <w:lang w:eastAsia="de-DE"/>
        </w:rPr>
        <w:footnoteReference w:id="6"/>
      </w:r>
      <w:r w:rsidR="00323AAC">
        <w:t xml:space="preserve"> </w:t>
      </w:r>
      <w:r w:rsidRPr="00E05D08">
        <w:rPr>
          <w:rFonts w:eastAsia="Times New Roman" w:cs="Times New Roman"/>
          <w:szCs w:val="20"/>
          <w:vertAlign w:val="superscript"/>
          <w:lang w:eastAsia="de-DE"/>
        </w:rPr>
        <w:footnoteReference w:id="7"/>
      </w:r>
      <w:r>
        <w:t xml:space="preserve"> Operationelle Gruppen können zu gesellschaftlich-technologischen Nischen führen. Eine gesellschaftlich-technologische Nische ist ein geschützter Raum, in dem Menschen eine neuartige Technologie und/oder neuartige Institutionen und/oder neue Methoden kennenlernen und damit experimentieren können. Sofern sie richtig aufgebaut und verknüpft werden, können Nischen sich zu einem Baustein für breitere gesellschaftliche Veränderungen im Sinne der nachhaltigen Entwicklung</w:t>
      </w:r>
      <w:r w:rsidRPr="00405B0B">
        <w:rPr>
          <w:rFonts w:eastAsia="Times New Roman" w:cs="Arial"/>
          <w:szCs w:val="20"/>
          <w:vertAlign w:val="superscript"/>
          <w:lang w:eastAsia="de-DE"/>
        </w:rPr>
        <w:footnoteReference w:id="8"/>
      </w:r>
      <w:r>
        <w:t xml:space="preserve"> entwickeln.</w:t>
      </w:r>
    </w:p>
    <w:p w:rsidR="00323AAC" w:rsidRDefault="00323AAC">
      <w:pPr>
        <w:jc w:val="left"/>
      </w:pPr>
      <w:r>
        <w:br w:type="page"/>
      </w:r>
    </w:p>
    <w:p w:rsidR="00A45935" w:rsidRPr="00E05D08" w:rsidRDefault="00A45935" w:rsidP="00E05D08">
      <w:pPr>
        <w:spacing w:after="120" w:line="280" w:lineRule="atLeast"/>
        <w:mirrorIndents/>
        <w:rPr>
          <w:rFonts w:eastAsia="Times New Roman" w:cs="Times New Roman"/>
          <w:szCs w:val="20"/>
        </w:rPr>
      </w:pPr>
      <w:r w:rsidRPr="00F74459">
        <w:rPr>
          <w:rStyle w:val="FootnoteReference"/>
          <w:rFonts w:eastAsia="Times New Roman" w:cs="Times New Roman"/>
          <w:color w:val="FFFFFF" w:themeColor="background1"/>
          <w:szCs w:val="20"/>
          <w:lang w:eastAsia="de-DE"/>
        </w:rPr>
        <w:lastRenderedPageBreak/>
        <w:footnoteReference w:id="9"/>
      </w:r>
      <w:r w:rsidRPr="00F74459">
        <w:rPr>
          <w:rStyle w:val="FootnoteReference"/>
          <w:rFonts w:eastAsia="Times New Roman" w:cs="Times New Roman"/>
          <w:color w:val="FFFFFF" w:themeColor="background1"/>
          <w:szCs w:val="20"/>
          <w:lang w:eastAsia="de-DE"/>
        </w:rPr>
        <w:footnoteReference w:id="10"/>
      </w:r>
      <w:r w:rsidRPr="00F74459">
        <w:rPr>
          <w:rStyle w:val="FootnoteReference"/>
          <w:rFonts w:eastAsia="Times New Roman" w:cs="Times New Roman"/>
          <w:color w:val="FFFFFF" w:themeColor="background1"/>
          <w:szCs w:val="20"/>
          <w:lang w:eastAsia="de-DE"/>
        </w:rPr>
        <w:footnoteReference w:id="11"/>
      </w:r>
    </w:p>
    <w:p w:rsidR="00A45935" w:rsidRPr="00E05D08" w:rsidRDefault="00323AAC" w:rsidP="002F0ABF">
      <w:pPr>
        <w:spacing w:after="120" w:line="280" w:lineRule="atLeast"/>
        <w:mirrorIndents/>
        <w:rPr>
          <w:rFonts w:eastAsia="Times New Roman" w:cs="Times New Roman"/>
          <w:szCs w:val="20"/>
        </w:rPr>
      </w:pPr>
      <w:r w:rsidRPr="00E05D08">
        <w:rPr>
          <w:rFonts w:eastAsia="Times New Roman" w:cs="Times New Roman"/>
          <w:noProof/>
          <w:szCs w:val="20"/>
          <w:lang w:val="en-GB" w:eastAsia="en-GB"/>
        </w:rPr>
        <mc:AlternateContent>
          <mc:Choice Requires="wps">
            <w:drawing>
              <wp:anchor distT="0" distB="0" distL="114300" distR="114300" simplePos="0" relativeHeight="251755520" behindDoc="0" locked="0" layoutInCell="1" allowOverlap="1" wp14:anchorId="2FF037E7" wp14:editId="2D9D6BDD">
                <wp:simplePos x="0" y="0"/>
                <wp:positionH relativeFrom="column">
                  <wp:posOffset>-297180</wp:posOffset>
                </wp:positionH>
                <wp:positionV relativeFrom="paragraph">
                  <wp:posOffset>0</wp:posOffset>
                </wp:positionV>
                <wp:extent cx="6089650" cy="4379595"/>
                <wp:effectExtent l="0" t="0" r="25400" b="20955"/>
                <wp:wrapSquare wrapText="bothSides"/>
                <wp:docPr id="57" name="Rectangle: Diagonal Corners Rounded 57"/>
                <wp:cNvGraphicFramePr/>
                <a:graphic xmlns:a="http://schemas.openxmlformats.org/drawingml/2006/main">
                  <a:graphicData uri="http://schemas.microsoft.com/office/word/2010/wordprocessingShape">
                    <wps:wsp>
                      <wps:cNvSpPr/>
                      <wps:spPr>
                        <a:xfrm>
                          <a:off x="0" y="0"/>
                          <a:ext cx="6089650" cy="4379595"/>
                        </a:xfrm>
                        <a:prstGeom prst="round2DiagRect">
                          <a:avLst>
                            <a:gd name="adj1" fmla="val 6633"/>
                            <a:gd name="adj2" fmla="val 0"/>
                          </a:avLst>
                        </a:prstGeom>
                        <a:noFill/>
                        <a:ln w="25400" cap="flat" cmpd="sng" algn="ctr">
                          <a:solidFill>
                            <a:srgbClr val="F07E31"/>
                          </a:solidFill>
                          <a:prstDash val="solid"/>
                        </a:ln>
                        <a:effectLst/>
                      </wps:spPr>
                      <wps:txbx>
                        <w:txbxContent>
                          <w:p w:rsidR="00323AAC" w:rsidRPr="002F0ABF" w:rsidRDefault="00323AAC" w:rsidP="00323AAC">
                            <w:pPr>
                              <w:pStyle w:val="Normal12PTcouleurgris"/>
                              <w:rPr>
                                <w:b/>
                                <w:color w:val="F07E31"/>
                                <w:sz w:val="16"/>
                                <w:szCs w:val="16"/>
                              </w:rPr>
                            </w:pPr>
                            <w:r>
                              <w:rPr>
                                <w:noProof/>
                                <w:lang w:val="en-GB" w:eastAsia="en-GB"/>
                              </w:rPr>
                              <w:drawing>
                                <wp:inline distT="0" distB="0" distL="0" distR="0" wp14:anchorId="2D417B8F" wp14:editId="442DD60B">
                                  <wp:extent cx="353060" cy="359410"/>
                                  <wp:effectExtent l="0" t="0" r="8890" b="2540"/>
                                  <wp:docPr id="1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6"/>
                                <w:szCs w:val="16"/>
                              </w:rPr>
                              <w:t>Beispiele möglicher Beiträge eines Programms zur Entwicklung des ländlichen Raums zu Pfad 2</w:t>
                            </w:r>
                          </w:p>
                          <w:p w:rsidR="00323AAC" w:rsidRPr="002F0ABF" w:rsidRDefault="00323AAC" w:rsidP="00323AAC">
                            <w:pPr>
                              <w:pStyle w:val="Normal12PTcouleurgris"/>
                              <w:rPr>
                                <w:sz w:val="16"/>
                                <w:szCs w:val="16"/>
                              </w:rPr>
                            </w:pPr>
                            <w:r>
                              <w:rPr>
                                <w:sz w:val="16"/>
                                <w:szCs w:val="16"/>
                              </w:rPr>
                              <w:t>Die folgenden Schlüsselkompetenzen und -eigenschaften der Innovationsakteure</w:t>
                            </w:r>
                            <w:r>
                              <w:rPr>
                                <w:sz w:val="16"/>
                                <w:szCs w:val="16"/>
                                <w:vertAlign w:val="superscript"/>
                              </w:rPr>
                              <w:t>9</w:t>
                            </w:r>
                            <w:r>
                              <w:rPr>
                                <w:sz w:val="16"/>
                                <w:szCs w:val="16"/>
                              </w:rPr>
                              <w:t xml:space="preserve"> können durch ein Programm zur Entwicklung des ländlichen Raums gestärkt werden und sich auf die Vorhaben zur Verbesserung der Innovationsfähigkeit auswirken: </w:t>
                            </w:r>
                          </w:p>
                          <w:p w:rsidR="00323AAC" w:rsidRPr="002F0ABF" w:rsidRDefault="00323AAC" w:rsidP="00323AAC">
                            <w:pPr>
                              <w:pStyle w:val="Hlistbullet"/>
                              <w:rPr>
                                <w:sz w:val="16"/>
                                <w:szCs w:val="16"/>
                              </w:rPr>
                            </w:pPr>
                            <w:r>
                              <w:rPr>
                                <w:sz w:val="16"/>
                                <w:szCs w:val="16"/>
                              </w:rPr>
                              <w:t>Technische und fachspezifische Kenntnisse und Kompetenzen, die benötigt werden, um neue Ideen erfolgreich in die Praxis umzusetzen, einschließlich der Fähigkeiten, verschiedene Optionen zu erkennen und zwischen ihnen auszuwählen (z. B. Vorhaben gemäß Artikel 14, 15 und 35 der Verordnung (EU) Nr. 1305/2013);</w:t>
                            </w:r>
                          </w:p>
                          <w:p w:rsidR="00323AAC" w:rsidRPr="002F0ABF" w:rsidRDefault="00323AAC" w:rsidP="00323AAC">
                            <w:pPr>
                              <w:pStyle w:val="Hlistbullet"/>
                              <w:rPr>
                                <w:sz w:val="16"/>
                                <w:szCs w:val="16"/>
                              </w:rPr>
                            </w:pPr>
                            <w:r>
                              <w:rPr>
                                <w:sz w:val="16"/>
                                <w:szCs w:val="16"/>
                              </w:rPr>
                              <w:t>Organisatorische und soziale Kompetenzen, die benötigt werden, um Innovationsprozesse zu erleichtern und zu vermitteln</w:t>
                            </w:r>
                            <w:r>
                              <w:rPr>
                                <w:sz w:val="16"/>
                                <w:szCs w:val="16"/>
                                <w:vertAlign w:val="superscript"/>
                              </w:rPr>
                              <w:t>10</w:t>
                            </w:r>
                            <w:r>
                              <w:rPr>
                                <w:sz w:val="16"/>
                                <w:szCs w:val="16"/>
                              </w:rPr>
                              <w:t xml:space="preserve">, einschließlich der Fähigkeit, Verknüpfungen und Netzwerke zwischen den einzelnen Interessenträgern aufzubauen, der Fähigkeit, regelmäßige Kreisläufe der </w:t>
                            </w:r>
                            <w:proofErr w:type="spellStart"/>
                            <w:r>
                              <w:rPr>
                                <w:sz w:val="16"/>
                                <w:szCs w:val="16"/>
                              </w:rPr>
                              <w:t>Visionierung</w:t>
                            </w:r>
                            <w:proofErr w:type="spellEnd"/>
                            <w:r>
                              <w:rPr>
                                <w:sz w:val="16"/>
                                <w:szCs w:val="16"/>
                              </w:rPr>
                              <w:t xml:space="preserve">, Planung und des </w:t>
                            </w:r>
                            <w:proofErr w:type="spellStart"/>
                            <w:r>
                              <w:rPr>
                                <w:sz w:val="16"/>
                                <w:szCs w:val="16"/>
                              </w:rPr>
                              <w:t>reflektiven</w:t>
                            </w:r>
                            <w:proofErr w:type="spellEnd"/>
                            <w:r>
                              <w:rPr>
                                <w:sz w:val="16"/>
                                <w:szCs w:val="16"/>
                              </w:rPr>
                              <w:t xml:space="preserve"> Lernens zu durchlaufen, sowie der Fähigkeit, wichtige Systemdynamiken und Herausforderungen zu erkennen (z. B. Vorhaben gemäß Artikel 35 der Verordnung (EU) Nr. 1305/2013).</w:t>
                            </w:r>
                          </w:p>
                          <w:p w:rsidR="00323AAC" w:rsidRPr="002F0ABF" w:rsidRDefault="00323AAC" w:rsidP="00323AAC">
                            <w:pPr>
                              <w:pStyle w:val="Hlistbullet"/>
                              <w:rPr>
                                <w:sz w:val="16"/>
                                <w:szCs w:val="16"/>
                              </w:rPr>
                            </w:pPr>
                            <w:r>
                              <w:rPr>
                                <w:sz w:val="16"/>
                                <w:szCs w:val="16"/>
                              </w:rPr>
                              <w:t>Fortgeschrittene Fähigkeit der effektiven Zusammenarbeit</w:t>
                            </w:r>
                            <w:r>
                              <w:rPr>
                                <w:sz w:val="16"/>
                                <w:szCs w:val="16"/>
                                <w:vertAlign w:val="superscript"/>
                              </w:rPr>
                              <w:t>11</w:t>
                            </w:r>
                            <w:r>
                              <w:rPr>
                                <w:sz w:val="16"/>
                                <w:szCs w:val="16"/>
                              </w:rPr>
                              <w:t xml:space="preserve"> (z. B. gemeinsame Organisation von Demonstrationstätigkeiten und Informationsmaßnahmen mit dem Ziel, Erfahrungen und Wissen zwischen den Akteuren auszutauschen, oder Fähigkeit zur Zusammenarbeit mit anderen Mitgliedern einer Lieferkette zur Biomasseversorgung für die Lebensmittel- und Energieerzeugung usw.) (z. B. Vorhaben gemäß Artikel 14, 15 und 35 der Verordnung (EU) Nr. 1305/2013;</w:t>
                            </w:r>
                          </w:p>
                          <w:p w:rsidR="00323AAC" w:rsidRPr="002F0ABF" w:rsidRDefault="00323AAC" w:rsidP="00323AAC">
                            <w:pPr>
                              <w:pStyle w:val="Hlistbullet"/>
                              <w:rPr>
                                <w:sz w:val="16"/>
                                <w:szCs w:val="16"/>
                              </w:rPr>
                            </w:pPr>
                            <w:r>
                              <w:rPr>
                                <w:sz w:val="16"/>
                                <w:szCs w:val="16"/>
                              </w:rPr>
                              <w:t>Die Interventionen im Rahmen eines Programms zur Entwicklung des ländlichen Raums können die Innovationsfähigkeit verbessern, indem sie Möglichkeiten zum Wissenstransfer schaffen (z. B. Dienste, Schulungen und Mentoring) (z. B. Vorhaben gemäß Artikel 15 der Verordnung (EU) Nr. 1305/2013).</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037E7" id="Rectangle: Diagonal Corners Rounded 57" o:spid="_x0000_s1033" style="position:absolute;left:0;text-align:left;margin-left:-23.4pt;margin-top:0;width:479.5pt;height:344.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89650,4379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" adj="-11796480,,5400" path="m290499,l6089650,r,l6089650,4089096v,160438,-130061,290499,-290499,290499l,4379595r,l,290499c,130061,130061,,290499,xe" filled="f" strokecolor="#f07e31" strokeweight="2pt">
                <v:stroke joinstyle="miter"/>
                <v:formulas/>
                <v:path arrowok="t" o:connecttype="custom" o:connectlocs="290499,0;6089650,0;6089650,0;6089650,4089096;5799151,4379595;0,4379595;0,4379595;0,290499;290499,0" o:connectangles="0,0,0,0,0,0,0,0,0" textboxrect="0,0,6089650,4379595"/>
                <v:textbox inset=",0,,0">
                  <w:txbxContent>
                    <w:p w:rsidR="00323AAC" w:rsidRPr="002F0ABF" w:rsidRDefault="00323AAC" w:rsidP="00323AAC">
                      <w:pPr>
                        <w:pStyle w:val="Normal12PTcouleurgris"/>
                        <w:rPr>
                          <w:b/>
                          <w:color w:val="F07E31"/>
                          <w:sz w:val="16"/>
                          <w:szCs w:val="16"/>
                        </w:rPr>
                      </w:pPr>
                      <w:r>
                        <w:rPr>
                          <w:noProof/>
                          <w:lang w:val="en-GB" w:eastAsia="en-GB"/>
                        </w:rPr>
                        <w:drawing>
                          <wp:inline distT="0" distB="0" distL="0" distR="0" wp14:anchorId="2D417B8F" wp14:editId="442DD60B">
                            <wp:extent cx="353060" cy="359410"/>
                            <wp:effectExtent l="0" t="0" r="8890" b="2540"/>
                            <wp:docPr id="1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6"/>
                          <w:szCs w:val="16"/>
                        </w:rPr>
                        <w:t>Beispiele möglicher Beiträge eines Programms zur Entwicklung des ländlichen Raums zu Pfad 2</w:t>
                      </w:r>
                    </w:p>
                    <w:p w:rsidR="00323AAC" w:rsidRPr="002F0ABF" w:rsidRDefault="00323AAC" w:rsidP="00323AAC">
                      <w:pPr>
                        <w:pStyle w:val="Normal12PTcouleurgris"/>
                        <w:rPr>
                          <w:sz w:val="16"/>
                          <w:szCs w:val="16"/>
                        </w:rPr>
                      </w:pPr>
                      <w:r>
                        <w:rPr>
                          <w:sz w:val="16"/>
                          <w:szCs w:val="16"/>
                        </w:rPr>
                        <w:t>Die folgenden Schlüsselkompetenzen und -eigenschaften der Innovationsakteure</w:t>
                      </w:r>
                      <w:r>
                        <w:rPr>
                          <w:sz w:val="16"/>
                          <w:szCs w:val="16"/>
                          <w:vertAlign w:val="superscript"/>
                        </w:rPr>
                        <w:t>9</w:t>
                      </w:r>
                      <w:r>
                        <w:rPr>
                          <w:sz w:val="16"/>
                          <w:szCs w:val="16"/>
                        </w:rPr>
                        <w:t xml:space="preserve"> können durch ein Programm zur Entwicklung des ländlichen Raums gestärkt werden und sich auf die Vorhaben zur Verbesserung der Innovationsfähigkeit auswirken: </w:t>
                      </w:r>
                    </w:p>
                    <w:p w:rsidR="00323AAC" w:rsidRPr="002F0ABF" w:rsidRDefault="00323AAC" w:rsidP="00323AAC">
                      <w:pPr>
                        <w:pStyle w:val="Hlistbullet"/>
                        <w:rPr>
                          <w:sz w:val="16"/>
                          <w:szCs w:val="16"/>
                        </w:rPr>
                      </w:pPr>
                      <w:r>
                        <w:rPr>
                          <w:sz w:val="16"/>
                          <w:szCs w:val="16"/>
                        </w:rPr>
                        <w:t>Technische und fachspezifische Kenntnisse und Kompetenzen, die benötigt werden, um neue Ideen erfolgreich in die Praxis umzusetzen, einschließlich der Fähigkeiten, verschiedene Optionen zu erkennen und zwischen ihnen auszuwählen (z. B. Vorhaben gemäß Artikel 14, 15 und 35 der Verordnung (EU) Nr. 1305/2013);</w:t>
                      </w:r>
                    </w:p>
                    <w:p w:rsidR="00323AAC" w:rsidRPr="002F0ABF" w:rsidRDefault="00323AAC" w:rsidP="00323AAC">
                      <w:pPr>
                        <w:pStyle w:val="Hlistbullet"/>
                        <w:rPr>
                          <w:sz w:val="16"/>
                          <w:szCs w:val="16"/>
                        </w:rPr>
                      </w:pPr>
                      <w:r>
                        <w:rPr>
                          <w:sz w:val="16"/>
                          <w:szCs w:val="16"/>
                        </w:rPr>
                        <w:t>Organisatorische und soziale Kompetenzen, die benötigt werden, um Innovationsprozesse zu erleichtern und zu vermitteln</w:t>
                      </w:r>
                      <w:r>
                        <w:rPr>
                          <w:sz w:val="16"/>
                          <w:szCs w:val="16"/>
                          <w:vertAlign w:val="superscript"/>
                        </w:rPr>
                        <w:t>10</w:t>
                      </w:r>
                      <w:r>
                        <w:rPr>
                          <w:sz w:val="16"/>
                          <w:szCs w:val="16"/>
                        </w:rPr>
                        <w:t xml:space="preserve">, einschließlich der Fähigkeit, Verknüpfungen und Netzwerke zwischen den einzelnen Interessenträgern aufzubauen, der Fähigkeit, regelmäßige Kreisläufe der </w:t>
                      </w:r>
                      <w:proofErr w:type="spellStart"/>
                      <w:r>
                        <w:rPr>
                          <w:sz w:val="16"/>
                          <w:szCs w:val="16"/>
                        </w:rPr>
                        <w:t>Visionierung</w:t>
                      </w:r>
                      <w:proofErr w:type="spellEnd"/>
                      <w:r>
                        <w:rPr>
                          <w:sz w:val="16"/>
                          <w:szCs w:val="16"/>
                        </w:rPr>
                        <w:t xml:space="preserve">, Planung und des </w:t>
                      </w:r>
                      <w:proofErr w:type="spellStart"/>
                      <w:r>
                        <w:rPr>
                          <w:sz w:val="16"/>
                          <w:szCs w:val="16"/>
                        </w:rPr>
                        <w:t>reflektiven</w:t>
                      </w:r>
                      <w:proofErr w:type="spellEnd"/>
                      <w:r>
                        <w:rPr>
                          <w:sz w:val="16"/>
                          <w:szCs w:val="16"/>
                        </w:rPr>
                        <w:t xml:space="preserve"> Lernens zu durchlaufen, sowie der Fähigkeit, wichtige Systemdynamiken und Herausforderungen zu erkennen (z. B. Vorhaben gemäß Artikel 35 der Verordnung (EU) Nr. 1305/2013).</w:t>
                      </w:r>
                    </w:p>
                    <w:p w:rsidR="00323AAC" w:rsidRPr="002F0ABF" w:rsidRDefault="00323AAC" w:rsidP="00323AAC">
                      <w:pPr>
                        <w:pStyle w:val="Hlistbullet"/>
                        <w:rPr>
                          <w:sz w:val="16"/>
                          <w:szCs w:val="16"/>
                        </w:rPr>
                      </w:pPr>
                      <w:r>
                        <w:rPr>
                          <w:sz w:val="16"/>
                          <w:szCs w:val="16"/>
                        </w:rPr>
                        <w:t>Fortgeschrittene Fähigkeit der effektiven Zusammenarbeit</w:t>
                      </w:r>
                      <w:r>
                        <w:rPr>
                          <w:sz w:val="16"/>
                          <w:szCs w:val="16"/>
                          <w:vertAlign w:val="superscript"/>
                        </w:rPr>
                        <w:t>11</w:t>
                      </w:r>
                      <w:r>
                        <w:rPr>
                          <w:sz w:val="16"/>
                          <w:szCs w:val="16"/>
                        </w:rPr>
                        <w:t xml:space="preserve"> (z. B. gemeinsame Organisation von Demonstrationstätigkeiten und Informationsmaßnahmen mit dem Ziel, Erfahrungen und Wissen zwischen den Akteuren auszutauschen, oder Fähigkeit zur Zusammenarbeit mit anderen Mitgliedern einer Lieferkette zur Biomasseversorgung für die Lebensmittel- und Energieerzeugung usw.) (z. B. Vorhaben gemäß Artikel 14, 15 und 35 der Verordnung (EU) Nr. 1305/2013;</w:t>
                      </w:r>
                    </w:p>
                    <w:p w:rsidR="00323AAC" w:rsidRPr="002F0ABF" w:rsidRDefault="00323AAC" w:rsidP="00323AAC">
                      <w:pPr>
                        <w:pStyle w:val="Hlistbullet"/>
                        <w:rPr>
                          <w:sz w:val="16"/>
                          <w:szCs w:val="16"/>
                        </w:rPr>
                      </w:pPr>
                      <w:r>
                        <w:rPr>
                          <w:sz w:val="16"/>
                          <w:szCs w:val="16"/>
                        </w:rPr>
                        <w:t>Die Interventionen im Rahmen eines Programms zur Entwicklung des ländlichen Raums können die Innovationsfähigkeit verbessern, indem sie Möglichkeiten zum Wissenstransfer schaffen (z. B. Dienste, Schulungen und Mentoring) (z. B. Vorhaben gemäß Artikel 15 der Verordnung (EU) Nr. 1305/2013).</w:t>
                      </w:r>
                    </w:p>
                  </w:txbxContent>
                </v:textbox>
                <w10:wrap type="square"/>
              </v:shape>
            </w:pict>
          </mc:Fallback>
        </mc:AlternateContent>
      </w:r>
      <w:r w:rsidR="00386823" w:rsidRPr="00386823">
        <w:rPr>
          <w:b/>
          <w:color w:val="F07E31"/>
          <w:szCs w:val="20"/>
        </w:rPr>
        <w:t xml:space="preserve">Beim </w:t>
      </w:r>
      <w:r w:rsidR="00F74459">
        <w:rPr>
          <w:b/>
          <w:color w:val="F07E31"/>
          <w:szCs w:val="20"/>
        </w:rPr>
        <w:t>dritten Pfad</w:t>
      </w:r>
      <w:r w:rsidR="00F74459">
        <w:t xml:space="preserve"> geht es darum, die Rahmenbedingungen und das Umfeld zu verändern, </w:t>
      </w:r>
      <w:proofErr w:type="gramStart"/>
      <w:r w:rsidR="00F74459">
        <w:t>das</w:t>
      </w:r>
      <w:proofErr w:type="gramEnd"/>
      <w:r w:rsidR="00F74459">
        <w:t xml:space="preserve"> sich auf die Innovationssysteme auswirkt. Dazu sollen unter anderem auf folgenden Ebenen verschiedene innovationsförderliche Bedingungen</w:t>
      </w:r>
      <w:r w:rsidR="00A45935" w:rsidRPr="00405B0B">
        <w:rPr>
          <w:rFonts w:eastAsia="Times New Roman" w:cs="Times New Roman"/>
          <w:szCs w:val="20"/>
          <w:vertAlign w:val="superscript"/>
          <w:lang w:eastAsia="de-DE"/>
        </w:rPr>
        <w:footnoteReference w:id="12"/>
      </w:r>
      <w:r w:rsidR="00F74459">
        <w:t xml:space="preserve"> verbessert werden:</w:t>
      </w:r>
    </w:p>
    <w:p w:rsidR="00A45935" w:rsidRPr="0095292E" w:rsidRDefault="00386823" w:rsidP="00230C31">
      <w:pPr>
        <w:pStyle w:val="Hlistbullet"/>
      </w:pPr>
      <w:r w:rsidRPr="00E05D08">
        <w:rPr>
          <w:noProof/>
          <w:lang w:val="en-GB" w:eastAsia="en-GB"/>
        </w:rPr>
        <w:lastRenderedPageBreak/>
        <mc:AlternateContent>
          <mc:Choice Requires="wps">
            <w:drawing>
              <wp:anchor distT="0" distB="0" distL="114300" distR="114300" simplePos="0" relativeHeight="251737088" behindDoc="0" locked="0" layoutInCell="1" allowOverlap="1" wp14:anchorId="6E4FDD57" wp14:editId="08EB513D">
                <wp:simplePos x="0" y="0"/>
                <wp:positionH relativeFrom="column">
                  <wp:posOffset>2995295</wp:posOffset>
                </wp:positionH>
                <wp:positionV relativeFrom="paragraph">
                  <wp:posOffset>0</wp:posOffset>
                </wp:positionV>
                <wp:extent cx="2832735" cy="7614920"/>
                <wp:effectExtent l="0" t="0" r="24765" b="24130"/>
                <wp:wrapSquare wrapText="bothSides"/>
                <wp:docPr id="59" name="Rectangle: Diagonal Corners Rounded 59"/>
                <wp:cNvGraphicFramePr/>
                <a:graphic xmlns:a="http://schemas.openxmlformats.org/drawingml/2006/main">
                  <a:graphicData uri="http://schemas.microsoft.com/office/word/2010/wordprocessingShape">
                    <wps:wsp>
                      <wps:cNvSpPr/>
                      <wps:spPr>
                        <a:xfrm>
                          <a:off x="0" y="0"/>
                          <a:ext cx="2832735" cy="7614920"/>
                        </a:xfrm>
                        <a:prstGeom prst="round2DiagRect">
                          <a:avLst>
                            <a:gd name="adj1" fmla="val 5907"/>
                            <a:gd name="adj2" fmla="val 0"/>
                          </a:avLst>
                        </a:prstGeom>
                        <a:noFill/>
                        <a:ln w="25400" cap="flat" cmpd="sng" algn="ctr">
                          <a:solidFill>
                            <a:srgbClr val="F07E31"/>
                          </a:solidFill>
                          <a:prstDash val="solid"/>
                        </a:ln>
                        <a:effectLst/>
                      </wps:spPr>
                      <wps:txbx>
                        <w:txbxContent>
                          <w:p w:rsidR="00533F8C" w:rsidRPr="00B708E9" w:rsidRDefault="00533F8C" w:rsidP="004508D0">
                            <w:pPr>
                              <w:pStyle w:val="Normal12PTcouleurgris"/>
                              <w:rPr>
                                <w:b/>
                                <w:color w:val="F07E31"/>
                                <w:sz w:val="14"/>
                                <w:szCs w:val="14"/>
                              </w:rPr>
                            </w:pPr>
                            <w:r w:rsidRPr="00386823">
                              <w:rPr>
                                <w:noProof/>
                                <w:sz w:val="16"/>
                                <w:szCs w:val="16"/>
                                <w:lang w:val="en-GB" w:eastAsia="en-GB"/>
                              </w:rPr>
                              <w:drawing>
                                <wp:inline distT="0" distB="0" distL="0" distR="0" wp14:anchorId="201D3E9D" wp14:editId="1CF7D0B3">
                                  <wp:extent cx="353060" cy="359410"/>
                                  <wp:effectExtent l="0" t="0" r="8890" b="2540"/>
                                  <wp:docPr id="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386823">
                              <w:rPr>
                                <w:sz w:val="16"/>
                                <w:szCs w:val="16"/>
                              </w:rPr>
                              <w:t xml:space="preserve"> </w:t>
                            </w:r>
                            <w:r w:rsidRPr="00B708E9">
                              <w:rPr>
                                <w:b/>
                                <w:color w:val="F07E31"/>
                                <w:sz w:val="14"/>
                                <w:szCs w:val="14"/>
                              </w:rPr>
                              <w:t>Beispiele möglicher Beiträge eines Programms zur Entwicklung des ländlichen Raums zu Pfad 3</w:t>
                            </w:r>
                          </w:p>
                          <w:p w:rsidR="00533F8C" w:rsidRPr="00B708E9" w:rsidRDefault="00533F8C" w:rsidP="004508D0">
                            <w:pPr>
                              <w:pStyle w:val="Hlistbullet"/>
                              <w:rPr>
                                <w:sz w:val="14"/>
                                <w:szCs w:val="14"/>
                              </w:rPr>
                            </w:pPr>
                            <w:r w:rsidRPr="00B708E9">
                              <w:rPr>
                                <w:sz w:val="14"/>
                                <w:szCs w:val="14"/>
                              </w:rPr>
                              <w:t xml:space="preserve">ein Programm zur Entwicklung des ländlichen Raums, bei dem es vorwiegend um Informationsmaßnahmen oder Maßnahmen der Berufsbildung (Artikel 14 der Verordnung (EU) Nr. 1305/2013) und Beratungsdienste (Artikel 15 der Verordnung (EU) Nr. 1305/2013) geht, die auf den innovativen Verfahren beruhen, die in den jeweiligen operationellen Gruppen entwickelt werden (Artikel 35 der Verordnung (EU) Nr. 1305/2013), oder die auf den innovativen Verfahren beruhen, die von operationellen Gruppen in anderen Regionen oder Ländern entwickelt werden (NRN-Aktivitäten, technische Unterstützung) </w:t>
                            </w:r>
                          </w:p>
                          <w:p w:rsidR="00533F8C" w:rsidRPr="00B708E9" w:rsidRDefault="00533F8C" w:rsidP="004508D0">
                            <w:pPr>
                              <w:pStyle w:val="Hlistbullet"/>
                              <w:rPr>
                                <w:sz w:val="14"/>
                                <w:szCs w:val="14"/>
                              </w:rPr>
                            </w:pPr>
                            <w:r w:rsidRPr="00B708E9">
                              <w:rPr>
                                <w:sz w:val="14"/>
                                <w:szCs w:val="14"/>
                              </w:rPr>
                              <w:t>ein Programm zur Entwicklung des ländlichen Raums, mit dem die Internetanbindung in ländlichen Gebieten verbessert wird, hilft lokalen Unternehmen und Landwirten, Zugang zu Informationen und neuen Märkten zu erlangen und stärkt dadurch ihre Innovationsfähigkeit sowie ihre Motivation zu innovieren (z. B. Vorhaben gemäß Artikel 20 der Verordnung (EU) Nr. 1305/2013);</w:t>
                            </w:r>
                          </w:p>
                          <w:p w:rsidR="00533F8C" w:rsidRPr="00B708E9" w:rsidRDefault="00533F8C" w:rsidP="004508D0">
                            <w:pPr>
                              <w:pStyle w:val="Hlistbullet"/>
                              <w:rPr>
                                <w:b/>
                                <w:sz w:val="14"/>
                                <w:szCs w:val="14"/>
                              </w:rPr>
                            </w:pPr>
                            <w:r w:rsidRPr="00B708E9">
                              <w:rPr>
                                <w:sz w:val="14"/>
                                <w:szCs w:val="14"/>
                              </w:rPr>
                              <w:t>ein Programm zur Entwicklung des ländlichen Raums, bei dem eine operationelle Gruppe innovative Bodenbearbeitungsmaschinen zur Aufnahme von Ernterückständen entwickelt, kann innovationsbezogene Investitionen anziehen und zu strengeren Verbrennungsverboten für Ernterückstände führen (z. B. Vorhaben gemäß Artikel 17 der Verordnung (EU) Nr. 1305/2013);</w:t>
                            </w:r>
                          </w:p>
                          <w:p w:rsidR="00533F8C" w:rsidRPr="00386823" w:rsidRDefault="00533F8C" w:rsidP="004508D0">
                            <w:pPr>
                              <w:pStyle w:val="Hlistbullet"/>
                              <w:rPr>
                                <w:sz w:val="16"/>
                                <w:szCs w:val="16"/>
                              </w:rPr>
                            </w:pPr>
                            <w:r w:rsidRPr="00B708E9">
                              <w:rPr>
                                <w:sz w:val="14"/>
                                <w:szCs w:val="14"/>
                              </w:rPr>
                              <w:t>eine Maßnahme im Rahmen eines Programms zur Entwicklung des ländlichen Raums, die den Aufbau kurzer Lebensmittelversorgungsketten oder von Erzeugergenossenschaften unterstützt, kann die Verbindungen und die Zusammenarbeit zwischen Verbrauchern und Erzeugern stärken und so zu einem innovativeren Lebensmittelsystem beitragen</w:t>
                            </w:r>
                            <w:r w:rsidRPr="00B708E9">
                              <w:rPr>
                                <w:sz w:val="14"/>
                                <w:szCs w:val="14"/>
                                <w:vertAlign w:val="superscript"/>
                              </w:rPr>
                              <w:t>13</w:t>
                            </w:r>
                            <w:r w:rsidRPr="00B708E9">
                              <w:rPr>
                                <w:sz w:val="14"/>
                                <w:szCs w:val="14"/>
                              </w:rPr>
                              <w:t xml:space="preserve"> (z. B. Vorhaben gemäß Artikel 16, 17 und 35 der Verordnung (EU) Nr.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FDD57" id="Rectangle: Diagonal Corners Rounded 59" o:spid="_x0000_s1034" style="position:absolute;left:0;text-align:left;margin-left:235.85pt;margin-top:0;width:223.05pt;height:599.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2735,7614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" adj="-11796480,,5400" path="m167330,l2832735,r,l2832735,7447590v,92414,-74916,167330,-167330,167330l,7614920r,l,167330c,74916,74916,,167330,xe" filled="f" strokecolor="#f07e31" strokeweight="2pt">
                <v:stroke joinstyle="miter"/>
                <v:formulas/>
                <v:path arrowok="t" o:connecttype="custom" o:connectlocs="167330,0;2832735,0;2832735,0;2832735,7447590;2665405,7614920;0,7614920;0,7614920;0,167330;167330,0" o:connectangles="0,0,0,0,0,0,0,0,0" textboxrect="0,0,2832735,7614920"/>
                <v:textbox>
                  <w:txbxContent>
                    <w:p w:rsidR="00533F8C" w:rsidRPr="00B708E9" w:rsidRDefault="00533F8C" w:rsidP="004508D0">
                      <w:pPr>
                        <w:pStyle w:val="Normal12PTcouleurgris"/>
                        <w:rPr>
                          <w:b/>
                          <w:color w:val="F07E31"/>
                          <w:sz w:val="14"/>
                          <w:szCs w:val="14"/>
                        </w:rPr>
                      </w:pPr>
                      <w:r w:rsidRPr="00386823">
                        <w:rPr>
                          <w:noProof/>
                          <w:sz w:val="16"/>
                          <w:szCs w:val="16"/>
                          <w:lang w:val="en-GB" w:eastAsia="en-GB"/>
                        </w:rPr>
                        <w:drawing>
                          <wp:inline distT="0" distB="0" distL="0" distR="0" wp14:anchorId="201D3E9D" wp14:editId="1CF7D0B3">
                            <wp:extent cx="353060" cy="359410"/>
                            <wp:effectExtent l="0" t="0" r="8890" b="2540"/>
                            <wp:docPr id="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386823">
                        <w:rPr>
                          <w:sz w:val="16"/>
                          <w:szCs w:val="16"/>
                        </w:rPr>
                        <w:t xml:space="preserve"> </w:t>
                      </w:r>
                      <w:r w:rsidRPr="00B708E9">
                        <w:rPr>
                          <w:b/>
                          <w:color w:val="F07E31"/>
                          <w:sz w:val="14"/>
                          <w:szCs w:val="14"/>
                        </w:rPr>
                        <w:t>Beispiele möglicher Beiträge eines Programms zur Entwicklung des ländlichen Raums zu Pfad 3</w:t>
                      </w:r>
                    </w:p>
                    <w:p w:rsidR="00533F8C" w:rsidRPr="00B708E9" w:rsidRDefault="00533F8C" w:rsidP="004508D0">
                      <w:pPr>
                        <w:pStyle w:val="Hlistbullet"/>
                        <w:rPr>
                          <w:sz w:val="14"/>
                          <w:szCs w:val="14"/>
                        </w:rPr>
                      </w:pPr>
                      <w:r w:rsidRPr="00B708E9">
                        <w:rPr>
                          <w:sz w:val="14"/>
                          <w:szCs w:val="14"/>
                        </w:rPr>
                        <w:t xml:space="preserve">ein Programm zur Entwicklung des ländlichen Raums, bei dem es vorwiegend um Informationsmaßnahmen oder Maßnahmen der Berufsbildung (Artikel 14 der Verordnung (EU) Nr. 1305/2013) und Beratungsdienste (Artikel 15 der Verordnung (EU) Nr. 1305/2013) geht, die auf den innovativen Verfahren beruhen, die in den jeweiligen operationellen Gruppen entwickelt werden (Artikel 35 der Verordnung (EU) Nr. 1305/2013), oder die auf den innovativen Verfahren beruhen, die von operationellen Gruppen in anderen Regionen oder Ländern entwickelt werden (NRN-Aktivitäten, technische Unterstützung) </w:t>
                      </w:r>
                    </w:p>
                    <w:p w:rsidR="00533F8C" w:rsidRPr="00B708E9" w:rsidRDefault="00533F8C" w:rsidP="004508D0">
                      <w:pPr>
                        <w:pStyle w:val="Hlistbullet"/>
                        <w:rPr>
                          <w:sz w:val="14"/>
                          <w:szCs w:val="14"/>
                        </w:rPr>
                      </w:pPr>
                      <w:r w:rsidRPr="00B708E9">
                        <w:rPr>
                          <w:sz w:val="14"/>
                          <w:szCs w:val="14"/>
                        </w:rPr>
                        <w:t>ein Programm zur Entwicklung des ländlichen Raums, mit dem die Internetanbindung in ländlichen Gebieten verbessert wird, hilft lokalen Unternehmen und Landwirten, Zugang zu Informationen und neuen Märkten zu erlangen und stärkt dadurch ihre Innovationsfähigkeit sowie ihre Motivation zu innovieren (z. B. Vorhaben gemäß Artikel 20 der Verordnung (EU) Nr. 1305/2013);</w:t>
                      </w:r>
                    </w:p>
                    <w:p w:rsidR="00533F8C" w:rsidRPr="00B708E9" w:rsidRDefault="00533F8C" w:rsidP="004508D0">
                      <w:pPr>
                        <w:pStyle w:val="Hlistbullet"/>
                        <w:rPr>
                          <w:b/>
                          <w:sz w:val="14"/>
                          <w:szCs w:val="14"/>
                        </w:rPr>
                      </w:pPr>
                      <w:r w:rsidRPr="00B708E9">
                        <w:rPr>
                          <w:sz w:val="14"/>
                          <w:szCs w:val="14"/>
                        </w:rPr>
                        <w:t>ein Programm zur Entwicklung des ländlichen Raums, bei dem eine operationelle Gruppe innovative Bodenbearbeitungsmaschinen zur Aufnahme von Ernterückständen entwickelt, kann innovationsbezogene Investitionen anziehen und zu strengeren Verbrennungsverboten für Ernterückstände führen (z. B. Vorhaben gemäß Artikel 17 der Verordnung (EU) Nr. 1305/2013);</w:t>
                      </w:r>
                    </w:p>
                    <w:p w:rsidR="00533F8C" w:rsidRPr="00386823" w:rsidRDefault="00533F8C" w:rsidP="004508D0">
                      <w:pPr>
                        <w:pStyle w:val="Hlistbullet"/>
                        <w:rPr>
                          <w:sz w:val="16"/>
                          <w:szCs w:val="16"/>
                        </w:rPr>
                      </w:pPr>
                      <w:r w:rsidRPr="00B708E9">
                        <w:rPr>
                          <w:sz w:val="14"/>
                          <w:szCs w:val="14"/>
                        </w:rPr>
                        <w:t>eine Maßnahme im Rahmen eines Programms zur Entwicklung des ländlichen Raums, die den Aufbau kurzer Lebensmittelversorgungsketten oder von Erzeugergenossenschaften unterstützt, kann die Verbindungen und die Zusammenarbeit zwischen Verbrauchern und Erzeugern stärken und so zu einem innovativeren Lebensmittelsystem beitragen</w:t>
                      </w:r>
                      <w:r w:rsidRPr="00B708E9">
                        <w:rPr>
                          <w:sz w:val="14"/>
                          <w:szCs w:val="14"/>
                          <w:vertAlign w:val="superscript"/>
                        </w:rPr>
                        <w:t>13</w:t>
                      </w:r>
                      <w:r w:rsidRPr="00B708E9">
                        <w:rPr>
                          <w:sz w:val="14"/>
                          <w:szCs w:val="14"/>
                        </w:rPr>
                        <w:t xml:space="preserve"> (z. B. Vorhaben gemäß Artikel 16, 17 und 35 der Verordnung (EU) Nr. 1305/2013).</w:t>
                      </w:r>
                    </w:p>
                  </w:txbxContent>
                </v:textbox>
                <w10:wrap type="square"/>
              </v:shape>
            </w:pict>
          </mc:Fallback>
        </mc:AlternateContent>
      </w:r>
      <w:r w:rsidR="00A45935">
        <w:t xml:space="preserve">institutionell (z. B. Zuteilung von Mandaten, Bereitstellung von Normen, innovationsförderndes politisches/rechtliches Umfeld), </w:t>
      </w:r>
    </w:p>
    <w:p w:rsidR="00A45935" w:rsidRPr="0095292E" w:rsidRDefault="00A45935" w:rsidP="00230C31">
      <w:pPr>
        <w:pStyle w:val="Hlistbullet"/>
      </w:pPr>
      <w:r>
        <w:t xml:space="preserve">verfahrensmäßig (z. B. Quellen flexibler Finanzierung, um den innovationsbezogenen Bedürfnissen der Interessengruppen nachzukommen), </w:t>
      </w:r>
    </w:p>
    <w:p w:rsidR="00A45935" w:rsidRPr="0095292E" w:rsidRDefault="00A45935" w:rsidP="00230C31">
      <w:pPr>
        <w:pStyle w:val="Hlistbullet"/>
      </w:pPr>
      <w:r>
        <w:t xml:space="preserve">beruflich (z. B. Verfügbarkeit von Schulungen, um erforderliche Kompetenzen und Kenntnisse sowie innovationsfördernde Methoden zu vermitteln), </w:t>
      </w:r>
    </w:p>
    <w:p w:rsidR="00A45935" w:rsidRPr="0095292E" w:rsidRDefault="00A45935" w:rsidP="00230C31">
      <w:pPr>
        <w:pStyle w:val="Hlistbullet"/>
      </w:pPr>
      <w:r>
        <w:t xml:space="preserve">organisatorisch (z. B. Austauschmöglichkeit mit anderen Partnern, die sich für innovative Lösungen interessieren), </w:t>
      </w:r>
    </w:p>
    <w:p w:rsidR="00A45935" w:rsidRPr="0095292E" w:rsidRDefault="00A45935" w:rsidP="00230C31">
      <w:pPr>
        <w:pStyle w:val="Hlistbullet"/>
      </w:pPr>
      <w:r>
        <w:t xml:space="preserve">operativ (z. B. Förderung länder- oder sektorübergreifender Innovation), </w:t>
      </w:r>
    </w:p>
    <w:p w:rsidR="00A45935" w:rsidRPr="0095292E" w:rsidRDefault="00A45935" w:rsidP="00230C31">
      <w:pPr>
        <w:pStyle w:val="Hlistbullet"/>
      </w:pPr>
      <w:r>
        <w:t xml:space="preserve">technisch (z. B. Unterstützung neuer Techniken und Technologien für die Wirtschaftssektoren und Infrastruktur der ländlichen Gebiete). </w:t>
      </w:r>
    </w:p>
    <w:p w:rsidR="00A45935" w:rsidRPr="00E05D08" w:rsidRDefault="00A45935" w:rsidP="00E05D08">
      <w:pPr>
        <w:spacing w:after="120" w:line="280" w:lineRule="atLeast"/>
        <w:mirrorIndents/>
        <w:rPr>
          <w:rFonts w:eastAsia="Times New Roman" w:cs="Times New Roman"/>
          <w:szCs w:val="20"/>
        </w:rPr>
      </w:pPr>
      <w:r>
        <w:t xml:space="preserve">Ein Programm zur Entwicklung des ländlichen Raums kann zu Pfad 3 beitragen, indem es verschiedene Maßnahmen/Teilmaßnahmen miteinander kombiniert (z. B. Investitionsmaßnahmen sorgen für ein förderliches Umfeld für technische oder technologische Innovationen jeder Art, Qualitäts- und Vermarktungsmaßnahmen unterstützen institutionelle und verfahrensbezogene </w:t>
      </w:r>
      <w:r w:rsidR="00323AAC">
        <w:t>Bedingungen, Wissenstransfer und</w:t>
      </w:r>
      <w:r>
        <w:t xml:space="preserve"> </w:t>
      </w:r>
      <w:bookmarkStart w:id="17" w:name="_Hlk508788869"/>
      <w:r>
        <w:t xml:space="preserve">Beratungsmaßnahmen führen zu einem innovationsfördernden beruflichen Umfeld). </w:t>
      </w:r>
      <w:r w:rsidR="004508D0" w:rsidRPr="004508D0">
        <w:rPr>
          <w:rStyle w:val="FootnoteReference"/>
          <w:rFonts w:eastAsia="Times New Roman" w:cs="Times New Roman"/>
          <w:color w:val="FFFFFF" w:themeColor="background1"/>
          <w:szCs w:val="20"/>
          <w:lang w:eastAsia="de-DE"/>
        </w:rPr>
        <w:footnoteReference w:id="13"/>
      </w:r>
      <w:bookmarkEnd w:id="17"/>
    </w:p>
    <w:p w:rsidR="00A45935" w:rsidRPr="00E05D08" w:rsidRDefault="00A45935" w:rsidP="00E05D08">
      <w:pPr>
        <w:spacing w:after="120" w:line="280" w:lineRule="atLeast"/>
        <w:mirrorIndents/>
        <w:rPr>
          <w:rFonts w:eastAsia="Times New Roman" w:cs="Times New Roman"/>
          <w:szCs w:val="20"/>
        </w:rPr>
      </w:pPr>
      <w:r>
        <w:rPr>
          <w:b/>
          <w:szCs w:val="20"/>
        </w:rPr>
        <w:t>Das Potenzial mehrerer selbstverstärkender Feedback-Schleifen</w:t>
      </w:r>
      <w:r>
        <w:t xml:space="preserve"> wird in </w:t>
      </w:r>
      <w:hyperlink w:anchor="Pathways" w:history="1">
        <w:r>
          <w:rPr>
            <w:rStyle w:val="Hyperlink"/>
            <w:sz w:val="20"/>
            <w:szCs w:val="20"/>
          </w:rPr>
          <w:t>Abbildung 1</w:t>
        </w:r>
      </w:hyperlink>
      <w:r>
        <w:t xml:space="preserve"> anschaulich gemacht. Beispiele:</w:t>
      </w:r>
    </w:p>
    <w:p w:rsidR="00A45935" w:rsidRPr="004508D0" w:rsidRDefault="00A45935" w:rsidP="00230C31">
      <w:pPr>
        <w:pStyle w:val="Hlistbullet"/>
      </w:pPr>
      <w:r>
        <w:t xml:space="preserve">Der Prozess der technologischen und/oder institutionellen Innovation verbessert die Innovationsfähigkeit des Systems, was sich direkt in der Entstehungsgeschwindigkeit und Qualität der Innovationen niederschlägt; </w:t>
      </w:r>
    </w:p>
    <w:p w:rsidR="00A45935" w:rsidRPr="000828C6" w:rsidRDefault="00A45935" w:rsidP="00230C31">
      <w:pPr>
        <w:pStyle w:val="Hlistbullet"/>
      </w:pPr>
      <w:r>
        <w:lastRenderedPageBreak/>
        <w:t xml:space="preserve">Die Interventionen eines Programms zur Entwicklung des ländlichen Raums, die eine innovationsfreundliche Politik unterstützen (Pfad 3), steigern die Innovationsgeschwindigkeit, was wiederum zu einer größeren Innovationsfähigkeit führt. </w:t>
      </w:r>
    </w:p>
    <w:p w:rsidR="00A45935" w:rsidRPr="00E05D08" w:rsidRDefault="00A45935" w:rsidP="00E05D08">
      <w:pPr>
        <w:spacing w:after="120" w:line="280" w:lineRule="atLeast"/>
        <w:mirrorIndents/>
        <w:rPr>
          <w:rFonts w:eastAsia="Times New Roman" w:cs="Times New Roman"/>
          <w:szCs w:val="20"/>
        </w:rPr>
      </w:pPr>
      <w:r>
        <w:t>Eine Steigerung der Innovationsfähigkeit hilft den Innovationsakteuren, Verknüpfungen herzustellen und zu nutzen, um auf das institutionelle oder politische Umfeld einzuwirken, das die Innovationen unterstützt, die von dem Programm zur Entwicklung des ländlichen Raums gefördert werden. Selbstverstärkende Schleifen sind wichtig, weil sie potenziell eine Hebelwirkung</w:t>
      </w:r>
      <w:r w:rsidRPr="00E05D08">
        <w:rPr>
          <w:rFonts w:eastAsia="Times New Roman" w:cs="Times New Roman"/>
          <w:szCs w:val="20"/>
          <w:vertAlign w:val="superscript"/>
          <w:lang w:eastAsia="de-DE"/>
        </w:rPr>
        <w:footnoteReference w:id="14"/>
      </w:r>
      <w:r>
        <w:t xml:space="preserve"> hervorrufen können, d. h. eine relativ kleine Intervention im Rahmen eines Programms zur Entwicklung des ländlichen Raums kann eine größere Breitenwirkung anregen und diese unterstützen (z. B. ein energieeffizientes innovatives landwirtschaftliches Verfahren, das im Rahmen eines Innovationsprojekts eines Programms zur Entwicklung des ländlichen Raums entwickelt wird, wird durch das positive Feedback neuer Anwender in die Breite getragen, wodurch sich das Konzept ausbreitet und andere beeinflusst werden, das gleiche Verfahren anzuwenden, wodurch die Region schließlich deutliche Energieeinsparungen erzielt). Darüber hinaus können Innovationsprojekte zu verbesserten Maßnahmen des Programms zur Entwicklung des ländlichen Raums führen. Bei einem Innovationsprojekt kann es etwa um die Prüfung der Machbarkeit und Kosteneffizienz einer künftigen Agrarumwelt- und Klimaschutzmaßnahme (AUKM) gehen. </w:t>
      </w:r>
    </w:p>
    <w:p w:rsidR="00A45935" w:rsidRPr="00E05D08" w:rsidRDefault="00A45935" w:rsidP="00230C31">
      <w:pPr>
        <w:pStyle w:val="HHeading4"/>
      </w:pPr>
      <w:r>
        <w:t xml:space="preserve">Zusammenspiel zwischen Programmen zur Entwicklung des ländlichen Raums und dem breiteren Innovationssystem </w:t>
      </w:r>
    </w:p>
    <w:p w:rsidR="00A45935" w:rsidRPr="00E05D08" w:rsidRDefault="00A45935" w:rsidP="00E05D08">
      <w:pPr>
        <w:spacing w:after="120" w:line="280" w:lineRule="atLeast"/>
        <w:mirrorIndents/>
        <w:rPr>
          <w:rFonts w:eastAsia="Times New Roman" w:cs="Times New Roman"/>
          <w:szCs w:val="20"/>
        </w:rPr>
      </w:pPr>
      <w:r>
        <w:t xml:space="preserve">Ein Programm zur Entwicklung des ländlichen Raums führt zu zwei Arten innovationsbezogener Ergebnisse: </w:t>
      </w:r>
    </w:p>
    <w:p w:rsidR="00A45935" w:rsidRPr="000828C6" w:rsidRDefault="00A45935" w:rsidP="001744D0">
      <w:pPr>
        <w:pStyle w:val="Hlistbullet"/>
      </w:pPr>
      <w:r>
        <w:rPr>
          <w:b/>
        </w:rPr>
        <w:t>Innovationsfördernde Ergebnisse</w:t>
      </w:r>
      <w:r>
        <w:t xml:space="preserve"> in Zusammenhang mit den drei Pfaden (z. B. Veränderungen in der Zahl und Qualität aufkommender innovativer Ideen; Innovationsfähigkeit; und innovationsförderndes Umfeld). </w:t>
      </w:r>
    </w:p>
    <w:p w:rsidR="00A45935" w:rsidRPr="000828C6" w:rsidRDefault="00A45935" w:rsidP="001744D0">
      <w:pPr>
        <w:pStyle w:val="Hlistbullet"/>
      </w:pPr>
      <w:r>
        <w:rPr>
          <w:b/>
        </w:rPr>
        <w:t>Innovationsergebnisse</w:t>
      </w:r>
      <w:r>
        <w:t>, die sich aus den innovationsfördernden Ergebnissen ergeben (z. B. neue Verfahren, gesteigertes Einkommen, Anwendung nachhaltigerer landwirtschaftlicher Verfahren).</w:t>
      </w:r>
    </w:p>
    <w:p w:rsidR="00A45935" w:rsidRPr="00E05D08" w:rsidRDefault="00A45935" w:rsidP="00E05D08">
      <w:pPr>
        <w:spacing w:after="120" w:line="280" w:lineRule="atLeast"/>
        <w:mirrorIndents/>
        <w:rPr>
          <w:rFonts w:eastAsia="Times New Roman" w:cs="Times New Roman"/>
          <w:szCs w:val="20"/>
        </w:rPr>
      </w:pPr>
      <w:r>
        <w:t>Beide Arten von Ergebnissen tragen zu den Zielen des Programms zur Entwicklung des ländlichen Raums bei und können durch geeignete Indikatoren bewertet werden. Inwieweit sie das bestehende Innovationssystem beeinflussen, hängt davon ab, wie die Begünstigten des Programms zur Entwicklung des ländlichen Raums die Inhalte des Programms auslegen und nutzen.</w:t>
      </w:r>
      <w:r w:rsidRPr="00E05D08">
        <w:rPr>
          <w:rFonts w:eastAsia="Times New Roman" w:cs="Times New Roman"/>
          <w:szCs w:val="20"/>
          <w:vertAlign w:val="superscript"/>
          <w:lang w:eastAsia="de-DE"/>
        </w:rPr>
        <w:footnoteReference w:id="15"/>
      </w:r>
      <w:r>
        <w:t xml:space="preserve"> Ihre Reaktion hängt auch von historischen Faktoren und laufenden Prozessen jenseits des Programms zur Entwicklung des ländlichen Raums ab, die sich innovationsfördernd auswirken: </w:t>
      </w:r>
    </w:p>
    <w:p w:rsidR="00A45935" w:rsidRPr="00161D7E" w:rsidRDefault="00A45935" w:rsidP="001744D0">
      <w:pPr>
        <w:pStyle w:val="Hlistbullet"/>
      </w:pPr>
      <w:r>
        <w:t xml:space="preserve">Forschungstätigkeiten über neue Technologien und Prozesse, </w:t>
      </w:r>
    </w:p>
    <w:p w:rsidR="00A45935" w:rsidRPr="00161D7E" w:rsidRDefault="00A45935" w:rsidP="001744D0">
      <w:pPr>
        <w:pStyle w:val="Hlistbullet"/>
      </w:pPr>
      <w:r>
        <w:t xml:space="preserve">Ausbau- und Bildungsprogramme zum Thema Innovationsförderung, </w:t>
      </w:r>
    </w:p>
    <w:p w:rsidR="00A45935" w:rsidRPr="00161D7E" w:rsidRDefault="00A45935" w:rsidP="001744D0">
      <w:pPr>
        <w:pStyle w:val="Hlistbullet"/>
      </w:pPr>
      <w:r>
        <w:t xml:space="preserve">steuerpolitische Maßnahmen, Kreditbürgschaften, innovative Auftragsvergabe, </w:t>
      </w:r>
    </w:p>
    <w:p w:rsidR="00A45935" w:rsidRPr="00161D7E" w:rsidRDefault="00A45935" w:rsidP="001744D0">
      <w:pPr>
        <w:pStyle w:val="Hlistbullet"/>
      </w:pPr>
      <w:r>
        <w:t>Horizont 2020 und andere nationale/regionale Programme, die aus ESI-Mitteln finanziert werden und dasselbe Innovationskonzept verfolgen wie die Programme zur Entwicklung des ländlichen Raums,</w:t>
      </w:r>
    </w:p>
    <w:p w:rsidR="00A45935" w:rsidRPr="00161D7E" w:rsidRDefault="00A45935" w:rsidP="001744D0">
      <w:pPr>
        <w:pStyle w:val="Hlistbullet"/>
      </w:pPr>
      <w:r>
        <w:lastRenderedPageBreak/>
        <w:t>Marktnachfrage.</w:t>
      </w:r>
    </w:p>
    <w:p w:rsidR="00A45935" w:rsidRPr="00E05D08" w:rsidRDefault="00A45935" w:rsidP="00E05D08">
      <w:pPr>
        <w:spacing w:after="120" w:line="280" w:lineRule="atLeast"/>
        <w:mirrorIndents/>
        <w:rPr>
          <w:rFonts w:eastAsia="Times New Roman" w:cs="Times New Roman"/>
          <w:szCs w:val="20"/>
        </w:rPr>
      </w:pPr>
      <w:r>
        <w:t xml:space="preserve">Die Vorhaben der Programme zur Entwicklung des ländlichen Raums wirken sich außerdem auch darauf aus, wie andere laufende Prozesse und Intervention ausgelegt und genutzt werden, und werden umgekehrt auch selbst von diesen beeinflusst. </w:t>
      </w:r>
    </w:p>
    <w:p w:rsidR="00A45935" w:rsidRPr="00E05D08" w:rsidRDefault="00A45935" w:rsidP="00E05D08">
      <w:pPr>
        <w:spacing w:after="120" w:line="280" w:lineRule="atLeast"/>
        <w:mirrorIndents/>
        <w:rPr>
          <w:rFonts w:eastAsia="Times New Roman" w:cs="Times New Roman"/>
          <w:szCs w:val="20"/>
        </w:rPr>
      </w:pPr>
      <w:r>
        <w:t xml:space="preserve">Die Programme zur Entwicklung des ländlichen Raums werden nicht in einem luftleeren Raum umgesetzt, sondern sind Teil eines komplexen Innovationssystems in einem bestimmten sozio-ökonomischen Kontext. Die Ausgangslage des Programms zur Entwicklung des ländlichen Raums hängt von dem bestehenden Innovationskontext ab (d. h. von den Innovationsakteuren und deren Interaktion untereinander, dem bestehenden innovationsfördernden Umfeld, der Marktnachfrage und anderen Interventionen). </w:t>
      </w:r>
    </w:p>
    <w:p w:rsidR="000E0FE4" w:rsidRDefault="00A45935" w:rsidP="00E05D08">
      <w:pPr>
        <w:spacing w:after="120" w:line="280" w:lineRule="atLeast"/>
        <w:mirrorIndents/>
        <w:rPr>
          <w:rFonts w:eastAsia="Times New Roman" w:cs="Times New Roman"/>
          <w:szCs w:val="20"/>
        </w:rPr>
      </w:pPr>
      <w:r>
        <w:t xml:space="preserve">Ziel einer jeden Evaluierung ist es, die Ausgangslage zu erfassen und etwaig beobachtete Veränderungen den Maßnahmen und Teilmaßnahmen eines Programms zur Entwicklung des ländlichen Raums zuzuschreiben. </w:t>
      </w:r>
      <w:r>
        <w:br w:type="page"/>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967CFD" w:rsidRDefault="00A45935" w:rsidP="00230C31">
      <w:pPr>
        <w:pStyle w:val="HHeading2"/>
      </w:pPr>
      <w:bookmarkStart w:id="18" w:name="_Toc493151896"/>
      <w:bookmarkStart w:id="19" w:name="_Toc501382122"/>
      <w:bookmarkStart w:id="20" w:name="_Toc508377832"/>
      <w:r>
        <w:lastRenderedPageBreak/>
        <w:t>Der politische Rahmen der EU</w:t>
      </w:r>
      <w:bookmarkEnd w:id="18"/>
      <w:bookmarkEnd w:id="19"/>
      <w:bookmarkEnd w:id="20"/>
      <w:r>
        <w:t xml:space="preserve"> </w:t>
      </w:r>
    </w:p>
    <w:p w:rsidR="00A45935" w:rsidRPr="00967CFD" w:rsidRDefault="00A45935" w:rsidP="009B603C">
      <w:pPr>
        <w:pStyle w:val="HHeading3"/>
        <w:spacing w:line="280" w:lineRule="exact"/>
      </w:pPr>
      <w:bookmarkStart w:id="21" w:name="Policy_framework"/>
      <w:bookmarkStart w:id="22" w:name="_Toc501382123"/>
      <w:bookmarkStart w:id="23" w:name="_Toc508377833"/>
      <w:bookmarkEnd w:id="21"/>
      <w:r>
        <w:t>Die Innovationspolitik im Rahmen der EU- und der Politik zur Entwicklung des ländlichen Raums</w:t>
      </w:r>
      <w:bookmarkEnd w:id="22"/>
      <w:bookmarkEnd w:id="23"/>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Zur Förderung der Innovation in der Land- und Forstwirtschaft stehen zwei EU-Finanzierungsinstrumente zur Verfügung</w:t>
      </w:r>
      <w:r>
        <w:rPr>
          <w:szCs w:val="20"/>
          <w:shd w:val="clear" w:color="auto" w:fill="FFFFFF"/>
        </w:rPr>
        <w:t>. Zum einen die Politik zur Entwicklung des ländlichen Raums, die eine der beiden Säulen der Gemeinsamen Agrarpolitik (GAP) darstellt. Zum anderen Horizont 2020</w:t>
      </w:r>
      <w:r w:rsidRPr="00E05D08">
        <w:rPr>
          <w:rFonts w:eastAsia="Times New Roman" w:cs="Times New Roman"/>
          <w:szCs w:val="20"/>
          <w:shd w:val="clear" w:color="auto" w:fill="FFFFFF"/>
          <w:vertAlign w:val="superscript"/>
          <w:lang w:eastAsia="de-DE"/>
        </w:rPr>
        <w:footnoteReference w:id="16"/>
      </w:r>
      <w:r>
        <w:rPr>
          <w:szCs w:val="20"/>
          <w:shd w:val="clear" w:color="auto" w:fill="FFFFFF"/>
        </w:rPr>
        <w:t>, das EU-Rahmenprogramm für Forschung und Innovation, mit dem die Vorzeigeinitiative der „Innovationsunion“</w:t>
      </w:r>
      <w:r w:rsidRPr="00405B0B">
        <w:rPr>
          <w:rFonts w:eastAsia="Calibri" w:cs="Arial"/>
          <w:szCs w:val="20"/>
          <w:shd w:val="clear" w:color="auto" w:fill="FFFFFF"/>
          <w:vertAlign w:val="superscript"/>
          <w:lang w:eastAsia="de-DE"/>
        </w:rPr>
        <w:footnoteReference w:id="17"/>
      </w:r>
      <w:r>
        <w:rPr>
          <w:szCs w:val="20"/>
          <w:shd w:val="clear" w:color="auto" w:fill="FFFFFF"/>
        </w:rPr>
        <w:t xml:space="preserve"> umgesetzt wird. </w:t>
      </w:r>
    </w:p>
    <w:p w:rsidR="00A45935" w:rsidRDefault="00A45935" w:rsidP="001744D0">
      <w:pPr>
        <w:spacing w:after="120" w:line="280" w:lineRule="atLeast"/>
        <w:mirrorIndents/>
        <w:rPr>
          <w:rFonts w:eastAsia="Times New Roman" w:cs="Times New Roman"/>
          <w:b/>
          <w:sz w:val="18"/>
          <w:szCs w:val="18"/>
        </w:rPr>
      </w:pPr>
      <w:r>
        <w:rPr>
          <w:b/>
          <w:szCs w:val="20"/>
          <w:shd w:val="clear" w:color="auto" w:fill="FFFFFF"/>
        </w:rPr>
        <w:t>Durch gemeinsame Synergieeffekte mit Horizont 2020 soll die Politik zur Entwicklung des ländlichen Raums dazu beitragen, die Innovationsziele der EU und insbesondere die Ziele im Hinblick auf das intelligente Wachstum</w:t>
      </w:r>
      <w:r w:rsidR="006864FC">
        <w:rPr>
          <w:b/>
          <w:szCs w:val="20"/>
          <w:shd w:val="clear" w:color="auto" w:fill="FFFFFF"/>
        </w:rPr>
        <w:t xml:space="preserve"> </w:t>
      </w:r>
      <w:r>
        <w:rPr>
          <w:szCs w:val="20"/>
          <w:shd w:val="clear" w:color="auto" w:fill="FFFFFF"/>
        </w:rPr>
        <w:t>zu erreichen. Zu den Kernzielen der EU für intelligentes Wachstum gehört die Aufstockung der öffentlichen und privaten Investitionen in FuE auf 3 % des BIP der EU sowie die Verbesserung der Rahmenbedingungen für FuE und Innovation.</w:t>
      </w:r>
      <w:r w:rsidRPr="00405B0B">
        <w:rPr>
          <w:rFonts w:eastAsia="Times New Roman" w:cs="Times New Roman"/>
          <w:szCs w:val="20"/>
          <w:shd w:val="clear" w:color="auto" w:fill="FFFFFF"/>
          <w:vertAlign w:val="superscript"/>
          <w:lang w:eastAsia="de-DE"/>
        </w:rPr>
        <w:footnoteReference w:id="18"/>
      </w:r>
      <w:r>
        <w:rPr>
          <w:szCs w:val="20"/>
          <w:shd w:val="clear" w:color="auto" w:fill="FFFFFF"/>
        </w:rPr>
        <w:t xml:space="preserve"> </w:t>
      </w:r>
    </w:p>
    <w:p w:rsidR="00A45935" w:rsidRPr="00967CFD" w:rsidRDefault="00A45935" w:rsidP="002F0ABF">
      <w:pPr>
        <w:pStyle w:val="HHeadingfigures"/>
      </w:pPr>
      <w:bookmarkStart w:id="24" w:name="_Toc508377958"/>
      <w:r>
        <w:t>Die Innovationspolitik im Rahmen der EU- und der Politik zur Entwicklung des ländlichen Raums</w:t>
      </w:r>
      <w:bookmarkEnd w:id="24"/>
      <w:r>
        <w:t xml:space="preserve"> </w:t>
      </w:r>
    </w:p>
    <w:p w:rsidR="00A45935" w:rsidRPr="00E05D08" w:rsidRDefault="000A6F95" w:rsidP="00E05D08">
      <w:pPr>
        <w:spacing w:before="60" w:after="200" w:line="276" w:lineRule="auto"/>
        <w:jc w:val="center"/>
        <w:rPr>
          <w:rFonts w:eastAsia="Calibri" w:cs="Arial"/>
          <w:szCs w:val="20"/>
        </w:rPr>
      </w:pPr>
      <w:r w:rsidRPr="000A6F95">
        <w:rPr>
          <w:noProof/>
          <w:lang w:val="en-GB" w:eastAsia="en-GB"/>
        </w:rPr>
        <w:drawing>
          <wp:inline distT="0" distB="0" distL="0" distR="0" wp14:anchorId="46984396" wp14:editId="5A65B4B2">
            <wp:extent cx="5731510" cy="331304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313042"/>
                    </a:xfrm>
                    <a:prstGeom prst="rect">
                      <a:avLst/>
                    </a:prstGeom>
                    <a:noFill/>
                    <a:ln>
                      <a:noFill/>
                    </a:ln>
                  </pic:spPr>
                </pic:pic>
              </a:graphicData>
            </a:graphic>
          </wp:inline>
        </w:drawing>
      </w:r>
    </w:p>
    <w:p w:rsidR="00A45935" w:rsidRPr="00E05D08" w:rsidRDefault="00A45935" w:rsidP="00E05D08">
      <w:pPr>
        <w:suppressAutoHyphens/>
        <w:spacing w:before="60" w:after="140" w:line="240" w:lineRule="auto"/>
        <w:ind w:left="1134" w:right="1134"/>
        <w:mirrorIndents/>
        <w:jc w:val="center"/>
        <w:rPr>
          <w:rFonts w:eastAsia="Times New Roman" w:cs="Times New Roman"/>
          <w:i/>
          <w:sz w:val="16"/>
          <w:szCs w:val="16"/>
        </w:rPr>
      </w:pPr>
      <w:r>
        <w:rPr>
          <w:i/>
          <w:sz w:val="16"/>
          <w:szCs w:val="16"/>
        </w:rPr>
        <w:t>Quelle: Europäischer Evaluierungs-Helpdesk für ländliche Entwicklung, 2017.</w:t>
      </w:r>
    </w:p>
    <w:p w:rsidR="00A45935" w:rsidRPr="00E05D08" w:rsidRDefault="00A45935" w:rsidP="00E05D08">
      <w:pPr>
        <w:spacing w:after="120" w:line="280" w:lineRule="atLeast"/>
        <w:mirrorIndents/>
        <w:rPr>
          <w:rFonts w:eastAsia="Times New Roman" w:cs="Times New Roman"/>
          <w:szCs w:val="20"/>
        </w:rPr>
      </w:pPr>
      <w:r>
        <w:rPr>
          <w:b/>
          <w:szCs w:val="20"/>
        </w:rPr>
        <w:t>Durch Innovationen trägt die Gemeinsame Agrarpolitik wesentlich zum intelligenten Wachstum bei</w:t>
      </w:r>
      <w:r>
        <w:t xml:space="preserve">. Die Verwirklichung der drei Ziele der GAP erfordert die Entwicklung, Weitergabe und Umsetzung neuer Kenntnisse, neuer Technologien, neuer Produkte und neuer Arten der Organisation, des Lernens und der Zusammenarbeit. </w:t>
      </w:r>
    </w:p>
    <w:p w:rsidR="00A45935" w:rsidRPr="00E05D08" w:rsidRDefault="00A45935" w:rsidP="00E05D08">
      <w:pPr>
        <w:spacing w:after="120" w:line="280" w:lineRule="atLeast"/>
        <w:mirrorIndents/>
        <w:rPr>
          <w:rFonts w:eastAsia="Calibri" w:cs="Times New Roman"/>
          <w:szCs w:val="20"/>
        </w:rPr>
      </w:pPr>
      <w:r>
        <w:rPr>
          <w:b/>
          <w:szCs w:val="20"/>
        </w:rPr>
        <w:lastRenderedPageBreak/>
        <w:t>Die Architektur der Politik zur Entwicklung des ländlichen Raums für den Zeitraum 2014-2020 unterstreicht die Bedeutung der Innovation</w:t>
      </w:r>
      <w:r>
        <w:t xml:space="preserve"> bei der Auslegung und Umsetzung von Programmen.</w:t>
      </w:r>
      <w:r w:rsidRPr="00405B0B">
        <w:rPr>
          <w:rFonts w:eastAsia="Times New Roman" w:cs="Times New Roman"/>
          <w:szCs w:val="20"/>
          <w:vertAlign w:val="superscript"/>
          <w:lang w:eastAsia="de-DE"/>
        </w:rPr>
        <w:footnoteReference w:id="19"/>
      </w:r>
      <w:r>
        <w:t xml:space="preserve"> Innovation und die Entwicklung des ländlichen Raums können mit einer Vielzahl von Themen zusammenhängen: betriebliche Entwicklung, Organisation der Nahrungsmittelkette und Risikomanagement, Erhalt und Verbesserung von Ökosystemen, Förderung sozialer Inklusion, Armutsminderung, wirtschaftliche Entwicklung des ländlichen Raums usw.</w:t>
      </w:r>
    </w:p>
    <w:p w:rsidR="00A45935" w:rsidRPr="00E05D08" w:rsidRDefault="00A45935" w:rsidP="00230C31">
      <w:pPr>
        <w:pStyle w:val="HHeading4"/>
        <w:rPr>
          <w:rFonts w:eastAsia="Calibri"/>
        </w:rPr>
      </w:pPr>
      <w:r>
        <w:t>Inwiefern ist Innovation in den Programmen zur Entwicklung des ländlichen Raums verwurzelt?</w:t>
      </w:r>
    </w:p>
    <w:p w:rsidR="00A45935" w:rsidRPr="00E05D08" w:rsidRDefault="00347A2C" w:rsidP="00E05D08">
      <w:pPr>
        <w:spacing w:after="120" w:line="280" w:lineRule="atLeast"/>
        <w:mirrorIndents/>
        <w:rPr>
          <w:rFonts w:eastAsia="Times New Roman" w:cs="Times New Roman"/>
          <w:szCs w:val="20"/>
        </w:rPr>
      </w:pPr>
      <w:r>
        <w:rPr>
          <w:b/>
          <w:szCs w:val="20"/>
        </w:rPr>
        <w:t>Die Strategie der Programme zur Entwicklung des ländlichen Raums enthält eine Beschreibung des entsprechenden „Konzepts für Innovation im Hinblick auf die Verwirklichung der Prioritäten der Union für die Entwicklung des ländlichen Raums“</w:t>
      </w:r>
      <w:r>
        <w:t>.</w:t>
      </w:r>
      <w:r w:rsidR="00A45935" w:rsidRPr="00E05D08">
        <w:rPr>
          <w:rFonts w:eastAsia="Times New Roman" w:cs="Times New Roman"/>
          <w:szCs w:val="20"/>
          <w:vertAlign w:val="superscript"/>
          <w:lang w:eastAsia="de-DE"/>
        </w:rPr>
        <w:footnoteReference w:id="20"/>
      </w:r>
      <w:r>
        <w:t xml:space="preserve"> Die Beschreibung umfasst auch die EIP für landwirtschaftliche Produktivität und Nachhaltigkeit. Jede Strategie geht – auf der Ebene der einzelnen Unionsprioritäten – auf die spezifischen Bedürfnisse in Zusammenhang mit Innovation ein, die im Rahmen der SWOT- und Bedarfsanalyse ermittelt wurden.</w:t>
      </w:r>
      <w:r w:rsidR="00A45935" w:rsidRPr="00E05D08">
        <w:rPr>
          <w:rFonts w:eastAsia="Times New Roman" w:cs="Times New Roman"/>
          <w:szCs w:val="20"/>
          <w:vertAlign w:val="superscript"/>
          <w:lang w:eastAsia="de-DE"/>
        </w:rPr>
        <w:footnoteReference w:id="21"/>
      </w:r>
      <w:r>
        <w:t xml:space="preserve"> Darüber hinaus tragen alle Unionsprioritäten zu den innovationsbezogenen Querschnittszielen bei.</w:t>
      </w:r>
      <w:r w:rsidR="00A45935" w:rsidRPr="00E05D08">
        <w:rPr>
          <w:rFonts w:eastAsia="Times New Roman" w:cs="Times New Roman"/>
          <w:szCs w:val="20"/>
          <w:vertAlign w:val="superscript"/>
          <w:lang w:eastAsia="de-DE"/>
        </w:rPr>
        <w:footnoteReference w:id="22"/>
      </w:r>
      <w:r>
        <w:t xml:space="preserve"> </w:t>
      </w:r>
    </w:p>
    <w:p w:rsidR="00A45935" w:rsidRPr="00E05D08" w:rsidRDefault="00A45935" w:rsidP="00E05D08">
      <w:pPr>
        <w:spacing w:after="120" w:line="280" w:lineRule="atLeast"/>
        <w:mirrorIndents/>
        <w:rPr>
          <w:rFonts w:eastAsia="Times New Roman" w:cs="Times New Roman"/>
          <w:szCs w:val="20"/>
        </w:rPr>
      </w:pPr>
      <w:r>
        <w:t xml:space="preserve">Innovation ist nicht nur ein Querschnittsziel, sondern gehört im Rahmen der Programme zur Entwicklung des ländlichen Raums auch zu zwei Schwerpunktbereichen (FA) der übergreifenden Priorität 1 der Union „Förderung von Wissenstransfer und Innovation in der Land- und Forstwirtschaft und den ländlichen Gebieten“: </w:t>
      </w:r>
    </w:p>
    <w:p w:rsidR="00A45935" w:rsidRPr="00165BF1" w:rsidRDefault="00A45935" w:rsidP="008C0B17">
      <w:pPr>
        <w:numPr>
          <w:ilvl w:val="0"/>
          <w:numId w:val="70"/>
        </w:numPr>
        <w:mirrorIndents/>
        <w:rPr>
          <w:szCs w:val="20"/>
        </w:rPr>
      </w:pPr>
      <w:r>
        <w:t>FA 1A: Förderung der Innovation, der Zusammenarbeit und des Aufbaus der Wissensbasis in ländlichen Gebieten,</w:t>
      </w:r>
    </w:p>
    <w:p w:rsidR="00A45935" w:rsidRPr="00165BF1" w:rsidRDefault="00A45935" w:rsidP="008C0B17">
      <w:pPr>
        <w:numPr>
          <w:ilvl w:val="0"/>
          <w:numId w:val="70"/>
        </w:numPr>
        <w:mirrorIndents/>
        <w:rPr>
          <w:szCs w:val="20"/>
        </w:rPr>
      </w:pPr>
      <w:r>
        <w:t>FA 1B: Stärkung der Verbindungen zwischen Landwirtschaft, Nahrungsmittelerzeugung und Forstwirtschaft sowie Forschung und Innovation, unter anderem zu dem Zweck eines besseren Umweltmanagements und einer besseren Umweltleistung.</w:t>
      </w:r>
    </w:p>
    <w:p w:rsidR="00A45935" w:rsidRPr="00E05D08" w:rsidRDefault="00A45935" w:rsidP="00E05D08">
      <w:pPr>
        <w:spacing w:after="120" w:line="280" w:lineRule="atLeast"/>
        <w:mirrorIndents/>
        <w:rPr>
          <w:rFonts w:eastAsia="Times New Roman" w:cs="Times New Roman"/>
          <w:szCs w:val="20"/>
          <w:shd w:val="clear" w:color="auto" w:fill="FFFFFF"/>
        </w:rPr>
      </w:pPr>
      <w:r>
        <w:t xml:space="preserve">Um auf spezifische gebiets- und innovationsbezogene Bedürfnisse eingehen und Synergieeffekte erzielen zu können, sind </w:t>
      </w:r>
      <w:r>
        <w:rPr>
          <w:b/>
          <w:szCs w:val="20"/>
        </w:rPr>
        <w:t>die Programme zur Entwicklung des ländlichen Raums</w:t>
      </w:r>
      <w:r>
        <w:t xml:space="preserve"> </w:t>
      </w:r>
      <w:r>
        <w:rPr>
          <w:b/>
          <w:szCs w:val="20"/>
        </w:rPr>
        <w:t>hinsichtlich der Nutzung und Kombination einzelner Maßnahmen sehr flexibel</w:t>
      </w:r>
      <w:r>
        <w:t xml:space="preserve">. Die Maßnahmen können nach mehreren Prioritäten und Schwerpunktbereichen ausgerichtet sein, um einen möglichst hohen Beitrag zu den entsprechenden Zielen zu erwirken. </w:t>
      </w:r>
      <w:r>
        <w:rPr>
          <w:szCs w:val="20"/>
          <w:shd w:val="clear" w:color="auto" w:fill="FFFFFF"/>
        </w:rPr>
        <w:t>Einige Maßnahmen im Rahmen der Programme zur Entwicklung des ländlichen Raums können sich sogar auf unmittelbarere Weise auf Innovation auswirken, und zwar in den Schwerpunktbereichen 1A und 1B:</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 Wissenstransfer- und Informationsmaßnahmen</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M2 Beratungsdienste</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M16 Zusammenarbeit (unterstützt den Aufbau und den Betrieb von operationellen Gruppen von EIP-AGRI).</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M19 LEADER/CLLD zur Förderung von Innovation als einem der Grundsätze von LEADER und Förderung kleinerer innovativer Maßnahmen in allen Aspekten des ländlichen Lebens (wirtschaftlich, sozial und umweltbezogen)</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rPr>
        <w:t>Innovationsfördernde Maßnahmen können auch nach anderen Schwerpunktbereichen ausgerichtet sein.</w:t>
      </w:r>
      <w:r>
        <w:t xml:space="preserve"> M16 zum Beispiel kann mit den meisten Schwerpunktbereichen und Prioritäten der </w:t>
      </w:r>
      <w:r>
        <w:lastRenderedPageBreak/>
        <w:t xml:space="preserve">ländlichen Entwicklung verbunden werden. Es handelt sich dabei um die wichtigste Maßnahme zur Entwicklung des ländlichen Raums zur Unterstützung der </w:t>
      </w:r>
      <w:r>
        <w:rPr>
          <w:b/>
          <w:szCs w:val="20"/>
          <w:shd w:val="clear" w:color="auto" w:fill="FFFFFF"/>
        </w:rPr>
        <w:t>Europäischen Innovationspartnerschaft „Landwirtschaftliche Produktivität und Nachhaltigkeit“</w:t>
      </w:r>
      <w:r>
        <w:rPr>
          <w:szCs w:val="20"/>
          <w:shd w:val="clear" w:color="auto" w:fill="FFFFFF"/>
        </w:rPr>
        <w:t xml:space="preserve"> (EIP-AGRI). </w:t>
      </w:r>
    </w:p>
    <w:p w:rsidR="00A45935" w:rsidRPr="00E05D08" w:rsidRDefault="00A45935" w:rsidP="00E05D08">
      <w:pPr>
        <w:spacing w:after="120" w:line="280" w:lineRule="atLeast"/>
        <w:mirrorIndents/>
        <w:rPr>
          <w:rFonts w:eastAsia="Times New Roman" w:cs="Times New Roman"/>
          <w:szCs w:val="20"/>
          <w:shd w:val="clear" w:color="auto" w:fill="FFFFFF"/>
        </w:rPr>
      </w:pPr>
      <w:r>
        <w:br w:type="page"/>
      </w:r>
    </w:p>
    <w:p w:rsidR="00A45935" w:rsidRPr="00E05D08" w:rsidRDefault="00A45935" w:rsidP="00E05D08">
      <w:pPr>
        <w:spacing w:after="120" w:line="280" w:lineRule="atLeast"/>
        <w:mirrorIndents/>
        <w:rPr>
          <w:rFonts w:eastAsia="Times New Roman" w:cs="Times New Roman"/>
          <w:szCs w:val="20"/>
          <w:shd w:val="clear" w:color="auto" w:fill="FFFFFF"/>
          <w:lang w:eastAsia="de-DE"/>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p>
    <w:p w:rsidR="00D461AB" w:rsidRPr="00D461AB" w:rsidRDefault="00386823" w:rsidP="00EA0974">
      <w:pPr>
        <w:spacing w:before="240" w:after="120" w:line="280" w:lineRule="atLeast"/>
        <w:mirrorIndents/>
        <w:rPr>
          <w:rFonts w:eastAsia="Times New Roman" w:cs="Times New Roman"/>
          <w:color w:val="FFFFFF" w:themeColor="background1"/>
          <w:szCs w:val="20"/>
          <w:shd w:val="clear" w:color="auto" w:fill="FFFFFF"/>
        </w:rPr>
      </w:pPr>
      <w:r w:rsidRPr="00E05D08">
        <w:rPr>
          <w:rFonts w:eastAsia="Times New Roman" w:cs="Times New Roman"/>
          <w:noProof/>
          <w:szCs w:val="20"/>
          <w:highlight w:val="yellow"/>
          <w:lang w:val="en-GB" w:eastAsia="en-GB"/>
        </w:rPr>
        <w:lastRenderedPageBreak/>
        <mc:AlternateContent>
          <mc:Choice Requires="wps">
            <w:drawing>
              <wp:anchor distT="0" distB="0" distL="114300" distR="114300" simplePos="0" relativeHeight="251706368" behindDoc="0" locked="0" layoutInCell="1" allowOverlap="1" wp14:anchorId="0AD1FD63" wp14:editId="34F287F2">
                <wp:simplePos x="0" y="0"/>
                <wp:positionH relativeFrom="page">
                  <wp:posOffset>923925</wp:posOffset>
                </wp:positionH>
                <wp:positionV relativeFrom="paragraph">
                  <wp:posOffset>409575</wp:posOffset>
                </wp:positionV>
                <wp:extent cx="5671820" cy="5343525"/>
                <wp:effectExtent l="0" t="0" r="24130" b="28575"/>
                <wp:wrapSquare wrapText="bothSides"/>
                <wp:docPr id="58" name="Rectangle: Diagonal Corners Rounded 58"/>
                <wp:cNvGraphicFramePr/>
                <a:graphic xmlns:a="http://schemas.openxmlformats.org/drawingml/2006/main">
                  <a:graphicData uri="http://schemas.microsoft.com/office/word/2010/wordprocessingShape">
                    <wps:wsp>
                      <wps:cNvSpPr/>
                      <wps:spPr>
                        <a:xfrm>
                          <a:off x="0" y="0"/>
                          <a:ext cx="5671820" cy="5343525"/>
                        </a:xfrm>
                        <a:prstGeom prst="round2DiagRect">
                          <a:avLst>
                            <a:gd name="adj1" fmla="val 6224"/>
                            <a:gd name="adj2" fmla="val 0"/>
                          </a:avLst>
                        </a:prstGeom>
                        <a:noFill/>
                        <a:ln w="25400" cap="flat" cmpd="sng" algn="ctr">
                          <a:solidFill>
                            <a:srgbClr val="BE4A35"/>
                          </a:solidFill>
                          <a:prstDash val="solid"/>
                        </a:ln>
                        <a:effectLst/>
                      </wps:spPr>
                      <wps:txbx>
                        <w:txbxContent>
                          <w:p w:rsidR="00533F8C" w:rsidRPr="002F0ABF" w:rsidRDefault="00533F8C" w:rsidP="00E05D08">
                            <w:pPr>
                              <w:pStyle w:val="HStandard"/>
                              <w:rPr>
                                <w:sz w:val="18"/>
                                <w:szCs w:val="18"/>
                              </w:rPr>
                            </w:pPr>
                            <w:r>
                              <w:rPr>
                                <w:noProof/>
                                <w:lang w:val="en-GB" w:eastAsia="en-GB"/>
                              </w:rPr>
                              <w:drawing>
                                <wp:inline distT="0" distB="0" distL="0" distR="0" wp14:anchorId="0DC701F6" wp14:editId="26A2E65A">
                                  <wp:extent cx="664845" cy="487680"/>
                                  <wp:effectExtent l="0" t="0" r="0" b="7620"/>
                                  <wp:docPr id="730"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Die EIP-AGRI ist Teil der Strategie Europa 2020, die Innovation in der EU zu beschleunigen und eine wettbewerbsfähige und nachhaltige Land- und Forstwirtschaft zu fördern, die „mit weniger mehr erreicht“. Die EIP-AGRI trägt zur sicheren Versorgung mit Lebensmitteln, Futtermitteln und Biomaterialien bei und ist auf die wesentlichen natürlichen Ressourcen abgestimmt, von denen die Agrarwirtschaft abhängt. Die EIP-AGRI bringt verschiedene Innovationsakteure (Landwirte, Berater, Forscher, Unternehmen, NRO usw.) auf EU-Ebene und innerhalb der Programme zur Entwicklung des ländlichen Raums in Form von operationellen Gruppen zusammen. Die Innovationen können technologischer, nicht technologischer, organisatorischer oder sozialer Natur sein. Innovation kann auf neuen, aber auch auf herkömmlichen Verfahren in einem neuen geografischen oder umweltbezogenen Kontext beruhen. Die operationellen Gruppen der EIP sind projektbasiert und behandeln ein bestimmtes (praktisches) Problem oder eine bestimmte Möglichkeit, die zu einer Innovation führen und zur Verwirklichung der Programmziele beitragen können. Jede operationelle Gruppe besteht aus den Schlüsselakteuren (z. B. Landwirten, Beratern, Forschern, Unternehmen, NRO), die sich in der besten Position befinden, die Projektziele zu verwirklichen, ihre Erfahrung bei der Umsetzung weiterzugeben und die Ergebnisse in die Breite zu tragen. Beim Ansatz der operationellen Gruppe kommen verschiedene Kenntnisse (praktischer, wissenschaftlicher, technischer, organisatorischer oder anderer Art) bestmöglich und auf interaktive Weise zum Einsatz. Die „Innovationsvermittlung“ kann hierbei einen praktischen Lösungsansatz bieten. Die Verordnung sieht vier Möglichkeiten zur Finanzierung der Innovationsvermittlung vor </w:t>
                            </w:r>
                            <w:r>
                              <w:rPr>
                                <w:sz w:val="18"/>
                                <w:szCs w:val="18"/>
                                <w:vertAlign w:val="superscript"/>
                              </w:rPr>
                              <w:t>23</w:t>
                            </w:r>
                            <w:r>
                              <w:rPr>
                                <w:sz w:val="18"/>
                                <w:szCs w:val="18"/>
                              </w:rPr>
                              <w:t xml:space="preserve">. Die Innovationsvermittlung kann eine wichtige Rolle dabei spielen, innovative Ideen zu erkennen, den Aufbau operationeller Gruppen insbesondere durch den Einsatz eines Vermittlers zu unterstützen und Innovationsakteure (Landwirte, Forscher, Berater, NRO usw.) in interaktiven Innovationsprojekten miteinander zu verbinden. Ein „Innovationsvermittler“ versucht, Bottom-up-Initiativen ausfindig zu machen, hilft dabei, innovative Ideen zu verfeinern, und unterstützt bei der Suche nach Partnern und Finanzierungen. Die Hauptaufgabe des Innovationsvermittlers liegt darin, dabei zu helfen, einen ebenso soliden wie innovativen Projektvorschlag zu erarbeiten. </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1FD63" id="Rectangle: Diagonal Corners Rounded 58" o:spid="_x0000_s1035" style="position:absolute;left:0;text-align:left;margin-left:72.75pt;margin-top:32.25pt;width:446.6pt;height:420.7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671820,534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" adj="-11796480,,5400" path="m332581,l5671820,r,l5671820,5010944v,183679,-148902,332581,-332581,332581l,5343525r,l,332581c,148902,148902,,332581,xe" filled="f" strokecolor="#be4a35" strokeweight="2pt">
                <v:stroke joinstyle="miter"/>
                <v:formulas/>
                <v:path arrowok="t" o:connecttype="custom" o:connectlocs="332581,0;5671820,0;5671820,0;5671820,5010944;5339239,5343525;0,5343525;0,5343525;0,332581;332581,0" o:connectangles="0,0,0,0,0,0,0,0,0" textboxrect="0,0,5671820,5343525"/>
                <v:textbox inset=",,,0">
                  <w:txbxContent>
                    <w:p w:rsidR="00533F8C" w:rsidRPr="002F0ABF" w:rsidRDefault="00533F8C" w:rsidP="00E05D08">
                      <w:pPr>
                        <w:pStyle w:val="HStandard"/>
                        <w:rPr>
                          <w:sz w:val="18"/>
                          <w:szCs w:val="18"/>
                        </w:rPr>
                      </w:pPr>
                      <w:r>
                        <w:rPr>
                          <w:noProof/>
                          <w:lang w:val="en-GB" w:eastAsia="en-GB"/>
                        </w:rPr>
                        <w:drawing>
                          <wp:inline distT="0" distB="0" distL="0" distR="0" wp14:anchorId="0DC701F6" wp14:editId="26A2E65A">
                            <wp:extent cx="664845" cy="487680"/>
                            <wp:effectExtent l="0" t="0" r="0" b="7620"/>
                            <wp:docPr id="730"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Die EIP-AGRI ist Teil der Strategie Europa 2020, die Innovation in der EU zu beschleunigen und eine wettbewerbsfähige und nachhaltige Land- und Forstwirtschaft zu fördern, die „mit weniger mehr erreicht“. Die EIP-AGRI trägt zur sicheren Versorgung mit Lebensmitteln, Futtermitteln und Biomaterialien bei und ist auf die wesentlichen natürlichen Ressourcen abgestimmt, von denen die Agrarwirtschaft abhängt. Die EIP-AGRI bringt verschiedene Innovationsakteure (Landwirte, Berater, Forscher, Unternehmen, NRO usw.) auf EU-Ebene und innerhalb der Programme zur Entwicklung des ländlichen Raums in Form von operationellen Gruppen zusammen. Die Innovationen können technologischer, nicht technologischer, organisatorischer oder sozialer Natur sein. Innovation kann auf neuen, aber auch auf herkömmlichen Verfahren in einem neuen geografischen oder umweltbezogenen Kontext beruhen. Die operationellen Gruppen der EIP sind projektbasiert und behandeln ein bestimmtes (praktisches) Problem oder eine bestimmte Möglichkeit, die zu einer Innovation führen und zur Verwirklichung der Programmziele beitragen können. Jede operationelle Gruppe besteht aus den Schlüsselakteuren (z. B. Landwirten, Beratern, Forschern, Unternehmen, NRO), die sich in der besten Position befinden, die Projektziele zu verwirklichen, ihre Erfahrung bei der Umsetzung weiterzugeben und die Ergebnisse in die Breite zu tragen. Beim Ansatz der operationellen Gruppe kommen verschiedene Kenntnisse (praktischer, wissenschaftlicher, technischer, organisatorischer oder anderer Art) bestmöglich und auf interaktive Weise zum Einsatz. Die „Innovationsvermittlung“ kann hierbei einen praktischen Lösungsansatz bieten. Die Verordnung sieht vier Möglichkeiten zur Finanzierung der Innovationsvermittlung vor </w:t>
                      </w:r>
                      <w:r>
                        <w:rPr>
                          <w:sz w:val="18"/>
                          <w:szCs w:val="18"/>
                          <w:vertAlign w:val="superscript"/>
                        </w:rPr>
                        <w:t>23</w:t>
                      </w:r>
                      <w:r>
                        <w:rPr>
                          <w:sz w:val="18"/>
                          <w:szCs w:val="18"/>
                        </w:rPr>
                        <w:t xml:space="preserve">. Die Innovationsvermittlung kann eine wichtige Rolle dabei spielen, innovative Ideen zu erkennen, den Aufbau operationeller Gruppen insbesondere durch den Einsatz eines Vermittlers zu unterstützen und Innovationsakteure (Landwirte, Forscher, Berater, NRO usw.) in interaktiven Innovationsprojekten miteinander zu verbinden. Ein „Innovationsvermittler“ versucht, Bottom-up-Initiativen ausfindig zu machen, hilft dabei, innovative Ideen zu verfeinern, und unterstützt bei der Suche nach Partnern und Finanzierungen. Die Hauptaufgabe des Innovationsvermittlers liegt darin, dabei zu helfen, einen ebenso soliden wie innovativen Projektvorschlag zu erarbeiten. </w:t>
                      </w:r>
                    </w:p>
                  </w:txbxContent>
                </v:textbox>
                <w10:wrap type="square" anchorx="page"/>
              </v:shape>
            </w:pict>
          </mc:Fallback>
        </mc:AlternateContent>
      </w:r>
      <w:r w:rsidR="00D461AB" w:rsidRPr="00D461AB">
        <w:rPr>
          <w:rStyle w:val="FootnoteReference"/>
          <w:rFonts w:eastAsia="Times New Roman" w:cs="Times New Roman"/>
          <w:color w:val="FFFFFF" w:themeColor="background1"/>
          <w:szCs w:val="20"/>
          <w:shd w:val="clear" w:color="auto" w:fill="FFFFFF"/>
          <w:lang w:eastAsia="de-DE"/>
        </w:rPr>
        <w:footnoteReference w:id="23"/>
      </w:r>
    </w:p>
    <w:p w:rsidR="00A45935" w:rsidRPr="00E05D08" w:rsidRDefault="00A45935" w:rsidP="00EA0974">
      <w:pPr>
        <w:spacing w:before="240" w:after="120" w:line="280" w:lineRule="atLeast"/>
        <w:mirrorIndents/>
        <w:rPr>
          <w:rFonts w:eastAsia="Times New Roman" w:cs="Times New Roman"/>
          <w:szCs w:val="20"/>
          <w:shd w:val="clear" w:color="auto" w:fill="FFFFFF"/>
        </w:rPr>
      </w:pPr>
      <w:r>
        <w:rPr>
          <w:szCs w:val="20"/>
          <w:shd w:val="clear" w:color="auto" w:fill="FFFFFF"/>
        </w:rPr>
        <w:t>Andere Maßnahmen</w:t>
      </w:r>
      <w:r w:rsidRPr="00E05D08">
        <w:rPr>
          <w:rFonts w:eastAsia="Times New Roman" w:cs="Times New Roman"/>
          <w:szCs w:val="20"/>
          <w:shd w:val="clear" w:color="auto" w:fill="FFFFFF"/>
          <w:vertAlign w:val="superscript"/>
          <w:lang w:eastAsia="de-DE"/>
        </w:rPr>
        <w:footnoteReference w:id="24"/>
      </w:r>
      <w:r>
        <w:rPr>
          <w:szCs w:val="20"/>
          <w:shd w:val="clear" w:color="auto" w:fill="FFFFFF"/>
        </w:rPr>
        <w:t>, die ausdrücklich auf Innovation verweisen, sind zum Beispiel:</w:t>
      </w:r>
    </w:p>
    <w:p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Aufbau von Erzeugergemeinschaften und -organisationen, deren Tätigkeiten unter anderem die „Organisation und Förderung von Innovationsprozessen“</w:t>
      </w:r>
      <w:r w:rsidRPr="00E05D08">
        <w:rPr>
          <w:rFonts w:eastAsia="Times New Roman" w:cs="Times New Roman"/>
          <w:szCs w:val="20"/>
          <w:shd w:val="clear" w:color="auto" w:fill="FFFFFF"/>
          <w:vertAlign w:val="superscript"/>
          <w:lang w:eastAsia="de-DE"/>
        </w:rPr>
        <w:footnoteReference w:id="25"/>
      </w:r>
      <w:r>
        <w:rPr>
          <w:szCs w:val="20"/>
          <w:shd w:val="clear" w:color="auto" w:fill="FFFFFF"/>
        </w:rPr>
        <w:t xml:space="preserve"> (M9) umfasst;</w:t>
      </w:r>
    </w:p>
    <w:p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Innovation ist einer der sieben Grundsätze von LEADER/CLLD</w:t>
      </w:r>
      <w:r w:rsidRPr="00E05D08">
        <w:rPr>
          <w:rFonts w:eastAsia="Times New Roman" w:cs="Times New Roman"/>
          <w:szCs w:val="20"/>
          <w:shd w:val="clear" w:color="auto" w:fill="FFFFFF"/>
          <w:vertAlign w:val="superscript"/>
          <w:lang w:eastAsia="de-DE"/>
        </w:rPr>
        <w:footnoteReference w:id="26"/>
      </w:r>
      <w:r>
        <w:rPr>
          <w:szCs w:val="20"/>
          <w:shd w:val="clear" w:color="auto" w:fill="FFFFFF"/>
        </w:rPr>
        <w:t xml:space="preserve"> (M19).</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 xml:space="preserve">Grundsätzlich kann jede Maßnahme/Teilmaßnahme eines Programms zur Entwicklung des ländlichen Raums potenziell innovationsfördernd sein. </w:t>
      </w:r>
      <w:r>
        <w:rPr>
          <w:szCs w:val="20"/>
          <w:shd w:val="clear" w:color="auto" w:fill="FFFFFF"/>
        </w:rPr>
        <w:t xml:space="preserve">Das spezifische Innovationskonzept, das für ein bestimmtes Programm zur Entwicklung des ländlichen Raums gewählt wird, zeigt sich in der Förderfähigkeit und in den Auswahlkriterien für Innovationsprojekte sowie in der Kombination der innovationsfördernden Maßnahmen innerhalb eines Schwerpunktbereichs (wissensbezogene </w:t>
      </w:r>
      <w:r>
        <w:rPr>
          <w:szCs w:val="20"/>
          <w:shd w:val="clear" w:color="auto" w:fill="FFFFFF"/>
        </w:rPr>
        <w:lastRenderedPageBreak/>
        <w:t xml:space="preserve">Aktionen, Beratungsdienste, Zusammenarbeit, Investitionen, Netzwerken usw.). </w:t>
      </w:r>
      <w:r>
        <w:t xml:space="preserve">Die Verwaltungsbehörden können bei der Organisation und Kombination dieser weichen (z. B. Maßnahmen 1, 2 und 16) und harten Maßnahmen </w:t>
      </w:r>
      <w:r>
        <w:rPr>
          <w:szCs w:val="20"/>
          <w:shd w:val="clear" w:color="auto" w:fill="FFFFFF"/>
        </w:rPr>
        <w:t>(Unterstützung von Investitionen, der territorialen Entwicklung, von Marketing, des Umwelt- und Naturschutzes usw.)</w:t>
      </w:r>
      <w:r>
        <w:rPr>
          <w:b/>
          <w:szCs w:val="20"/>
          <w:shd w:val="clear" w:color="auto" w:fill="FFFFFF"/>
        </w:rPr>
        <w:t xml:space="preserve"> </w:t>
      </w:r>
      <w:r>
        <w:t>verschiedene Ansätze wählen, um Innovationen zu fördern.</w:t>
      </w:r>
    </w:p>
    <w:p w:rsidR="00A45935" w:rsidRPr="00E05D08" w:rsidRDefault="00A45935" w:rsidP="000E0FE4">
      <w:pPr>
        <w:spacing w:after="120" w:line="280" w:lineRule="atLeast"/>
        <w:mirrorIndents/>
        <w:rPr>
          <w:rFonts w:eastAsia="Times New Roman" w:cs="Times New Roman"/>
          <w:szCs w:val="20"/>
          <w:shd w:val="clear" w:color="auto" w:fill="FFFFFF"/>
        </w:rPr>
      </w:pPr>
      <w:r>
        <w:rPr>
          <w:b/>
          <w:szCs w:val="20"/>
          <w:shd w:val="clear" w:color="auto" w:fill="FFFFFF"/>
        </w:rPr>
        <w:t>Als Nebeneffekt können Innovationen auch zu anderen Schwerpunktbereichen beitragen.</w:t>
      </w:r>
      <w:r>
        <w:rPr>
          <w:szCs w:val="20"/>
          <w:shd w:val="clear" w:color="auto" w:fill="FFFFFF"/>
        </w:rPr>
        <w:t xml:space="preserve"> Die Kooperationsvorhaben, die nach dem Schwerpunktbereich 2A ausgerichtet wurden, könnten beispielsweise zu einem innovativen Ansatz zur Steigerung der biologischen Vielfalt führen und dadurch sekundär zum Schwerpunktbereich 4A beitragen. Oder aus einer innovativen Maßnahme einer operationellen Gruppe könnte eine neue Technik entstehen, mit der durch die landwirtschaftliche Erzeugung entstehende Bodenerosionsschäden verringert werden (nach dem Schwerpunktbereich 4C ausgerichtet). Dadurch werden auch die Wettbewerbsfähigkeit und der Marktzugang verbessert (ein sekundärer Beitrag zum Schwerpunktbereich 2A).</w:t>
      </w:r>
    </w:p>
    <w:p w:rsidR="00A45935" w:rsidRPr="00E05D08" w:rsidRDefault="00A45935" w:rsidP="00E05D08">
      <w:pPr>
        <w:spacing w:after="120" w:line="280" w:lineRule="atLeast"/>
        <w:mirrorIndents/>
        <w:rPr>
          <w:rFonts w:eastAsia="Times New Roman" w:cs="Times New Roman"/>
          <w:b/>
          <w:szCs w:val="20"/>
          <w:shd w:val="clear" w:color="auto" w:fill="FFFFFF"/>
        </w:rPr>
      </w:pPr>
      <w:r>
        <w:rPr>
          <w:b/>
          <w:szCs w:val="20"/>
          <w:shd w:val="clear" w:color="auto" w:fill="FFFFFF"/>
        </w:rPr>
        <w:t>Im Bereich der Politik zur Entwicklung des ländlichen Raums spielt das Netzwerken eine wichtige Rolle, wenn es darum geht, Innovation zu fördern:</w:t>
      </w:r>
    </w:p>
    <w:p w:rsidR="00A45935" w:rsidRPr="0081188E" w:rsidRDefault="00A45935" w:rsidP="001744D0">
      <w:pPr>
        <w:pStyle w:val="Hlistbullet"/>
      </w:pPr>
      <w:r>
        <w:rPr>
          <w:b/>
          <w:shd w:val="clear" w:color="auto" w:fill="FFFFFF"/>
        </w:rPr>
        <w:t>Das EIP-Netzwerk</w:t>
      </w:r>
      <w:r>
        <w:rPr>
          <w:shd w:val="clear" w:color="auto" w:fill="FFFFFF"/>
        </w:rPr>
        <w:t xml:space="preserve"> ist ein neues Netzwerkinstrument für den Zeitraum 2014-2020, das speziell zur Unterstützung der EIP-AGRI</w:t>
      </w:r>
      <w:r w:rsidRPr="002403DE">
        <w:rPr>
          <w:rFonts w:cs="Arial"/>
          <w:vertAlign w:val="superscript"/>
        </w:rPr>
        <w:footnoteReference w:id="27"/>
      </w:r>
      <w:r>
        <w:rPr>
          <w:shd w:val="clear" w:color="auto" w:fill="FFFFFF"/>
        </w:rPr>
        <w:t>, der Europäischen Innovationspartnerschaft „Landwirtschaftliche Produktivität und Nachhaltigkeit“</w:t>
      </w:r>
      <w:r>
        <w:t>, ins Leben gerufen wurde.</w:t>
      </w:r>
      <w:r>
        <w:rPr>
          <w:shd w:val="clear" w:color="auto" w:fill="FFFFFF"/>
        </w:rPr>
        <w:t xml:space="preserve"> Hauptziel des EIP-Netzwerks ist es, die operationellen Gruppen der EIP zu verbinden, den Austausch von Wissen, Know-how und bewährten Verfahren zu fördern und einen Dialog zwischen der Landwirtschaft und der Forschungsgemeinschaft aufzubauen. Das EIP-AGRI-Netzwerk wird von der Europäischen Kommission (GD Landwirtschaft und ländliche Entwicklung) mit Unterstützung der Dienststelle betrieben. Die Dienststelle fördert die Netzwerkaktivitäten, indem sie die Kommunikation und den Wissenstransfer sowie den Austausch im Rahmen von Konferenzen, Fokusgruppen, Arbeitstagungen, Seminaren und Publikationen verbessert. Das Hauptziel dabei ist es, die Interaktion zwischen den an der EIP-AGRI beteiligten Akteuren, nämlich Landwirten, Forschern, Beratern, NRO, Unternehmen, Behörden usw., anzuregen. Zur Unterstützung der Netzwerkfunktion wurde eine interaktive EIP-Webplattform eingerichtet. Auf ihr können sich alle Interessengruppen im Bereich der Innovation vernetzen, insbesondere operationelle Gruppen, Beratungsdienste, Forscher, Landwirte und andere Beteiligte am Wissensaustausch</w:t>
      </w:r>
      <w:r>
        <w:t>.</w:t>
      </w:r>
    </w:p>
    <w:p w:rsidR="00EA0974" w:rsidRDefault="00A45935" w:rsidP="001744D0">
      <w:pPr>
        <w:pStyle w:val="Hlistbullet"/>
        <w:rPr>
          <w:shd w:val="clear" w:color="auto" w:fill="FFFFFF"/>
        </w:rPr>
      </w:pPr>
      <w:r>
        <w:rPr>
          <w:b/>
          <w:shd w:val="clear" w:color="auto" w:fill="FFFFFF"/>
        </w:rPr>
        <w:t>Nationale Netzwerke für den ländlichen Raum</w:t>
      </w:r>
      <w:r>
        <w:rPr>
          <w:shd w:val="clear" w:color="auto" w:fill="FFFFFF"/>
        </w:rPr>
        <w:t xml:space="preserve"> (NRN) fördern die Innovation in der Landwirtschaft, in der Nahrungsmittelerzeugung, in der Forstwirtschaft und in ländlichen Gebieten</w:t>
      </w:r>
      <w:r w:rsidRPr="004C2BB4">
        <w:rPr>
          <w:rFonts w:cs="Arial"/>
          <w:vertAlign w:val="superscript"/>
        </w:rPr>
        <w:footnoteReference w:id="28"/>
      </w:r>
      <w:r>
        <w:rPr>
          <w:shd w:val="clear" w:color="auto" w:fill="FFFFFF"/>
        </w:rPr>
        <w:t>. Auf EU-Ebene werden sie vom Europäischen Netzwerk für die Entwicklung des ländlichen Raums (ENRD) unterstützt. NRN können als „Innovationsvermittler“</w:t>
      </w:r>
      <w:r w:rsidRPr="004C2BB4">
        <w:rPr>
          <w:rFonts w:cs="Arial"/>
          <w:shd w:val="clear" w:color="auto" w:fill="FFFFFF"/>
          <w:vertAlign w:val="superscript"/>
        </w:rPr>
        <w:footnoteReference w:id="29"/>
      </w:r>
      <w:r>
        <w:rPr>
          <w:shd w:val="clear" w:color="auto" w:fill="FFFFFF"/>
        </w:rPr>
        <w:t xml:space="preserve"> wirken, wofür eine </w:t>
      </w:r>
      <w:r>
        <w:t xml:space="preserve">enge Verbindung mit und ein fundiertes Verständnis der Landwirtschaft sowie ausgezeichnete Kommunikationsfähigkeiten erforderlich sind. </w:t>
      </w:r>
      <w:r>
        <w:rPr>
          <w:shd w:val="clear" w:color="auto" w:fill="FFFFFF"/>
        </w:rPr>
        <w:t>Die nationalen Netzwerke für den ländlichen Raum arbeiten mit dem EIP-Netzwerk zusammen, um sich neue Anregungen zu holen und sich über Informationen und Konzepte zur Innovationsförderung auszutauschen. Neben der Erfassung von bewährten Verfahren und Beispielen und der Förderung des Austauschs zwischen den Interessengruppen der ländlichen Entwicklung zu bestimmten Themen gehört auch die Vernetzung mit innovationsfördernden Diensten und Beratungsdiensten zu deren Aufgabengebiet.</w:t>
      </w:r>
      <w:r w:rsidRPr="002403DE">
        <w:rPr>
          <w:rFonts w:eastAsia="Calibri" w:cs="Arial"/>
          <w:shd w:val="clear" w:color="auto" w:fill="FFFFFF"/>
          <w:vertAlign w:val="superscript"/>
        </w:rPr>
        <w:footnoteReference w:id="30"/>
      </w:r>
      <w:r>
        <w:rPr>
          <w:shd w:val="clear" w:color="auto" w:fill="FFFFFF"/>
        </w:rPr>
        <w:t xml:space="preserve"> Dadurch können innovative Ideen aus der Praxis besser festgehalten werden.</w:t>
      </w:r>
    </w:p>
    <w:p w:rsidR="00A45935" w:rsidRPr="00EA0974" w:rsidRDefault="00A45935" w:rsidP="009B603C">
      <w:pPr>
        <w:pStyle w:val="HHeading3"/>
        <w:spacing w:line="280" w:lineRule="exact"/>
        <w:rPr>
          <w:shd w:val="clear" w:color="auto" w:fill="FFFFFF"/>
        </w:rPr>
      </w:pPr>
      <w:bookmarkStart w:id="25" w:name="_Toc508377834"/>
      <w:r>
        <w:lastRenderedPageBreak/>
        <w:t>Die gemeinsamen Bewertungselemente für Innovation</w:t>
      </w:r>
      <w:bookmarkEnd w:id="25"/>
      <w:r>
        <w:t xml:space="preserve"> </w:t>
      </w:r>
    </w:p>
    <w:p w:rsidR="00A45935" w:rsidRPr="00E05D08" w:rsidRDefault="00A45935" w:rsidP="00E05D08">
      <w:pPr>
        <w:spacing w:after="120" w:line="280" w:lineRule="atLeast"/>
        <w:mirrorIndents/>
        <w:rPr>
          <w:rFonts w:eastAsia="Times New Roman" w:cs="Times New Roman"/>
          <w:b/>
          <w:szCs w:val="20"/>
          <w:shd w:val="clear" w:color="auto" w:fill="FFFFFF"/>
        </w:rPr>
      </w:pPr>
      <w:r>
        <w:rPr>
          <w:b/>
          <w:szCs w:val="20"/>
          <w:shd w:val="clear" w:color="auto" w:fill="FFFFFF"/>
        </w:rPr>
        <w:t>Ausgangspunkt für die Bewertungen ist der im Programm zur Entwicklung des ländlichen Raums enthaltene</w:t>
      </w:r>
      <w:r w:rsidR="006864FC">
        <w:rPr>
          <w:b/>
          <w:szCs w:val="20"/>
          <w:shd w:val="clear" w:color="auto" w:fill="FFFFFF"/>
        </w:rPr>
        <w:t xml:space="preserve"> </w:t>
      </w:r>
      <w:r>
        <w:rPr>
          <w:b/>
          <w:szCs w:val="20"/>
          <w:shd w:val="clear" w:color="auto" w:fill="FFFFFF"/>
        </w:rPr>
        <w:t>Bewertungsplan</w:t>
      </w:r>
      <w:r w:rsidRPr="00EA0974">
        <w:rPr>
          <w:rFonts w:eastAsia="Times New Roman" w:cs="Times New Roman"/>
          <w:szCs w:val="20"/>
          <w:shd w:val="clear" w:color="auto" w:fill="FFFFFF"/>
          <w:vertAlign w:val="superscript"/>
          <w:lang w:eastAsia="de-DE"/>
        </w:rPr>
        <w:footnoteReference w:id="31"/>
      </w:r>
      <w:r>
        <w:rPr>
          <w:b/>
          <w:szCs w:val="20"/>
          <w:shd w:val="clear" w:color="auto" w:fill="FFFFFF"/>
        </w:rPr>
        <w:t xml:space="preserve">. </w:t>
      </w:r>
      <w:r>
        <w:rPr>
          <w:szCs w:val="20"/>
          <w:shd w:val="clear" w:color="auto" w:fill="FFFFFF"/>
        </w:rPr>
        <w:t>Die Beurteilung der Innovation ist laut dem Bewertungsplan eines jener Bewertungsthemen und -tätigkeiten,</w:t>
      </w:r>
      <w:r>
        <w:rPr>
          <w:b/>
          <w:szCs w:val="20"/>
          <w:shd w:val="clear" w:color="auto" w:fill="FFFFFF"/>
        </w:rPr>
        <w:t xml:space="preserve"> </w:t>
      </w:r>
      <w:r>
        <w:rPr>
          <w:szCs w:val="20"/>
          <w:shd w:val="clear" w:color="auto" w:fill="FFFFFF"/>
        </w:rPr>
        <w:t>die mit einem Querschnittsthema verbunden sind. Die Berichterstattung über die damit verbunden Tätigkeiten und Ergebnisse ist in den jährlichen Durchführungsberichten</w:t>
      </w:r>
      <w:r w:rsidRPr="00E05D08">
        <w:rPr>
          <w:rFonts w:eastAsia="Times New Roman" w:cs="Times New Roman"/>
          <w:szCs w:val="20"/>
          <w:shd w:val="clear" w:color="auto" w:fill="FFFFFF"/>
          <w:vertAlign w:val="superscript"/>
          <w:lang w:eastAsia="de-DE"/>
        </w:rPr>
        <w:footnoteReference w:id="32"/>
      </w:r>
      <w:r>
        <w:rPr>
          <w:szCs w:val="20"/>
          <w:shd w:val="clear" w:color="auto" w:fill="FFFFFF"/>
        </w:rPr>
        <w:t xml:space="preserve"> enthalten. </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Das gemeinsame Begleitungs- und Bewertungssystem (CMES)</w:t>
      </w:r>
      <w:r>
        <w:rPr>
          <w:szCs w:val="20"/>
          <w:shd w:val="clear" w:color="auto" w:fill="FFFFFF"/>
        </w:rPr>
        <w:t xml:space="preserve"> umfasst die Bewertungselemente zur Beurteilung von Innovation, und zwar die gemeinsamen Bewertungsfragen (CEQ), Beurteilungskriterien und Indikatoren:</w:t>
      </w:r>
    </w:p>
    <w:p w:rsidR="00A45935" w:rsidRPr="002E1723" w:rsidRDefault="00A45935" w:rsidP="00624393">
      <w:pPr>
        <w:pStyle w:val="HStandard"/>
      </w:pPr>
      <w:r>
        <w:t xml:space="preserve">Auf der Ebene der </w:t>
      </w:r>
      <w:r>
        <w:rPr>
          <w:b/>
        </w:rPr>
        <w:t>Schwerpunktbereiche</w:t>
      </w:r>
      <w:r>
        <w:t xml:space="preserve"> gibt es zwei innovationsbezogene CEQ, die mit den Zielen der Schwerpunktbereiche 1A und 1B verbunden sind. Mit diesen Fragen soll ermittelt werden, welcher Beitrag mit den Interventionen im Hinblick auf die erwarteten Outputs und Ergebnisse geleistet wurde:</w:t>
      </w:r>
    </w:p>
    <w:p w:rsidR="00A45935" w:rsidRPr="00EA0974" w:rsidRDefault="00A45935" w:rsidP="00624393">
      <w:pPr>
        <w:pStyle w:val="Hlistbullet"/>
      </w:pPr>
      <w:r>
        <w:t xml:space="preserve">CEQ Nr. 1: „In welchem Umfang wurden durch die Interventionen im Rahmen des Programms zur Entwicklung des ländlichen Raums die Innovation, die Zusammenarbeit und der Aufbau der Wissensbasis in ländlichen Gebieten gefördert?“ </w:t>
      </w:r>
    </w:p>
    <w:p w:rsidR="00A45935" w:rsidRPr="002E1723" w:rsidRDefault="00A45935" w:rsidP="00624393">
      <w:pPr>
        <w:pStyle w:val="Hlistbullet"/>
      </w:pPr>
      <w:r>
        <w:t xml:space="preserve">CEQ Nr. 2: „In welchem Umfang wurden durch die Interventionen im Rahmen des Programms zur Entwicklung des ländlichen Raums die Verbindungen zwischen Landwirtschaft, Nahrungsmittelerzeugung und Forstwirtschaft sowie Forschung und Innovation, unter anderem mit Blick auf ein besseres Umweltmanagement und eine bessere Umweltleistung, gestärkt?“ </w:t>
      </w:r>
    </w:p>
    <w:p w:rsidR="00A45935" w:rsidRPr="002E1723" w:rsidRDefault="00A45935" w:rsidP="00624393">
      <w:pPr>
        <w:pStyle w:val="HStandard"/>
      </w:pPr>
      <w:r>
        <w:t xml:space="preserve">CEQ Nr. 21: „In welchem Umfang hat das nationale Netzwerk für den ländlichen Raum zur Erreichung der in Artikel 54 Absatz 2 der Verordnung (EU) Nr. 1305/2013 festgelegten Ziele beigetragen?“; steht in Zusammenhang mit </w:t>
      </w:r>
      <w:r>
        <w:rPr>
          <w:b/>
        </w:rPr>
        <w:t>anderen Aspekten des Programms zur Entwicklung des ländlichen Raums</w:t>
      </w:r>
      <w:r>
        <w:t>, insbesondere mit der Erfassung der voraussichtlichen Outputs und Ergebnisse, die von den nationalen Netzwerken für den ländlichen Raum erzielt werden. Diese CEQ ist innovationsrelevant, da sie das Ziel unter Buchstabe d des Artikels 54 Absatz 2 „Förderung der Innovation in der Landwirtschaft, in der Lebensmittelerzeugung, in der Forstwirtschaft und in ländlichen Gebieten“ betrifft.</w:t>
      </w:r>
    </w:p>
    <w:p w:rsidR="00A45935" w:rsidRPr="001A2A93" w:rsidRDefault="00A45935" w:rsidP="00624393">
      <w:pPr>
        <w:pStyle w:val="HStandard"/>
      </w:pPr>
      <w:r>
        <w:t xml:space="preserve">Auf der </w:t>
      </w:r>
      <w:r>
        <w:rPr>
          <w:b/>
        </w:rPr>
        <w:t>Ebene der EU-Ziele</w:t>
      </w:r>
      <w:r>
        <w:t xml:space="preserve"> gibt es zwei innovationsbezogene CEQ, um den Beitrag der Programme im Hinblick auf die erwarteten Auswirkungen zu ermitteln. </w:t>
      </w:r>
    </w:p>
    <w:p w:rsidR="00A45935" w:rsidRPr="001A2A93" w:rsidRDefault="00A45935" w:rsidP="00624393">
      <w:pPr>
        <w:pStyle w:val="Hlistbullet"/>
      </w:pPr>
      <w:r>
        <w:t xml:space="preserve">CEQ Nr. 23 steht in Zusammenhang mit dem Erreichen des Kernziels der EU: „In welchem Umfang hat das Programm zur Entwicklung des ländlichen Raums zur Erreichung des Kernziels der Strategie Europa 2020, 3 % des BIP der EU in Forschung, Entwicklung und Innovation zu investieren, beigetragen?“ </w:t>
      </w:r>
    </w:p>
    <w:p w:rsidR="00A45935" w:rsidRPr="001A2A93" w:rsidRDefault="00A45935" w:rsidP="00624393">
      <w:pPr>
        <w:pStyle w:val="Hlistbullet"/>
      </w:pPr>
      <w:r>
        <w:t xml:space="preserve">Bei der CEQ Nr. 30 geht es um Innovation als Querschnittsziel: „In welchem Umfang hat das Programm zur Entwicklung des ländlichen Raums zur Förderung von Innovationen beigetragen?“ </w:t>
      </w:r>
    </w:p>
    <w:p w:rsidR="00A45935" w:rsidRPr="00E05D08" w:rsidRDefault="00A45935" w:rsidP="00E05D08">
      <w:pPr>
        <w:spacing w:after="120" w:line="280" w:lineRule="atLeast"/>
        <w:mirrorIndents/>
        <w:rPr>
          <w:rFonts w:eastAsia="Times New Roman" w:cs="Times New Roman"/>
          <w:szCs w:val="20"/>
          <w:shd w:val="clear" w:color="auto" w:fill="FFFFFF"/>
        </w:rPr>
      </w:pPr>
      <w:r>
        <w:rPr>
          <w:szCs w:val="20"/>
          <w:shd w:val="clear" w:color="auto" w:fill="FFFFFF"/>
        </w:rPr>
        <w:t xml:space="preserve">Die nachfolgende Abbildung zeigt, wie die gemeinsamen Bewertungselemente (CEQ, Beurteilungskriterien und Indikatoren) auf den einzelnen Ebenen mit dem politischen Rahmen verbunden sind: Es gibt sieben </w:t>
      </w:r>
      <w:r>
        <w:rPr>
          <w:b/>
          <w:szCs w:val="20"/>
          <w:shd w:val="clear" w:color="auto" w:fill="FFFFFF"/>
        </w:rPr>
        <w:t>gemeinsame Indikatoren</w:t>
      </w:r>
      <w:r>
        <w:rPr>
          <w:szCs w:val="20"/>
          <w:shd w:val="clear" w:color="auto" w:fill="FFFFFF"/>
        </w:rPr>
        <w:t>, die mit den gemeinsamen Bewertungsfragen für Innovation verbunden sind: Fünf Output- und zwei Zielindikatoren</w:t>
      </w:r>
      <w:r w:rsidRPr="00E05D08">
        <w:rPr>
          <w:rFonts w:eastAsia="Times New Roman" w:cs="Times New Roman"/>
          <w:szCs w:val="20"/>
          <w:shd w:val="clear" w:color="auto" w:fill="FFFFFF"/>
          <w:vertAlign w:val="superscript"/>
          <w:lang w:eastAsia="de-DE"/>
        </w:rPr>
        <w:footnoteReference w:id="33"/>
      </w:r>
      <w:r>
        <w:rPr>
          <w:szCs w:val="20"/>
          <w:shd w:val="clear" w:color="auto" w:fill="FFFFFF"/>
        </w:rPr>
        <w:t>.</w:t>
      </w:r>
    </w:p>
    <w:p w:rsidR="00A45935" w:rsidRPr="00151D94" w:rsidRDefault="000A6F95" w:rsidP="000A6F95">
      <w:pPr>
        <w:pStyle w:val="HHeadingfigures"/>
        <w:tabs>
          <w:tab w:val="clear" w:pos="964"/>
        </w:tabs>
      </w:pPr>
      <w:bookmarkStart w:id="26" w:name="_Toc508377959"/>
      <w:r w:rsidRPr="000A6F95">
        <w:t xml:space="preserve"> </w:t>
      </w:r>
      <w:r w:rsidR="00EA0974">
        <w:t>Die gemeinsamen Bewertungselemente für die Bewertung von Innovation</w:t>
      </w:r>
      <w:bookmarkEnd w:id="26"/>
      <w:r w:rsidR="00EA0974">
        <w:t xml:space="preserve"> </w:t>
      </w:r>
    </w:p>
    <w:p w:rsidR="00A45935" w:rsidRPr="00E05D08" w:rsidRDefault="006864FC" w:rsidP="00E05D08">
      <w:pPr>
        <w:spacing w:before="60" w:after="140" w:line="220" w:lineRule="atLeast"/>
        <w:jc w:val="center"/>
        <w:rPr>
          <w:rFonts w:eastAsia="Times New Roman" w:cs="Arial"/>
          <w:szCs w:val="20"/>
          <w:shd w:val="clear" w:color="auto" w:fill="FFFFFF"/>
          <w:lang w:eastAsia="de-DE"/>
        </w:rPr>
      </w:pPr>
      <w:r w:rsidRPr="006864FC">
        <w:rPr>
          <w:noProof/>
          <w:lang w:val="en-GB" w:eastAsia="en-GB"/>
        </w:rPr>
        <w:lastRenderedPageBreak/>
        <w:drawing>
          <wp:inline distT="0" distB="0" distL="0" distR="0" wp14:anchorId="5756259B" wp14:editId="1EED8B38">
            <wp:extent cx="5731510" cy="3351265"/>
            <wp:effectExtent l="0" t="0" r="254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351265"/>
                    </a:xfrm>
                    <a:prstGeom prst="rect">
                      <a:avLst/>
                    </a:prstGeom>
                    <a:noFill/>
                    <a:ln>
                      <a:noFill/>
                    </a:ln>
                  </pic:spPr>
                </pic:pic>
              </a:graphicData>
            </a:graphic>
          </wp:inline>
        </w:drawing>
      </w:r>
    </w:p>
    <w:p w:rsidR="00A45935" w:rsidRDefault="00A45935" w:rsidP="00E05D08">
      <w:pPr>
        <w:suppressAutoHyphens/>
        <w:spacing w:before="60" w:after="140" w:line="240" w:lineRule="auto"/>
        <w:ind w:left="1134" w:right="1134"/>
        <w:mirrorIndents/>
        <w:jc w:val="center"/>
        <w:rPr>
          <w:rFonts w:eastAsia="Times New Roman" w:cs="Times New Roman"/>
          <w:i/>
          <w:sz w:val="16"/>
          <w:szCs w:val="16"/>
        </w:rPr>
      </w:pPr>
      <w:r>
        <w:rPr>
          <w:i/>
          <w:sz w:val="16"/>
          <w:szCs w:val="16"/>
        </w:rPr>
        <w:t>Quelle: Europäischer Evaluierungs-Helpdesk für ländliche Entwicklung, 2017.</w:t>
      </w:r>
    </w:p>
    <w:p w:rsidR="00690E70" w:rsidRDefault="00690E70">
      <w:pPr>
        <w:jc w:val="left"/>
        <w:rPr>
          <w:rFonts w:eastAsia="Times New Roman" w:cs="Times New Roman"/>
          <w:b/>
          <w:szCs w:val="20"/>
        </w:rPr>
      </w:pPr>
      <w:bookmarkStart w:id="27" w:name="_Toc493151897"/>
      <w:bookmarkStart w:id="28" w:name="_Toc501382124"/>
      <w:r>
        <w:br w:type="page"/>
      </w:r>
    </w:p>
    <w:p w:rsidR="00A45935" w:rsidRPr="003737FE" w:rsidRDefault="00A45935" w:rsidP="00230C31">
      <w:pPr>
        <w:pStyle w:val="HHeading2"/>
      </w:pPr>
      <w:bookmarkStart w:id="29" w:name="_Toc508377835"/>
      <w:r>
        <w:lastRenderedPageBreak/>
        <w:t>Herausforderungen bei der Bewertung von Innovation</w:t>
      </w:r>
      <w:bookmarkEnd w:id="27"/>
      <w:bookmarkEnd w:id="28"/>
      <w:bookmarkEnd w:id="29"/>
    </w:p>
    <w:p w:rsidR="00A45935" w:rsidRPr="00E05D08" w:rsidRDefault="00A45935" w:rsidP="00E05D08">
      <w:pPr>
        <w:spacing w:after="120" w:line="280" w:lineRule="atLeast"/>
        <w:mirrorIndents/>
        <w:rPr>
          <w:rFonts w:eastAsia="Times New Roman" w:cs="Times New Roman"/>
          <w:szCs w:val="20"/>
        </w:rPr>
      </w:pPr>
      <w:bookmarkStart w:id="30" w:name="_Toc476064466"/>
      <w:bookmarkStart w:id="31" w:name="_Toc476064526"/>
      <w:bookmarkStart w:id="32" w:name="_Toc476064467"/>
      <w:bookmarkStart w:id="33" w:name="_Toc476064527"/>
      <w:bookmarkStart w:id="34" w:name="_Toc476064468"/>
      <w:bookmarkStart w:id="35" w:name="_Toc476064528"/>
      <w:bookmarkStart w:id="36" w:name="_Toc476064469"/>
      <w:bookmarkStart w:id="37" w:name="_Toc476064529"/>
      <w:bookmarkStart w:id="38" w:name="_Toc476064470"/>
      <w:bookmarkStart w:id="39" w:name="_Toc476064530"/>
      <w:bookmarkStart w:id="40" w:name="_Toc476064471"/>
      <w:bookmarkStart w:id="41" w:name="_Toc476064531"/>
      <w:bookmarkStart w:id="42" w:name="_Toc476064472"/>
      <w:bookmarkStart w:id="43" w:name="_Toc476064532"/>
      <w:bookmarkStart w:id="44" w:name="_Toc476064473"/>
      <w:bookmarkStart w:id="45" w:name="_Toc476064533"/>
      <w:bookmarkStart w:id="46" w:name="_Toc476064474"/>
      <w:bookmarkStart w:id="47" w:name="_Toc476064534"/>
      <w:bookmarkStart w:id="48" w:name="_Toc476064475"/>
      <w:bookmarkStart w:id="49" w:name="_Toc476064535"/>
      <w:bookmarkStart w:id="50" w:name="_Toc476064476"/>
      <w:bookmarkStart w:id="51" w:name="_Toc476064536"/>
      <w:bookmarkStart w:id="52" w:name="_Toc476064477"/>
      <w:bookmarkStart w:id="53" w:name="_Toc476064537"/>
      <w:bookmarkStart w:id="54" w:name="_Toc476064478"/>
      <w:bookmarkStart w:id="55" w:name="_Toc476064538"/>
      <w:bookmarkStart w:id="56" w:name="_Toc476064479"/>
      <w:bookmarkStart w:id="57" w:name="_Toc476064539"/>
      <w:bookmarkStart w:id="58" w:name="_Toc476064481"/>
      <w:bookmarkStart w:id="59" w:name="_Toc476064541"/>
      <w:bookmarkStart w:id="60" w:name="_Toc476064482"/>
      <w:bookmarkStart w:id="61" w:name="_Toc476064542"/>
      <w:bookmarkStart w:id="62" w:name="_Toc476064483"/>
      <w:bookmarkStart w:id="63" w:name="_Toc476064543"/>
      <w:bookmarkStart w:id="64" w:name="_Toc476064484"/>
      <w:bookmarkStart w:id="65" w:name="_Toc476064544"/>
      <w:bookmarkStart w:id="66" w:name="_Toc476064485"/>
      <w:bookmarkStart w:id="67" w:name="_Toc476064545"/>
      <w:bookmarkStart w:id="68" w:name="_Toc476064486"/>
      <w:bookmarkStart w:id="69" w:name="_Toc476064546"/>
      <w:bookmarkStart w:id="70" w:name="_Toc476064487"/>
      <w:bookmarkStart w:id="71" w:name="_Toc476064547"/>
      <w:bookmarkStart w:id="72" w:name="_Toc476064488"/>
      <w:bookmarkStart w:id="73" w:name="_Toc476064548"/>
      <w:bookmarkStart w:id="74" w:name="_Toc476064489"/>
      <w:bookmarkStart w:id="75" w:name="_Toc476064549"/>
      <w:bookmarkStart w:id="76" w:name="_Toc476064490"/>
      <w:bookmarkStart w:id="77" w:name="_Toc476064550"/>
      <w:bookmarkStart w:id="78" w:name="_Toc476064491"/>
      <w:bookmarkStart w:id="79" w:name="_Toc476064551"/>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t>Es gibt mehrere Herausforderungen, die bei der Bewertung von Innovation in den Programmen zur Entwicklung des ländlichen Raums berücksichtigt werden sollten.</w:t>
      </w:r>
    </w:p>
    <w:p w:rsidR="00A45935" w:rsidRPr="00E05D08" w:rsidRDefault="00A45935" w:rsidP="00230C31">
      <w:pPr>
        <w:pStyle w:val="HHeading4"/>
        <w:rPr>
          <w:rFonts w:eastAsia="Calibri"/>
        </w:rPr>
      </w:pPr>
      <w:r>
        <w:t xml:space="preserve">Konzeptuelle Herausforderungen </w:t>
      </w:r>
    </w:p>
    <w:p w:rsidR="00A45935" w:rsidRPr="00920CB9" w:rsidRDefault="00A45935" w:rsidP="00576A73">
      <w:pPr>
        <w:pStyle w:val="Hlistbullet"/>
      </w:pPr>
      <w:r>
        <w:rPr>
          <w:b/>
        </w:rPr>
        <w:t>Klare Identifizierung des Gegenstands der Bewertung:</w:t>
      </w:r>
      <w:r>
        <w:t xml:space="preserve"> worauf liegt der Schwerpunkt bei der Bewertung von Innovation? </w:t>
      </w:r>
    </w:p>
    <w:p w:rsidR="00A45935" w:rsidRPr="00920CB9" w:rsidRDefault="00A45935" w:rsidP="00576A73">
      <w:pPr>
        <w:pStyle w:val="Hlistbullet"/>
      </w:pPr>
      <w:r>
        <w:rPr>
          <w:b/>
        </w:rPr>
        <w:t>Abbildung des Wissens- und Innovationssystems</w:t>
      </w:r>
      <w:r>
        <w:t>: Aus welchen Elementen besteht das Wissens- und Innovationssystem in dem ländlichen Gebiet, das bewertet werden soll, in welchem Zusammenhang stehen diese Elemente zueinander und welche Grenzen gibt es? Welche Rolle spielt das Programm zur Entwicklung des ländlichen Raums in dem System?</w:t>
      </w:r>
      <w:r w:rsidRPr="002403DE">
        <w:rPr>
          <w:rFonts w:cs="Arial"/>
          <w:vertAlign w:val="superscript"/>
        </w:rPr>
        <w:footnoteReference w:id="34"/>
      </w:r>
    </w:p>
    <w:p w:rsidR="00A45935" w:rsidRPr="00920CB9" w:rsidRDefault="00A45935" w:rsidP="00576A73">
      <w:pPr>
        <w:pStyle w:val="Hlistbullet"/>
      </w:pPr>
      <w:r>
        <w:rPr>
          <w:b/>
        </w:rPr>
        <w:t>Prüfung des Innovationskonzepts des Programms zur Entwicklung des ländlichen Raums</w:t>
      </w:r>
      <w:r>
        <w:t>: Welches Innovationspotenzial steckt in einem bestimmten Programm zur Entwicklung des ländlichen Raums? Was sind die Ziele? Wurden die Auswahlkriterien speziell auf die Förderung von Innovation ausgelegt?</w:t>
      </w:r>
    </w:p>
    <w:p w:rsidR="00A45935" w:rsidRPr="00B76BA4" w:rsidRDefault="00A45935" w:rsidP="00230C31">
      <w:pPr>
        <w:pStyle w:val="HHeading4"/>
        <w:rPr>
          <w:rFonts w:eastAsia="Calibri"/>
          <w:shd w:val="clear" w:color="auto" w:fill="FFFFFF"/>
        </w:rPr>
      </w:pPr>
      <w:r>
        <w:rPr>
          <w:shd w:val="clear" w:color="auto" w:fill="FFFFFF"/>
        </w:rPr>
        <w:t xml:space="preserve">Herausforderungen im Zusammenhang mit dem gemeinsamen Begleitungs- und Bewertungssystem </w:t>
      </w:r>
    </w:p>
    <w:p w:rsidR="00A45935" w:rsidRPr="000324A5" w:rsidRDefault="00A45935" w:rsidP="00576A73">
      <w:pPr>
        <w:pStyle w:val="Hlistbullet"/>
      </w:pPr>
      <w:r>
        <w:rPr>
          <w:b/>
        </w:rPr>
        <w:t xml:space="preserve">Entwicklung zusätzlicher und programmspezifischer Bewertungselemente: </w:t>
      </w:r>
      <w:r>
        <w:t xml:space="preserve">Wie können in Bezug auf die Bewertung von Innovation zusätzliche und programmspezifische Bewertungselemente erarbeitet werden? </w:t>
      </w:r>
    </w:p>
    <w:p w:rsidR="00A45935" w:rsidRPr="000324A5" w:rsidRDefault="00A45935" w:rsidP="00576A73">
      <w:pPr>
        <w:pStyle w:val="Hlistbullet"/>
        <w:rPr>
          <w:b/>
        </w:rPr>
      </w:pPr>
      <w:r>
        <w:rPr>
          <w:b/>
        </w:rPr>
        <w:t xml:space="preserve">Ergebnisse der Berichterstattung: </w:t>
      </w:r>
      <w:r>
        <w:t>Wie lassen sich die Bewertungsverfahren mit dem Zeitplan des jährlichen Durchführungsberichts für 2019 und der Ex-post Bewertung für 2024 abstimmen?</w:t>
      </w:r>
    </w:p>
    <w:p w:rsidR="00A45935" w:rsidRPr="00E05D08" w:rsidRDefault="00A45935" w:rsidP="00230C31">
      <w:pPr>
        <w:pStyle w:val="HHeading4"/>
        <w:rPr>
          <w:rFonts w:eastAsia="Calibri"/>
          <w:shd w:val="clear" w:color="auto" w:fill="FFFFFF"/>
        </w:rPr>
      </w:pPr>
      <w:r>
        <w:rPr>
          <w:shd w:val="clear" w:color="auto" w:fill="FFFFFF"/>
        </w:rPr>
        <w:t xml:space="preserve">Methodische Herausforderungen </w:t>
      </w:r>
    </w:p>
    <w:p w:rsidR="00A45935" w:rsidRPr="00F8743F" w:rsidRDefault="00A45935" w:rsidP="00576A73">
      <w:pPr>
        <w:pStyle w:val="Hlistbullet"/>
        <w:rPr>
          <w:shd w:val="clear" w:color="auto" w:fill="FFFFFF"/>
        </w:rPr>
      </w:pPr>
      <w:r>
        <w:rPr>
          <w:b/>
        </w:rPr>
        <w:t>Zuschreibung</w:t>
      </w:r>
      <w:r>
        <w:rPr>
          <w:b/>
          <w:shd w:val="clear" w:color="auto" w:fill="FFFFFF"/>
        </w:rPr>
        <w:t xml:space="preserve"> der Interventionsprozesse zu Interventionen im Rahmen eines Programms zur Entwicklung des ländlichen Raums</w:t>
      </w:r>
      <w:r>
        <w:rPr>
          <w:shd w:val="clear" w:color="auto" w:fill="FFFFFF"/>
        </w:rPr>
        <w:t xml:space="preserve">: Wie lässt sich ermitteln, inwieweit die in ländlichen Gebieten hervorgebrachten Innovationsprozesse direkt oder indirekt einer Intervention aus dem Programm zur Entwicklung des ländlichen Raums zugeschrieben werden können? </w:t>
      </w:r>
    </w:p>
    <w:p w:rsidR="00A45935" w:rsidRPr="00F8743F" w:rsidRDefault="00A45935" w:rsidP="00576A73">
      <w:pPr>
        <w:pStyle w:val="Hlistbullet"/>
        <w:rPr>
          <w:shd w:val="clear" w:color="auto" w:fill="FFFFFF"/>
        </w:rPr>
      </w:pPr>
      <w:r>
        <w:rPr>
          <w:b/>
        </w:rPr>
        <w:t>Zuschreibung der Effekte von Innovation zu Ergebnissen und Auswirkungen eines Programms zur Entwicklung des ländlichen Raums</w:t>
      </w:r>
      <w:r>
        <w:rPr>
          <w:shd w:val="clear" w:color="auto" w:fill="FFFFFF"/>
        </w:rPr>
        <w:t xml:space="preserve">. </w:t>
      </w:r>
    </w:p>
    <w:p w:rsidR="00A45935" w:rsidRPr="00F8743F" w:rsidRDefault="00A45935" w:rsidP="00576A73">
      <w:pPr>
        <w:pStyle w:val="Hlistbullet"/>
        <w:rPr>
          <w:shd w:val="clear" w:color="auto" w:fill="FFFFFF"/>
        </w:rPr>
      </w:pPr>
      <w:r>
        <w:rPr>
          <w:b/>
          <w:shd w:val="clear" w:color="auto" w:fill="FFFFFF"/>
          <w14:textFill>
            <w14:solidFill>
              <w14:srgbClr w14:val="373737">
                <w14:lumMod w14:val="75000"/>
                <w14:lumMod w14:val="75000"/>
                <w14:lumMod w14:val="75000"/>
              </w14:srgbClr>
            </w14:solidFill>
          </w14:textFill>
        </w:rPr>
        <w:t>Ausarbeitung angemessener</w:t>
      </w:r>
      <w:r>
        <w:rPr>
          <w:shd w:val="clear" w:color="auto" w:fill="FFFFFF"/>
          <w14:textFill>
            <w14:solidFill>
              <w14:srgbClr w14:val="373737">
                <w14:lumMod w14:val="75000"/>
                <w14:lumMod w14:val="75000"/>
                <w14:lumMod w14:val="75000"/>
              </w14:srgbClr>
            </w14:solidFill>
          </w14:textFill>
        </w:rPr>
        <w:t xml:space="preserve"> </w:t>
      </w:r>
      <w:r>
        <w:rPr>
          <w:b/>
          <w:shd w:val="clear" w:color="auto" w:fill="FFFFFF"/>
          <w14:textFill>
            <w14:solidFill>
              <w14:srgbClr w14:val="373737">
                <w14:lumMod w14:val="75000"/>
                <w14:lumMod w14:val="75000"/>
                <w14:lumMod w14:val="75000"/>
              </w14:srgbClr>
            </w14:solidFill>
          </w14:textFill>
        </w:rPr>
        <w:t>Bewertungsansätze:</w:t>
      </w:r>
      <w:r>
        <w:rPr>
          <w:shd w:val="clear" w:color="auto" w:fill="FFFFFF"/>
          <w14:textFill>
            <w14:solidFill>
              <w14:srgbClr w14:val="373737">
                <w14:lumMod w14:val="75000"/>
                <w14:lumMod w14:val="75000"/>
                <w14:lumMod w14:val="75000"/>
              </w14:srgbClr>
            </w14:solidFill>
          </w14:textFill>
        </w:rPr>
        <w:t xml:space="preserve"> Wie lassen sich quantitative und qualitative Methoden zur Auslegung der Bewertungsergebnisse und als Grundlage für Schlussfolgerungen und Empfehlungen triangulieren und kombinieren? </w:t>
      </w:r>
    </w:p>
    <w:p w:rsidR="00A45935" w:rsidRPr="00E05D08" w:rsidRDefault="00A45935" w:rsidP="00230C31">
      <w:pPr>
        <w:pStyle w:val="HHeading4"/>
        <w:rPr>
          <w:rFonts w:eastAsia="Calibri"/>
          <w:shd w:val="clear" w:color="auto" w:fill="FFFFFF"/>
        </w:rPr>
      </w:pPr>
      <w:r>
        <w:rPr>
          <w:shd w:val="clear" w:color="auto" w:fill="FFFFFF"/>
        </w:rPr>
        <w:t>Organisatorische Herausforderungen</w:t>
      </w:r>
    </w:p>
    <w:p w:rsidR="00A45935" w:rsidRPr="00D55226" w:rsidRDefault="00A45935" w:rsidP="00576A73">
      <w:pPr>
        <w:pStyle w:val="Hlistbullet"/>
        <w:rPr>
          <w:rFonts w:eastAsia="Calibri"/>
        </w:rPr>
      </w:pPr>
      <w:r>
        <w:rPr>
          <w:b/>
        </w:rPr>
        <w:t>Sicherstellung einer wirksamen und effizienten Datenverwaltung</w:t>
      </w:r>
      <w:r>
        <w:t xml:space="preserve">: Wie können die Daten in Verbindung mit den gemeinsamen und zusätzlichen Indikatoren verwaltet, erfasst und analysiert werden, insbesondere dann, wenn die innovationsfördernden Maßnahmen von verschiedenen zuständigen Stellen verwaltet werden? </w:t>
      </w:r>
    </w:p>
    <w:p w:rsidR="00A45935" w:rsidRPr="00D55226" w:rsidRDefault="00A45935" w:rsidP="00576A73">
      <w:pPr>
        <w:pStyle w:val="Hlistbullet"/>
        <w:rPr>
          <w:rFonts w:eastAsia="Calibri"/>
        </w:rPr>
      </w:pPr>
      <w:r>
        <w:rPr>
          <w:b/>
        </w:rPr>
        <w:lastRenderedPageBreak/>
        <w:t>Koordinierung beteiligter Akteure</w:t>
      </w:r>
      <w:r>
        <w:t>: Wie lässt sich ein gemeinsames Verfahren aufsetzen und ein gemeinsames Verständnis zwischen den einzelnen Verwaltungsbehörden und den verschiedenen Interessengruppen erreichen, die an der Bewertung von Innovation beteiligt sind (z. B. LAG, operationelle Gruppen der EIP, landwirtschaftliche/forstwirtschaftliche Berater, Forscher)?</w:t>
      </w:r>
    </w:p>
    <w:p w:rsidR="00A45935" w:rsidRDefault="00A45935" w:rsidP="00576A73">
      <w:pPr>
        <w:pStyle w:val="Hlistbullet"/>
        <w:rPr>
          <w:rFonts w:eastAsia="Calibri"/>
        </w:rPr>
      </w:pPr>
      <w:r>
        <w:rPr>
          <w:b/>
        </w:rPr>
        <w:t>Nutzung der Bewertungsergebnisse zur Verbesserung der politischen Gestaltung und Umsetzung</w:t>
      </w:r>
      <w:r>
        <w:t>: Wie lassen im Zuge der Nachbereitung Schlussfolgerungen ziehen und Empfehlungen ableiten, um die Programme zur Entwicklung des ländlichen Raums, deren Transparenz, Rechenschaftspflicht, und das gemeinsame Lernen seitens der Programmbeteiligten zu verbessern?</w:t>
      </w:r>
    </w:p>
    <w:p w:rsidR="00230C31" w:rsidRDefault="00230C31" w:rsidP="00626C0C">
      <w:pPr>
        <w:pStyle w:val="HHeading1"/>
        <w:tabs>
          <w:tab w:val="clear" w:pos="567"/>
        </w:tabs>
      </w:pPr>
      <w:bookmarkStart w:id="80" w:name="_Toc508377836"/>
      <w:r>
        <w:lastRenderedPageBreak/>
        <w:t>Bewertung von Innovation in den Programmen zur Entwicklung des ländlichen Raums</w:t>
      </w:r>
      <w:bookmarkEnd w:id="80"/>
    </w:p>
    <w:p w:rsidR="00A45935" w:rsidRPr="00C84B5B" w:rsidRDefault="00A45935" w:rsidP="00B421B9">
      <w:pPr>
        <w:pStyle w:val="HHeading2"/>
        <w:numPr>
          <w:ilvl w:val="1"/>
          <w:numId w:val="119"/>
        </w:numPr>
        <w:ind w:left="567" w:hanging="567"/>
      </w:pPr>
      <w:bookmarkStart w:id="81" w:name="_Toc476063931"/>
      <w:bookmarkStart w:id="82" w:name="_Toc476064198"/>
      <w:bookmarkStart w:id="83" w:name="_Toc476064493"/>
      <w:bookmarkStart w:id="84" w:name="_Toc476064553"/>
      <w:bookmarkStart w:id="85" w:name="_Toc508377837"/>
      <w:bookmarkStart w:id="86" w:name="_Toc493151899"/>
      <w:bookmarkStart w:id="87" w:name="_Toc501382126"/>
      <w:bookmarkEnd w:id="81"/>
      <w:bookmarkEnd w:id="82"/>
      <w:bookmarkEnd w:id="83"/>
      <w:bookmarkEnd w:id="84"/>
      <w:r>
        <w:t>Empfohlenes Vorgehen bei der Bewertung von Innovation in den Programmen zur Entwicklung des ländlichen Raums 2014-2020 (Überblick)</w:t>
      </w:r>
      <w:bookmarkEnd w:id="85"/>
    </w:p>
    <w:bookmarkEnd w:id="86"/>
    <w:bookmarkEnd w:id="87"/>
    <w:p w:rsidR="00A45935" w:rsidRDefault="00A45935" w:rsidP="00946806">
      <w:pPr>
        <w:pStyle w:val="HHeading4"/>
      </w:pPr>
      <w:r>
        <w:t>Verwaltung der Bewertung von Innovation</w:t>
      </w:r>
    </w:p>
    <w:p w:rsidR="00A45935" w:rsidRPr="00E05D08" w:rsidRDefault="00A45935" w:rsidP="00E05D08">
      <w:pPr>
        <w:spacing w:after="120" w:line="280" w:lineRule="atLeast"/>
        <w:mirrorIndents/>
        <w:rPr>
          <w:rFonts w:eastAsia="Times New Roman" w:cs="Times New Roman"/>
          <w:szCs w:val="20"/>
        </w:rPr>
      </w:pPr>
      <w:r>
        <w:rPr>
          <w:b/>
          <w:szCs w:val="20"/>
        </w:rPr>
        <w:t>Die Bewertung von Innovation und die Beantwortung der innovationsbezogenen Bewertungsfragen sind Teil der Bewertung eines Programms zur Entwicklung des ländlichen Raums.</w:t>
      </w:r>
      <w:r>
        <w:t xml:space="preserve"> </w:t>
      </w:r>
      <w:r>
        <w:rPr>
          <w:szCs w:val="20"/>
          <w:shd w:val="clear" w:color="auto" w:fill="FFFFFF"/>
        </w:rPr>
        <w:t>Sie werden deshalb in der Regel gemeinsam mit den Tätigkeiten in Bezug auf die Bewertung der Programme zur Entwicklung des ländlichen Raums</w:t>
      </w:r>
      <w:r w:rsidRPr="00E05D08">
        <w:rPr>
          <w:rFonts w:eastAsia="Calibri" w:cs="Times New Roman"/>
          <w:szCs w:val="20"/>
          <w:shd w:val="clear" w:color="auto" w:fill="FFFFFF"/>
          <w:vertAlign w:val="superscript"/>
          <w:lang w:eastAsia="de-DE"/>
        </w:rPr>
        <w:footnoteReference w:id="35"/>
      </w:r>
      <w:r>
        <w:rPr>
          <w:szCs w:val="20"/>
          <w:shd w:val="clear" w:color="auto" w:fill="FFFFFF"/>
        </w:rPr>
        <w:t xml:space="preserve"> verwaltet. Der Prozess wird in der Abbildung unten dargestellt.</w:t>
      </w:r>
      <w:r>
        <w:t xml:space="preserve"> </w:t>
      </w:r>
    </w:p>
    <w:p w:rsidR="00A45935" w:rsidRPr="00E05D08" w:rsidRDefault="00A45935" w:rsidP="00E05D08">
      <w:pPr>
        <w:spacing w:after="120" w:line="280" w:lineRule="atLeast"/>
        <w:mirrorIndents/>
        <w:rPr>
          <w:rFonts w:eastAsia="Times New Roman" w:cs="Times New Roman"/>
          <w:szCs w:val="20"/>
        </w:rPr>
      </w:pPr>
      <w:r>
        <w:t xml:space="preserve">Die Vorbereitung, Strukturierung und Durchführung der Bewertung von Innovation wird in den Kapiteln 2.2 bis 2.4 ausführlich beschrieben. </w:t>
      </w:r>
    </w:p>
    <w:p w:rsidR="00A45935" w:rsidRPr="0018705F" w:rsidRDefault="00A45935" w:rsidP="00B421B9">
      <w:pPr>
        <w:pStyle w:val="HHeadingfigures"/>
      </w:pPr>
      <w:bookmarkStart w:id="88" w:name="_Toc508377960"/>
      <w:r>
        <w:t>Verwaltung der Bewertung von Innovation in den Programmen zur Entwicklung des ländlichen Raums 2014-2020</w:t>
      </w:r>
      <w:bookmarkEnd w:id="88"/>
    </w:p>
    <w:p w:rsidR="00A45935" w:rsidRPr="00E05D08" w:rsidRDefault="006864FC" w:rsidP="00E05D08">
      <w:pPr>
        <w:spacing w:after="120" w:line="280" w:lineRule="atLeast"/>
        <w:mirrorIndents/>
        <w:jc w:val="center"/>
        <w:rPr>
          <w:rFonts w:eastAsia="Times New Roman" w:cs="Times New Roman"/>
          <w:szCs w:val="20"/>
        </w:rPr>
      </w:pPr>
      <w:r w:rsidRPr="006864FC">
        <w:rPr>
          <w:noProof/>
          <w:lang w:val="en-GB" w:eastAsia="en-GB"/>
        </w:rPr>
        <w:drawing>
          <wp:inline distT="0" distB="0" distL="0" distR="0" wp14:anchorId="1A02AA01" wp14:editId="7340A6DA">
            <wp:extent cx="5731510" cy="4044117"/>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4044117"/>
                    </a:xfrm>
                    <a:prstGeom prst="rect">
                      <a:avLst/>
                    </a:prstGeom>
                    <a:noFill/>
                    <a:ln>
                      <a:noFill/>
                    </a:ln>
                  </pic:spPr>
                </pic:pic>
              </a:graphicData>
            </a:graphic>
          </wp:inline>
        </w:drawing>
      </w:r>
    </w:p>
    <w:p w:rsidR="00A45935" w:rsidRPr="00E05D08" w:rsidRDefault="00A45935" w:rsidP="00E05D08">
      <w:pPr>
        <w:spacing w:after="120" w:line="280" w:lineRule="atLeast"/>
        <w:jc w:val="center"/>
        <w:rPr>
          <w:rFonts w:eastAsia="Calibri" w:cs="Arial"/>
          <w:bCs/>
          <w:i/>
          <w:sz w:val="16"/>
          <w:szCs w:val="16"/>
        </w:rPr>
      </w:pPr>
      <w:r>
        <w:rPr>
          <w:bCs/>
          <w:i/>
          <w:sz w:val="16"/>
          <w:szCs w:val="16"/>
        </w:rPr>
        <w:t>Quelle: Europäischer Evaluierungs-Helpdesk für ländliche Entwicklung, 2017.</w:t>
      </w:r>
    </w:p>
    <w:p w:rsidR="00A45935" w:rsidRPr="00E05D08" w:rsidRDefault="00A45935" w:rsidP="00E05D08">
      <w:pPr>
        <w:spacing w:after="120" w:line="280" w:lineRule="atLeast"/>
        <w:mirrorIndents/>
        <w:rPr>
          <w:rFonts w:eastAsia="Times New Roman" w:cs="Times New Roman"/>
          <w:szCs w:val="20"/>
        </w:rPr>
      </w:pPr>
      <w:r>
        <w:br w:type="page"/>
      </w:r>
    </w:p>
    <w:p w:rsidR="00A45935" w:rsidRDefault="00A45935" w:rsidP="00946806">
      <w:pPr>
        <w:pStyle w:val="HHeading4"/>
      </w:pPr>
      <w:r>
        <w:lastRenderedPageBreak/>
        <w:t>Berichterstattung über die Bewertung von Innovation</w:t>
      </w:r>
    </w:p>
    <w:p w:rsidR="00A45935" w:rsidRPr="00E05D08" w:rsidRDefault="00A45935" w:rsidP="00E05D08">
      <w:pPr>
        <w:spacing w:after="120" w:line="280" w:lineRule="atLeast"/>
        <w:mirrorIndents/>
        <w:rPr>
          <w:rFonts w:eastAsia="Times New Roman" w:cs="Times New Roman"/>
          <w:szCs w:val="20"/>
        </w:rPr>
      </w:pPr>
      <w:r>
        <w:t xml:space="preserve">Für die </w:t>
      </w:r>
      <w:r>
        <w:rPr>
          <w:b/>
          <w:szCs w:val="20"/>
        </w:rPr>
        <w:t>Berichterstattung über die Bewertungsergebnisse gegenüber der Europäischen Kommission sind die</w:t>
      </w:r>
      <w:r>
        <w:rPr>
          <w:b/>
          <w:szCs w:val="20"/>
          <w:shd w:val="clear" w:color="auto" w:fill="FFFFFF"/>
        </w:rPr>
        <w:t xml:space="preserve"> </w:t>
      </w:r>
      <w:r>
        <w:rPr>
          <w:b/>
          <w:szCs w:val="20"/>
        </w:rPr>
        <w:t>Verwaltungsbehörden</w:t>
      </w:r>
      <w:r w:rsidRPr="00E05D08">
        <w:rPr>
          <w:rFonts w:eastAsia="Times New Roman" w:cs="Times New Roman"/>
          <w:szCs w:val="20"/>
          <w:vertAlign w:val="superscript"/>
          <w:lang w:eastAsia="de-DE"/>
        </w:rPr>
        <w:footnoteReference w:id="36"/>
      </w:r>
      <w:r>
        <w:t xml:space="preserve"> zuständig. Abbildung 5 zeigt, unter welchen CEQ die Bewertungsergebnisse über Innovation in den jährlichen Durchführungsberichten 2017, 2019 und der Ex-post-Bewertung aufgenommen werden können. </w:t>
      </w:r>
    </w:p>
    <w:p w:rsidR="00A45935" w:rsidRPr="00E05D08" w:rsidRDefault="00A45935" w:rsidP="00E05D08">
      <w:pPr>
        <w:spacing w:after="120" w:line="280" w:lineRule="atLeast"/>
        <w:mirrorIndents/>
        <w:rPr>
          <w:rFonts w:eastAsia="Times New Roman" w:cs="Times New Roman"/>
          <w:szCs w:val="20"/>
        </w:rPr>
      </w:pPr>
      <w:r>
        <w:rPr>
          <w:b/>
          <w:szCs w:val="20"/>
        </w:rPr>
        <w:t>Für den jährlichen Durchführungsbericht 2019 und die Ex-post-Bewertung werden wesentliche Bewertungsergebnisse über Innovation erwartet.</w:t>
      </w:r>
      <w:r>
        <w:t xml:space="preserve"> D</w:t>
      </w:r>
      <w:r w:rsidR="00AA03A5">
        <w:t>a</w:t>
      </w:r>
      <w:r>
        <w:t xml:space="preserve"> es sich bei der Innovationsförderung um einen Prozess handelt, sind die entsprechenden Ergebnisse zu Beginn der Programmumsetzung nicht einfach zu beobachten.</w:t>
      </w:r>
    </w:p>
    <w:p w:rsidR="00A45935" w:rsidRPr="006B72BF" w:rsidRDefault="00C16890" w:rsidP="00C16890">
      <w:pPr>
        <w:pStyle w:val="HHeadingfigures"/>
        <w:tabs>
          <w:tab w:val="clear" w:pos="964"/>
        </w:tabs>
      </w:pPr>
      <w:bookmarkStart w:id="89" w:name="_Toc508377961"/>
      <w:r w:rsidRPr="00C16890">
        <w:t xml:space="preserve"> </w:t>
      </w:r>
      <w:r w:rsidR="00533971">
        <w:t>Berichtspflichten in Zusammenhang mit Innovation</w:t>
      </w:r>
      <w:bookmarkEnd w:id="89"/>
    </w:p>
    <w:p w:rsidR="00A45935" w:rsidRPr="00E05D08" w:rsidRDefault="004F1EC2" w:rsidP="00E05D08">
      <w:pPr>
        <w:spacing w:after="120" w:line="280" w:lineRule="atLeast"/>
        <w:mirrorIndents/>
        <w:jc w:val="center"/>
        <w:rPr>
          <w:rFonts w:eastAsia="Times New Roman" w:cs="Times New Roman"/>
          <w:szCs w:val="20"/>
          <w:lang w:eastAsia="de-DE"/>
        </w:rPr>
      </w:pPr>
      <w:r w:rsidRPr="004F1EC2">
        <w:rPr>
          <w:noProof/>
          <w:lang w:val="en-GB" w:eastAsia="en-GB"/>
        </w:rPr>
        <w:drawing>
          <wp:inline distT="0" distB="0" distL="0" distR="0" wp14:anchorId="09311D17" wp14:editId="3C35AF48">
            <wp:extent cx="6959600" cy="391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63911" cy="3914023"/>
                    </a:xfrm>
                    <a:prstGeom prst="rect">
                      <a:avLst/>
                    </a:prstGeom>
                    <a:noFill/>
                    <a:ln>
                      <a:noFill/>
                    </a:ln>
                  </pic:spPr>
                </pic:pic>
              </a:graphicData>
            </a:graphic>
          </wp:inline>
        </w:drawing>
      </w:r>
    </w:p>
    <w:p w:rsidR="001744D0" w:rsidRDefault="00A45935" w:rsidP="001744D0">
      <w:pPr>
        <w:suppressAutoHyphens/>
        <w:spacing w:before="60" w:after="140" w:line="240" w:lineRule="auto"/>
        <w:ind w:right="1134"/>
        <w:mirrorIndents/>
        <w:jc w:val="center"/>
        <w:rPr>
          <w:rFonts w:eastAsia="Times New Roman" w:cs="Times New Roman"/>
          <w:i/>
          <w:sz w:val="16"/>
          <w:szCs w:val="20"/>
        </w:rPr>
      </w:pPr>
      <w:r>
        <w:rPr>
          <w:i/>
          <w:sz w:val="16"/>
          <w:szCs w:val="20"/>
        </w:rPr>
        <w:t>Quelle: Europäischer Evaluierungs-Helpdesk für ländliche Entwicklung, 2017.</w:t>
      </w:r>
    </w:p>
    <w:p w:rsidR="00A45935" w:rsidRPr="00E05D08" w:rsidRDefault="00A45935" w:rsidP="001744D0">
      <w:r>
        <w:t>Die vorliegenden Leitlinien konzentrieren sich deshalb auf die Vorgehensweise bei der Bewertung von Innovation ab 2019.</w:t>
      </w:r>
    </w:p>
    <w:p w:rsidR="00A45935" w:rsidRDefault="00A45935" w:rsidP="00804433">
      <w:pPr>
        <w:spacing w:after="120" w:line="280" w:lineRule="atLeast"/>
        <w:mirrorIndents/>
        <w:rPr>
          <w:rFonts w:eastAsia="Times New Roman" w:cs="Times New Roman"/>
          <w:szCs w:val="20"/>
        </w:rPr>
      </w:pPr>
      <w:r>
        <w:t xml:space="preserve">Um andere Innovationsakteure, Beteiligte an der Entwicklung des ländlichen Raums und die breitere Öffentlichkeit </w:t>
      </w:r>
      <w:r w:rsidR="00AA03A5">
        <w:t>über die</w:t>
      </w:r>
      <w:r>
        <w:t xml:space="preserve"> Bewertungsergebnisse der Programme zur Entwicklung des ländlichen Raums zu informieren, können die Verwaltungsbehörden neben den für die EU-Ebene vorgesehenen Berichten auch </w:t>
      </w:r>
      <w:r>
        <w:rPr>
          <w:b/>
          <w:szCs w:val="20"/>
        </w:rPr>
        <w:t>andere Berichtserstattungsformate</w:t>
      </w:r>
      <w:r>
        <w:t xml:space="preserve"> verwenden (siehe auch andere Leitlinien</w:t>
      </w:r>
      <w:r w:rsidRPr="00E05D08">
        <w:rPr>
          <w:rFonts w:eastAsia="Times New Roman" w:cs="Times New Roman"/>
          <w:szCs w:val="20"/>
          <w:vertAlign w:val="superscript"/>
          <w:lang w:eastAsia="de-DE"/>
        </w:rPr>
        <w:footnoteReference w:id="37"/>
      </w:r>
      <w:r>
        <w:t>). Außerdem können die Mitgliedstaaten auf freiwilliger Basis auch eine eigene Bewertung von Innovation durchführen und spezielle Bewertungsberichte erstellen.</w:t>
      </w:r>
      <w:r w:rsidR="006864FC">
        <w:t xml:space="preserve"> </w:t>
      </w:r>
    </w:p>
    <w:p w:rsidR="00583AC8" w:rsidRDefault="00416A20" w:rsidP="00804433">
      <w:pPr>
        <w:spacing w:after="120" w:line="280" w:lineRule="atLeast"/>
        <w:mirrorIndents/>
        <w:rPr>
          <w:rFonts w:eastAsia="Times New Roman" w:cs="Times New Roman"/>
          <w:b/>
          <w:szCs w:val="20"/>
        </w:rPr>
      </w:pPr>
      <w:r w:rsidRPr="00E05D08">
        <w:rPr>
          <w:noProof/>
          <w:lang w:val="en-GB" w:eastAsia="en-GB"/>
        </w:rPr>
        <w:lastRenderedPageBreak/>
        <mc:AlternateContent>
          <mc:Choice Requires="wps">
            <w:drawing>
              <wp:anchor distT="180340" distB="0" distL="114300" distR="114300" simplePos="0" relativeHeight="251707392" behindDoc="0" locked="0" layoutInCell="1" allowOverlap="1" wp14:anchorId="7B3A2C79" wp14:editId="01C91F5D">
                <wp:simplePos x="0" y="0"/>
                <wp:positionH relativeFrom="page">
                  <wp:posOffset>857250</wp:posOffset>
                </wp:positionH>
                <wp:positionV relativeFrom="page">
                  <wp:posOffset>704850</wp:posOffset>
                </wp:positionV>
                <wp:extent cx="5826760" cy="3086100"/>
                <wp:effectExtent l="0" t="0" r="21590" b="19050"/>
                <wp:wrapTopAndBottom/>
                <wp:docPr id="61" name="Rectangle: Diagonal Corners Rounded 61"/>
                <wp:cNvGraphicFramePr/>
                <a:graphic xmlns:a="http://schemas.openxmlformats.org/drawingml/2006/main">
                  <a:graphicData uri="http://schemas.microsoft.com/office/word/2010/wordprocessingShape">
                    <wps:wsp>
                      <wps:cNvSpPr/>
                      <wps:spPr>
                        <a:xfrm>
                          <a:off x="0" y="0"/>
                          <a:ext cx="5826760" cy="3086100"/>
                        </a:xfrm>
                        <a:prstGeom prst="round2DiagRect">
                          <a:avLst>
                            <a:gd name="adj1" fmla="val 8810"/>
                            <a:gd name="adj2" fmla="val 0"/>
                          </a:avLst>
                        </a:prstGeom>
                        <a:noFill/>
                        <a:ln w="25400" cap="flat" cmpd="sng" algn="ctr">
                          <a:solidFill>
                            <a:srgbClr val="F07E31"/>
                          </a:solidFill>
                          <a:prstDash val="solid"/>
                        </a:ln>
                        <a:effectLst/>
                      </wps:spPr>
                      <wps:txbx>
                        <w:txbxContent>
                          <w:p w:rsidR="00533F8C" w:rsidRPr="00E05D08" w:rsidRDefault="00533F8C" w:rsidP="00E05D08">
                            <w:pPr>
                              <w:pStyle w:val="HStandard"/>
                              <w:rPr>
                                <w:b/>
                                <w:color w:val="F07E31"/>
                                <w:sz w:val="18"/>
                                <w:szCs w:val="18"/>
                              </w:rPr>
                            </w:pPr>
                            <w:r>
                              <w:rPr>
                                <w:noProof/>
                                <w:lang w:val="en-GB" w:eastAsia="en-GB"/>
                              </w:rPr>
                              <w:drawing>
                                <wp:inline distT="0" distB="0" distL="0" distR="0" wp14:anchorId="09364325" wp14:editId="01BAA355">
                                  <wp:extent cx="353060" cy="359410"/>
                                  <wp:effectExtent l="0" t="0" r="8890" b="2540"/>
                                  <wp:docPr id="73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Beispiel: Laufende Bewertung der EIP-AGRI in Schweden</w:t>
                            </w:r>
                          </w:p>
                          <w:p w:rsidR="00533F8C" w:rsidRPr="00275EE5" w:rsidRDefault="00533F8C" w:rsidP="00E05D08">
                            <w:pPr>
                              <w:pStyle w:val="HBox"/>
                            </w:pPr>
                            <w:r>
                              <w:rPr>
                                <w:bCs/>
                                <w14:textFill>
                                  <w14:solidFill>
                                    <w14:srgbClr w14:val="373737">
                                      <w14:lumMod w14:val="75000"/>
                                    </w14:srgbClr>
                                  </w14:solidFill>
                                </w14:textFill>
                              </w:rPr>
                              <w:t>In Schweden erfolgt die Bewertung von Innovation als Teil der Bewertung der Programme zur Entwicklung des ländlichen Raums und besteht aus einer quantitativen und einer qualitativen Bewertungskomponente. Die Verwaltung der beiden Komponenten erfolgt durch das Bewertungssekretariat</w:t>
                            </w:r>
                            <w:r>
                              <w:rPr>
                                <w:bCs/>
                                <w:vertAlign w:val="superscript"/>
                                <w14:textFill>
                                  <w14:solidFill>
                                    <w14:srgbClr w14:val="373737">
                                      <w14:lumMod w14:val="75000"/>
                                    </w14:srgbClr>
                                  </w14:solidFill>
                                </w14:textFill>
                              </w:rPr>
                              <w:t>38</w:t>
                            </w:r>
                            <w:r>
                              <w:rPr>
                                <w:bCs/>
                                <w14:textFill>
                                  <w14:solidFill>
                                    <w14:srgbClr w14:val="373737">
                                      <w14:lumMod w14:val="75000"/>
                                    </w14:srgbClr>
                                  </w14:solidFill>
                                </w14:textFill>
                              </w:rPr>
                              <w:t xml:space="preserve">. Die quantitative Bewertung soll ausschließlich Ergebnisse für den jährlichen Durchführungsbericht 2019 </w:t>
                            </w:r>
                            <w:r>
                              <w:rPr>
                                <w:color w:val="292929"/>
                              </w:rPr>
                              <w:t>und die Ex-post-Bewertung</w:t>
                            </w:r>
                            <w:r>
                              <w:t xml:space="preserve"> liefern</w:t>
                            </w:r>
                            <w:r>
                              <w:rPr>
                                <w:bCs/>
                                <w14:textFill>
                                  <w14:solidFill>
                                    <w14:srgbClr w14:val="373737">
                                      <w14:lumMod w14:val="75000"/>
                                    </w14:srgbClr>
                                  </w14:solidFill>
                                </w14:textFill>
                              </w:rPr>
                              <w:t xml:space="preserve">. Für eine quantitative Bewertung im Jahr 2017 wurden noch zu wenige innovationsbezogene Maßnahmen umgesetzt. Die qualitative Bewertung ist als laufende formative Bewertung ausgelegt und konzentriert sich auf die Umsetzung der EIP-AGRI. Die Durchführung erfolgt durch eine Forschungsaktionsgruppe der Universität Umeå. Ziel der laufenden Bewertung ist die kontinuierliche Bereitstellung von Feedback und Empfehlungen zur Verwaltung und Umsetzung der EIP-AGRI (M16 des Programms zur Entwicklung des ländlichen Raums). Es werden Ergebnisse im gesamten Programmplanungszeitraum erwartet, </w:t>
                            </w:r>
                            <w:r>
                              <w:rPr>
                                <w:color w:val="292929"/>
                              </w:rPr>
                              <w:t>sowie für die jährlichen Durchführungsberichte 2017 und 2019 und die Ex-post Bewertung</w:t>
                            </w:r>
                            <w:r>
                              <w:rPr>
                                <w:bCs/>
                                <w14:textFill>
                                  <w14:solidFill>
                                    <w14:srgbClr w14:val="373737">
                                      <w14:lumMod w14:val="75000"/>
                                    </w14:srgbClr>
                                  </w14:solidFill>
                                </w14:textFill>
                              </w:rPr>
                              <w:t>. Beide Bewertungskomponenten werden von unabhängigen Bewertern durchgeführt, die im Einklang mit dem öffentlichen Vergaberecht über ein Ausschreibungsverfahren ausgewählt werden.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A2C79" id="Rectangle: Diagonal Corners Rounded 61" o:spid="_x0000_s1036" style="position:absolute;left:0;text-align:left;margin-left:67.5pt;margin-top:55.5pt;width:458.8pt;height:243pt;z-index:251707392;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margin;mso-height-relative:margin;v-text-anchor:middle" coordsize="5826760,308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" adj="-11796480,,5400" path="m271885,l5826760,r,l5826760,2814215v,150158,-121727,271885,-271885,271885l,3086100r,l,271885c,121727,121727,,271885,xe" filled="f" strokecolor="#f07e31" strokeweight="2pt">
                <v:stroke joinstyle="miter"/>
                <v:formulas/>
                <v:path arrowok="t" o:connecttype="custom" o:connectlocs="271885,0;5826760,0;5826760,0;5826760,2814215;5554875,3086100;0,3086100;0,3086100;0,271885;271885,0" o:connectangles="0,0,0,0,0,0,0,0,0" textboxrect="0,0,5826760,3086100"/>
                <v:textbox>
                  <w:txbxContent>
                    <w:p w:rsidR="00533F8C" w:rsidRPr="00E05D08" w:rsidRDefault="00533F8C" w:rsidP="00E05D08">
                      <w:pPr>
                        <w:pStyle w:val="HStandard"/>
                        <w:rPr>
                          <w:b/>
                          <w:color w:val="F07E31"/>
                          <w:sz w:val="18"/>
                          <w:szCs w:val="18"/>
                        </w:rPr>
                      </w:pPr>
                      <w:r>
                        <w:rPr>
                          <w:noProof/>
                          <w:lang w:val="en-GB" w:eastAsia="en-GB"/>
                        </w:rPr>
                        <w:drawing>
                          <wp:inline distT="0" distB="0" distL="0" distR="0" wp14:anchorId="09364325" wp14:editId="01BAA355">
                            <wp:extent cx="353060" cy="359410"/>
                            <wp:effectExtent l="0" t="0" r="8890" b="2540"/>
                            <wp:docPr id="73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Beispiel: Laufende Bewertung der EIP-AGRI in Schweden</w:t>
                      </w:r>
                    </w:p>
                    <w:p w:rsidR="00533F8C" w:rsidRPr="00275EE5" w:rsidRDefault="00533F8C" w:rsidP="00E05D08">
                      <w:pPr>
                        <w:pStyle w:val="HBox"/>
                      </w:pPr>
                      <w:r>
                        <w:rPr>
                          <w:bCs/>
                          <w14:textFill>
                            <w14:solidFill>
                              <w14:srgbClr w14:val="373737">
                                <w14:lumMod w14:val="75000"/>
                              </w14:srgbClr>
                            </w14:solidFill>
                          </w14:textFill>
                        </w:rPr>
                        <w:t>In Schweden erfolgt die Bewertung von Innovation als Teil der Bewertung der Programme zur Entwicklung des ländlichen Raums und besteht aus einer quantitativen und einer qualitativen Bewertungskomponente. Die Verwaltung der beiden Komponenten erfolgt durch das Bewertungssekretariat</w:t>
                      </w:r>
                      <w:r>
                        <w:rPr>
                          <w:bCs/>
                          <w:vertAlign w:val="superscript"/>
                          <w14:textFill>
                            <w14:solidFill>
                              <w14:srgbClr w14:val="373737">
                                <w14:lumMod w14:val="75000"/>
                              </w14:srgbClr>
                            </w14:solidFill>
                          </w14:textFill>
                        </w:rPr>
                        <w:t>38</w:t>
                      </w:r>
                      <w:r>
                        <w:rPr>
                          <w:bCs/>
                          <w14:textFill>
                            <w14:solidFill>
                              <w14:srgbClr w14:val="373737">
                                <w14:lumMod w14:val="75000"/>
                              </w14:srgbClr>
                            </w14:solidFill>
                          </w14:textFill>
                        </w:rPr>
                        <w:t xml:space="preserve">. Die quantitative Bewertung soll ausschließlich Ergebnisse für den jährlichen Durchführungsbericht 2019 </w:t>
                      </w:r>
                      <w:r>
                        <w:rPr>
                          <w:color w:val="292929"/>
                        </w:rPr>
                        <w:t>und die Ex-post-Bewertung</w:t>
                      </w:r>
                      <w:r>
                        <w:t xml:space="preserve"> liefern</w:t>
                      </w:r>
                      <w:r>
                        <w:rPr>
                          <w:bCs/>
                          <w14:textFill>
                            <w14:solidFill>
                              <w14:srgbClr w14:val="373737">
                                <w14:lumMod w14:val="75000"/>
                              </w14:srgbClr>
                            </w14:solidFill>
                          </w14:textFill>
                        </w:rPr>
                        <w:t xml:space="preserve">. Für eine quantitative Bewertung im Jahr 2017 wurden noch zu wenige innovationsbezogene Maßnahmen umgesetzt. Die qualitative Bewertung ist als laufende formative Bewertung ausgelegt und konzentriert sich auf die Umsetzung der EIP-AGRI. Die Durchführung erfolgt durch eine Forschungsaktionsgruppe der Universität Umeå. Ziel der laufenden Bewertung ist die kontinuierliche Bereitstellung von Feedback und Empfehlungen zur Verwaltung und Umsetzung der EIP-AGRI (M16 des Programms zur Entwicklung des ländlichen Raums). Es werden Ergebnisse im gesamten Programmplanungszeitraum erwartet, </w:t>
                      </w:r>
                      <w:r>
                        <w:rPr>
                          <w:color w:val="292929"/>
                        </w:rPr>
                        <w:t>sowie für die jährlichen Durchführungsberichte 2017 und 2019 und die Ex-post Bewertung</w:t>
                      </w:r>
                      <w:r>
                        <w:rPr>
                          <w:bCs/>
                          <w14:textFill>
                            <w14:solidFill>
                              <w14:srgbClr w14:val="373737">
                                <w14:lumMod w14:val="75000"/>
                              </w14:srgbClr>
                            </w14:solidFill>
                          </w14:textFill>
                        </w:rPr>
                        <w:t>. Beide Bewertungskomponenten werden von unabhängigen Bewertern durchgeführt, die im Einklang mit dem öffentlichen Vergaberecht über ein Ausschreibungsverfahren ausgewählt werden.</w:t>
                      </w:r>
                    </w:p>
                  </w:txbxContent>
                </v:textbox>
                <w10:wrap type="topAndBottom" anchorx="page" anchory="page"/>
              </v:shape>
            </w:pict>
          </mc:Fallback>
        </mc:AlternateContent>
      </w:r>
      <w:r w:rsidR="00583AC8" w:rsidRPr="00583AC8">
        <w:rPr>
          <w:rStyle w:val="FootnoteReference"/>
          <w:rFonts w:eastAsia="Times New Roman" w:cs="Times New Roman"/>
          <w:color w:val="FFFFFF" w:themeColor="background1"/>
          <w:szCs w:val="20"/>
          <w:lang w:eastAsia="de-DE"/>
        </w:rPr>
        <w:footnoteReference w:id="38"/>
      </w:r>
    </w:p>
    <w:p w:rsidR="00A45935" w:rsidRPr="00E05D08" w:rsidRDefault="00626C0C" w:rsidP="00804433">
      <w:pPr>
        <w:spacing w:after="120" w:line="280" w:lineRule="atLeast"/>
        <w:mirrorIndents/>
        <w:rPr>
          <w:rFonts w:eastAsia="Times New Roman" w:cs="Times New Roman"/>
          <w:szCs w:val="20"/>
        </w:rPr>
      </w:pPr>
      <w:r>
        <w:rPr>
          <w:b/>
          <w:szCs w:val="20"/>
        </w:rPr>
        <w:t>Der Rechtsrahmen</w:t>
      </w:r>
      <w:r>
        <w:t xml:space="preserve"> </w:t>
      </w:r>
      <w:r>
        <w:rPr>
          <w:b/>
          <w:szCs w:val="20"/>
        </w:rPr>
        <w:t>erfordert die Beantwortung aller relevanten innovationsbezogenen Bewertungsfragen</w:t>
      </w:r>
      <w:r w:rsidR="00A45935" w:rsidRPr="00E05D08">
        <w:rPr>
          <w:rFonts w:eastAsia="Times New Roman" w:cs="Times New Roman"/>
          <w:szCs w:val="20"/>
          <w:vertAlign w:val="superscript"/>
          <w:lang w:eastAsia="de-DE"/>
        </w:rPr>
        <w:footnoteReference w:id="39"/>
      </w:r>
      <w:r>
        <w:t>, indem die einschlägigen gemeinsamen Indikatoren</w:t>
      </w:r>
      <w:r w:rsidR="00A45935" w:rsidRPr="00E05D08">
        <w:rPr>
          <w:rFonts w:eastAsia="Times New Roman" w:cs="Times New Roman"/>
          <w:szCs w:val="20"/>
          <w:vertAlign w:val="superscript"/>
          <w:lang w:eastAsia="de-DE"/>
        </w:rPr>
        <w:footnoteReference w:id="40"/>
      </w:r>
      <w:r>
        <w:t xml:space="preserve"> bewertet und die Erfolge der EU-Politik für den ländlichen Raum im Hinblick auf die Innovationsförderung erfasst werden sollen. </w:t>
      </w:r>
    </w:p>
    <w:p w:rsidR="00576A73" w:rsidRDefault="00A45935" w:rsidP="00576A73">
      <w:pPr>
        <w:spacing w:after="120" w:line="280" w:lineRule="atLeast"/>
        <w:mirrorIndents/>
        <w:rPr>
          <w:rFonts w:eastAsia="Times New Roman" w:cs="Times New Roman"/>
          <w:szCs w:val="20"/>
        </w:rPr>
      </w:pPr>
      <w:r>
        <w:t>Es werden die folgenden unverbindlichen Arbeitsschritte vorgeschlagen:</w:t>
      </w:r>
    </w:p>
    <w:p w:rsidR="00A45935" w:rsidRPr="00E05D08" w:rsidRDefault="00A45935" w:rsidP="00B421B9">
      <w:pPr>
        <w:pStyle w:val="HHeading4"/>
        <w:rPr>
          <w:rFonts w:eastAsia="Calibri"/>
          <w:shd w:val="clear" w:color="auto" w:fill="FFFFFF"/>
        </w:rPr>
      </w:pPr>
      <w:r>
        <w:rPr>
          <w:shd w:val="clear" w:color="auto" w:fill="FFFFFF"/>
        </w:rPr>
        <w:t>Untersuchung des Innovationspotenzials der Maßnahmen/Teilmaßnahmen des Programms zur Entwicklung des ländlichen Raums (empfohlen)</w:t>
      </w:r>
    </w:p>
    <w:p w:rsidR="00A45935" w:rsidRPr="00E05D08" w:rsidRDefault="00A45935" w:rsidP="00E05D08">
      <w:pPr>
        <w:spacing w:after="120" w:line="280" w:lineRule="atLeast"/>
        <w:mirrorIndents/>
        <w:rPr>
          <w:rFonts w:eastAsia="Times New Roman" w:cs="Times New Roman"/>
          <w:szCs w:val="20"/>
        </w:rPr>
      </w:pPr>
      <w:r>
        <w:t xml:space="preserve">Vor Beginn der Bewertungstätigkeiten zur Beantwortung der innovationsbezogenen Bewertungsfragen möchten die Verwaltungsbehörden und/oder Bewertungsexperten das Innovationspotenzial der Maßnahmen/Teilmaßnahmen des Programms zur Entwicklung des ländlichen Raums prüfen (blauer Bereich der Abbildung 6). Durch diesen Schritt können der Bewerter und die Verwaltungsbehörden besser einordnen, inwieweit die einzelnen Maßnahmen/Teilmaßnahmen zum Erreichen der innovationsbezogenen Ziele des Programms zur Entwicklung des ländlichen Raums (siehe </w:t>
      </w:r>
      <w:hyperlink w:anchor="Screening_Potential" w:history="1">
        <w:r>
          <w:rPr>
            <w:rStyle w:val="Hyperlink"/>
            <w:sz w:val="20"/>
            <w:szCs w:val="20"/>
          </w:rPr>
          <w:t>Kapitel 2.2</w:t>
        </w:r>
      </w:hyperlink>
      <w:r>
        <w:t>) beitragen können.</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Ergänzung der gemeinsamen Bewertungselemente für Innovation (empfohlen)</w:t>
      </w:r>
    </w:p>
    <w:p w:rsidR="00A45935" w:rsidRPr="00E05D08" w:rsidRDefault="00A45935" w:rsidP="00E05D08">
      <w:pPr>
        <w:spacing w:after="120" w:line="280" w:lineRule="atLeast"/>
        <w:mirrorIndents/>
        <w:rPr>
          <w:rFonts w:eastAsia="Times New Roman" w:cs="Times New Roman"/>
          <w:szCs w:val="20"/>
        </w:rPr>
      </w:pPr>
      <w:r>
        <w:t>Das gemeinsame Begleitungs- und Bewertungssystem enthält grundlegende Bewertungselemente zur Beantwortung der innovationsbezogenen gemeinsamen Bewertungsfragen. Reichen die gemeinsamen Bewertungselemente (Beurteilungskriterien</w:t>
      </w:r>
      <w:r w:rsidRPr="00E05D08">
        <w:rPr>
          <w:rFonts w:eastAsia="Times New Roman" w:cs="Times New Roman"/>
          <w:szCs w:val="20"/>
          <w:vertAlign w:val="superscript"/>
          <w:lang w:eastAsia="de-DE"/>
        </w:rPr>
        <w:footnoteReference w:id="41"/>
      </w:r>
      <w:r>
        <w:t xml:space="preserve"> und gemeinsame Indikatoren</w:t>
      </w:r>
      <w:r w:rsidRPr="00E05D08">
        <w:rPr>
          <w:rFonts w:eastAsia="Times New Roman" w:cs="Times New Roman"/>
          <w:szCs w:val="20"/>
          <w:vertAlign w:val="superscript"/>
          <w:lang w:eastAsia="de-DE"/>
        </w:rPr>
        <w:footnoteReference w:id="42"/>
      </w:r>
      <w:r>
        <w:t>) nicht aus, um alle erwarteten Auswirkungen zu erfassen, können die Verwaltungsbehörden die fehlenden Elemente (z. B. Bewertungsteilfragen, zusätzliche Beurteilungskriterien</w:t>
      </w:r>
      <w:r w:rsidRPr="00E05D08">
        <w:rPr>
          <w:rFonts w:eastAsia="Times New Roman" w:cs="Times New Roman"/>
          <w:szCs w:val="20"/>
          <w:vertAlign w:val="superscript"/>
          <w:lang w:eastAsia="de-DE"/>
        </w:rPr>
        <w:footnoteReference w:id="43"/>
      </w:r>
      <w:r>
        <w:t xml:space="preserve"> und zusätzliche quantitative und qualitative </w:t>
      </w:r>
      <w:r>
        <w:lastRenderedPageBreak/>
        <w:t>Indikatoren</w:t>
      </w:r>
      <w:r w:rsidRPr="00E05D08">
        <w:rPr>
          <w:rFonts w:eastAsia="Times New Roman" w:cs="Times New Roman"/>
          <w:szCs w:val="20"/>
          <w:vertAlign w:val="superscript"/>
          <w:lang w:eastAsia="de-DE"/>
        </w:rPr>
        <w:footnoteReference w:id="44"/>
      </w:r>
      <w:r>
        <w:t xml:space="preserve">) ausarbeiten, im Idealfall in Zusammenarbeit mit den Bewertungsexperten (grüne Bereiche der Abbildung 6) (siehe </w:t>
      </w:r>
      <w:hyperlink w:anchor="Complementing" w:history="1">
        <w:r>
          <w:rPr>
            <w:rStyle w:val="Hyperlink"/>
            <w:sz w:val="20"/>
            <w:szCs w:val="20"/>
          </w:rPr>
          <w:t>Kapitel 2.3</w:t>
        </w:r>
      </w:hyperlink>
      <w:r>
        <w:t>).</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Beantwortung der relevanten gemeinsamen Bewertungsfragen (</w:t>
      </w:r>
      <w:r w:rsidR="00794807">
        <w:rPr>
          <w:b/>
          <w:color w:val="57825E"/>
          <w:szCs w:val="20"/>
          <w:shd w:val="clear" w:color="auto" w:fill="FFFFFF"/>
        </w:rPr>
        <w:t>obligatorisch</w:t>
      </w:r>
      <w:r>
        <w:rPr>
          <w:b/>
          <w:color w:val="57825E"/>
          <w:szCs w:val="20"/>
          <w:shd w:val="clear" w:color="auto" w:fill="FFFFFF"/>
        </w:rPr>
        <w:t>)</w:t>
      </w:r>
    </w:p>
    <w:p w:rsidR="00A45935" w:rsidRPr="00E05D08" w:rsidRDefault="00A45935" w:rsidP="00E05D08">
      <w:pPr>
        <w:spacing w:after="120" w:line="280" w:lineRule="atLeast"/>
        <w:mirrorIndents/>
        <w:rPr>
          <w:rFonts w:eastAsia="Times New Roman" w:cs="Times New Roman"/>
          <w:szCs w:val="20"/>
        </w:rPr>
      </w:pPr>
      <w:r>
        <w:t>Die Bewerter der Programme zur Entwicklung des ländlichen Raums bewerten die Erfolge der Programme hinsichtlich der Förderung der Innovation und deren Beitrag beim Erreichen der E</w:t>
      </w:r>
      <w:r w:rsidR="000D1B3B">
        <w:t>U</w:t>
      </w:r>
      <w:r>
        <w:t xml:space="preserve">-weiten und nationalen/regionalen Ziele der Politik der ländlichen Entwicklung. Auf der Grundlage der Bewertungsergebnisse formulieren sie ihre Antworten auf die gemeinsamen, zusätzlichen und programmspezifischen Bewertungsfragen (orange Teile der Abbildung 6). Die innovationsbezogenen Bewertungsfragen erfordern eine spezifische Beantwortungsmethode (siehe </w:t>
      </w:r>
      <w:hyperlink w:anchor="Answering" w:history="1">
        <w:r>
          <w:rPr>
            <w:rStyle w:val="Hyperlink"/>
            <w:sz w:val="20"/>
            <w:szCs w:val="20"/>
          </w:rPr>
          <w:t>Kapitel 2.4</w:t>
        </w:r>
      </w:hyperlink>
      <w:r>
        <w:t>).</w:t>
      </w:r>
    </w:p>
    <w:p w:rsidR="00A45935" w:rsidRPr="00EC5172" w:rsidRDefault="00BC7EF1" w:rsidP="00BC7EF1">
      <w:pPr>
        <w:pStyle w:val="HHeadingfigures"/>
        <w:tabs>
          <w:tab w:val="clear" w:pos="964"/>
        </w:tabs>
      </w:pPr>
      <w:bookmarkStart w:id="90" w:name="_Toc508377962"/>
      <w:r w:rsidRPr="00BC7EF1">
        <w:t xml:space="preserve"> </w:t>
      </w:r>
      <w:r w:rsidR="00626C0C">
        <w:t>Vorgehensweise bei der Bewertung von Innovation in den Programmen zur Entwicklung des ländlichen Raums</w:t>
      </w:r>
      <w:bookmarkEnd w:id="90"/>
    </w:p>
    <w:p w:rsidR="00A45935" w:rsidRPr="00E05D08" w:rsidRDefault="006864FC" w:rsidP="00E05D08">
      <w:pPr>
        <w:spacing w:after="120" w:line="280" w:lineRule="atLeast"/>
        <w:mirrorIndents/>
        <w:jc w:val="center"/>
        <w:rPr>
          <w:rFonts w:eastAsia="Times New Roman" w:cs="Times New Roman"/>
          <w:szCs w:val="20"/>
          <w:lang w:eastAsia="de-DE"/>
        </w:rPr>
      </w:pPr>
      <w:r w:rsidRPr="006864FC">
        <w:rPr>
          <w:noProof/>
          <w:lang w:val="en-GB" w:eastAsia="en-GB"/>
        </w:rPr>
        <w:drawing>
          <wp:inline distT="0" distB="0" distL="0" distR="0" wp14:anchorId="1BC4DA93" wp14:editId="6A01FE30">
            <wp:extent cx="5731510" cy="3336992"/>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336992"/>
                    </a:xfrm>
                    <a:prstGeom prst="rect">
                      <a:avLst/>
                    </a:prstGeom>
                    <a:noFill/>
                    <a:ln>
                      <a:noFill/>
                    </a:ln>
                  </pic:spPr>
                </pic:pic>
              </a:graphicData>
            </a:graphic>
          </wp:inline>
        </w:drawing>
      </w:r>
    </w:p>
    <w:p w:rsidR="00A45935" w:rsidRPr="00B421B9" w:rsidRDefault="00A45935" w:rsidP="00B421B9">
      <w:pPr>
        <w:suppressAutoHyphens/>
        <w:spacing w:before="60" w:after="140" w:line="240" w:lineRule="auto"/>
        <w:ind w:left="1134" w:right="1134"/>
        <w:mirrorIndents/>
        <w:jc w:val="center"/>
        <w:rPr>
          <w:rFonts w:eastAsia="Times New Roman" w:cs="Times New Roman"/>
          <w:i/>
          <w:sz w:val="16"/>
          <w:szCs w:val="20"/>
        </w:rPr>
        <w:sectPr w:rsidR="00A45935" w:rsidRPr="00B421B9" w:rsidSect="00055039">
          <w:endnotePr>
            <w:numFmt w:val="decimal"/>
          </w:endnotePr>
          <w:type w:val="continuous"/>
          <w:pgSz w:w="11906" w:h="16838" w:code="9"/>
          <w:pgMar w:top="1440" w:right="1440" w:bottom="1134" w:left="1440" w:header="567" w:footer="1021" w:gutter="0"/>
          <w:cols w:space="708"/>
          <w:noEndnote/>
          <w:docGrid w:linePitch="360"/>
        </w:sectPr>
      </w:pPr>
      <w:r>
        <w:rPr>
          <w:i/>
          <w:sz w:val="16"/>
          <w:szCs w:val="20"/>
        </w:rPr>
        <w:t>Quelle: Europäischer Evaluierungs-Helpdesk für ländliche Entwicklung, 2017.</w:t>
      </w:r>
      <w:bookmarkStart w:id="91" w:name="_Toc493151902"/>
      <w:bookmarkStart w:id="92" w:name="_Toc501382128"/>
    </w:p>
    <w:p w:rsidR="00A45935" w:rsidRPr="002271D9" w:rsidRDefault="00A45935" w:rsidP="00B421B9">
      <w:pPr>
        <w:pStyle w:val="HHeading2"/>
        <w:numPr>
          <w:ilvl w:val="1"/>
          <w:numId w:val="119"/>
        </w:numPr>
        <w:ind w:left="567" w:hanging="567"/>
      </w:pPr>
      <w:bookmarkStart w:id="93" w:name="Screening_Potential"/>
      <w:bookmarkStart w:id="94" w:name="_Toc508377838"/>
      <w:bookmarkEnd w:id="93"/>
      <w:r>
        <w:t>Untersuchung des Innovationspotenzials der Maßnahmen/Teilmaßnahmen des Programms zur Entwicklung des ländlichen Raums (empfohlen)</w:t>
      </w:r>
      <w:bookmarkEnd w:id="91"/>
      <w:bookmarkEnd w:id="92"/>
      <w:bookmarkEnd w:id="94"/>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Warum sollten wir das Innovationspotenzial der Maßnahmen der Programme zur Entwicklung des ländlichen Raums prüfen? </w:t>
      </w:r>
    </w:p>
    <w:p w:rsidR="00C64B64" w:rsidRPr="00E05D08" w:rsidRDefault="00A45935" w:rsidP="00E05D08">
      <w:pPr>
        <w:spacing w:after="120" w:line="280" w:lineRule="atLeast"/>
        <w:mirrorIndents/>
        <w:rPr>
          <w:rFonts w:eastAsia="Times New Roman" w:cs="Times New Roman"/>
          <w:szCs w:val="20"/>
        </w:rPr>
      </w:pPr>
      <w:r>
        <w:t xml:space="preserve">Die Verwaltungsbehörden verfügen bei der Kombination und Ausgestaltung bestimmter Maßnahmen zur Entwicklung des ländlichen Raums unter den einzelnen Schwerpunktbereichen über eine erhebliche Flexibilität, wodurch die Programme zur Entwicklung des ländlichen Raums sehr unterschiedliche Konzepte für Innovation verfolgen. Die Prüfung der Auswahl und Kombination der </w:t>
      </w:r>
      <w:r>
        <w:lastRenderedPageBreak/>
        <w:t xml:space="preserve">Maßnahmen/Teilmaßnahmen der Programme trägt dazu bei, das spezifische Konzept für Innovation sowie das Innovationspotenzial des Programms besser zu verstehen. Das ist eine hilfreiche Grundlage für die Beantwortung der innovationsbezogenen gemeinsamen Bewertungsfragen, vor allem in den späteren Phasen der Bewertung (z. B. im Rahmen des jährlichen Durchführungsberichts 2019 oder bei der Ex-post-Bewertung), wo die Auswirkungen der Programme zur Entwicklung des ländlichen Raums auf die Innovationsprozesse tatsächlich erfasst werden können. </w:t>
      </w:r>
    </w:p>
    <w:p w:rsidR="00A45935" w:rsidRPr="00E05D08" w:rsidRDefault="00A45935" w:rsidP="00B421B9">
      <w:pPr>
        <w:pStyle w:val="HHeading4"/>
        <w:rPr>
          <w:rFonts w:eastAsia="Calibri"/>
          <w:shd w:val="clear" w:color="auto" w:fill="FFFFFF"/>
        </w:rPr>
      </w:pPr>
      <w:r>
        <w:rPr>
          <w:shd w:val="clear" w:color="auto" w:fill="FFFFFF"/>
        </w:rPr>
        <w:t xml:space="preserve">Was versteht man unter dem Innovationspotenzials einer Maßnahme/Teilmaßnahme der Programme zur Entwicklung des ländlichen Raums? </w:t>
      </w:r>
    </w:p>
    <w:p w:rsidR="00A45935" w:rsidRPr="00E05D08" w:rsidRDefault="00A45935" w:rsidP="00E05D08">
      <w:pPr>
        <w:spacing w:after="120" w:line="280" w:lineRule="atLeast"/>
        <w:mirrorIndents/>
        <w:rPr>
          <w:rFonts w:eastAsia="Times New Roman" w:cs="Times New Roman"/>
          <w:szCs w:val="20"/>
        </w:rPr>
      </w:pPr>
      <w:r>
        <w:t xml:space="preserve">Unter dem </w:t>
      </w:r>
      <w:r>
        <w:rPr>
          <w:b/>
          <w:szCs w:val="20"/>
        </w:rPr>
        <w:t>Innovationspotenzial einer Maßnahme/Teilmaßnahme der Programme zur Entwicklung des ländlichen Raums</w:t>
      </w:r>
      <w:r>
        <w:t>, entweder alleine oder in Kombination mit anderen Maßnahmen/Teilmaßnahmen eines Schwerpunktbereichs betrachtet, versteht man die Fähigkeit, Innovation innerhalb eines Innovationssystems in einem ländlichen Gebiet zu fördern, und zwar durch a) die Förderung innovativer Ideen, b) den Aufbau von Kapazitäten, um in Zusammenarbeit mit anderen zu innovieren, und c) die Schaffung eines innovationsfördernden Umfelds.</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Welche Arbeitsschritte sind erforderlich, um das Innovationspotenzial eines Programms zur Entwicklung des ländlichen Raums zu ermitteln? </w:t>
      </w:r>
    </w:p>
    <w:p w:rsidR="00754AD5" w:rsidRDefault="00A45935" w:rsidP="00E05D08">
      <w:pPr>
        <w:spacing w:after="120" w:line="280" w:lineRule="atLeast"/>
        <w:mirrorIndents/>
      </w:pPr>
      <w:r>
        <w:t xml:space="preserve">Bei der </w:t>
      </w:r>
      <w:r>
        <w:rPr>
          <w:b/>
          <w:szCs w:val="20"/>
        </w:rPr>
        <w:t>Untersuchung der Maßnahmen und Teilmaßnahmen eines Programms zur Entwicklung des ländlichen Raums</w:t>
      </w:r>
      <w:r>
        <w:t xml:space="preserve"> wird</w:t>
      </w:r>
      <w:r>
        <w:rPr>
          <w:b/>
          <w:szCs w:val="20"/>
        </w:rPr>
        <w:t xml:space="preserve"> </w:t>
      </w:r>
      <w:r>
        <w:t xml:space="preserve">darauf geachtet, inwieweit die Maßnahmen darauf ausgelegt sind, neue Ideen zu fördern, die Innovationsfähigkeit zu verbessern oder ein innovationsförderndes Umfeld zu schaffen. Die Arbeitsmethode kann dabei eine expertenbasierte Bewertung sein oder eine partizipative Methode, an der mehrere wichtige Interessengruppen eines Programms zur Entwicklung des ländlichen Raums beteiligt sind. Eine solche Untersuchung könnte beispielsweise durch die Beantwortung der vorgeschlagenen Schlüsselfragen vorgenommen werden (siehe </w:t>
      </w:r>
      <w:hyperlink w:anchor="Steps_of_the_screenig" w:history="1">
        <w:r>
          <w:rPr>
            <w:rStyle w:val="Hyperlink"/>
            <w:sz w:val="20"/>
            <w:szCs w:val="20"/>
          </w:rPr>
          <w:t>Abbildung 7</w:t>
        </w:r>
      </w:hyperlink>
      <w:r>
        <w:t>).</w:t>
      </w:r>
    </w:p>
    <w:p w:rsidR="00754AD5" w:rsidRDefault="00754AD5">
      <w:pPr>
        <w:jc w:val="left"/>
      </w:pPr>
      <w:r>
        <w:br w:type="page"/>
      </w:r>
    </w:p>
    <w:p w:rsidR="00A45935" w:rsidRPr="00E05D08" w:rsidRDefault="00A45935" w:rsidP="00E05D08">
      <w:pPr>
        <w:spacing w:after="120" w:line="280" w:lineRule="atLeast"/>
        <w:mirrorIndents/>
        <w:rPr>
          <w:rFonts w:eastAsia="Times New Roman" w:cs="Times New Roman"/>
          <w:szCs w:val="20"/>
        </w:rPr>
      </w:pPr>
    </w:p>
    <w:p w:rsidR="00A45935" w:rsidRPr="00F117CA" w:rsidRDefault="00754AD5" w:rsidP="00754AD5">
      <w:pPr>
        <w:pStyle w:val="HHeadingfigures"/>
        <w:tabs>
          <w:tab w:val="clear" w:pos="964"/>
        </w:tabs>
      </w:pPr>
      <w:bookmarkStart w:id="95" w:name="Steps_of_the_screenig"/>
      <w:bookmarkStart w:id="96" w:name="_Toc508377963"/>
      <w:bookmarkEnd w:id="95"/>
      <w:r w:rsidRPr="00754AD5">
        <w:t xml:space="preserve"> </w:t>
      </w:r>
      <w:r w:rsidR="00626C0C">
        <w:t>Schritte zur Untersuchung des Innovationspotenzials einer Maßnahme/Teilmaßnahme eines Programms zur Entwicklung des ländlichen Raums</w:t>
      </w:r>
      <w:bookmarkEnd w:id="96"/>
    </w:p>
    <w:p w:rsidR="00A45935" w:rsidRPr="00E05D08" w:rsidRDefault="004F1EC2" w:rsidP="006864FC">
      <w:pPr>
        <w:suppressAutoHyphens/>
        <w:spacing w:before="60" w:after="0" w:line="240" w:lineRule="auto"/>
        <w:ind w:right="1134"/>
        <w:mirrorIndents/>
        <w:jc w:val="center"/>
        <w:rPr>
          <w:rFonts w:eastAsia="Times New Roman" w:cs="Times New Roman"/>
          <w:i/>
          <w:sz w:val="16"/>
          <w:szCs w:val="20"/>
          <w:lang w:eastAsia="de-DE"/>
        </w:rPr>
      </w:pPr>
      <w:r w:rsidRPr="004F1EC2">
        <w:rPr>
          <w:noProof/>
          <w:lang w:val="en-GB" w:eastAsia="en-GB"/>
        </w:rPr>
        <w:drawing>
          <wp:inline distT="0" distB="0" distL="0" distR="0" wp14:anchorId="44C811A5" wp14:editId="4A59B47E">
            <wp:extent cx="5731501" cy="2525319"/>
            <wp:effectExtent l="0" t="0" r="317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1607"/>
                    <a:stretch/>
                  </pic:blipFill>
                  <pic:spPr bwMode="auto">
                    <a:xfrm>
                      <a:off x="0" y="0"/>
                      <a:ext cx="5731510" cy="2525323"/>
                    </a:xfrm>
                    <a:prstGeom prst="rect">
                      <a:avLst/>
                    </a:prstGeom>
                    <a:noFill/>
                    <a:ln>
                      <a:noFill/>
                    </a:ln>
                    <a:extLst>
                      <a:ext uri="{53640926-AAD7-44D8-BBD7-CCE9431645EC}">
                        <a14:shadowObscured xmlns:a14="http://schemas.microsoft.com/office/drawing/2010/main"/>
                      </a:ext>
                    </a:extLst>
                  </pic:spPr>
                </pic:pic>
              </a:graphicData>
            </a:graphic>
          </wp:inline>
        </w:drawing>
      </w:r>
    </w:p>
    <w:p w:rsidR="00A45935" w:rsidRDefault="00A45935" w:rsidP="00E05D08">
      <w:pPr>
        <w:suppressAutoHyphens/>
        <w:spacing w:before="60" w:after="0" w:line="240" w:lineRule="auto"/>
        <w:ind w:left="1134" w:right="1134"/>
        <w:mirrorIndents/>
        <w:jc w:val="center"/>
        <w:rPr>
          <w:rFonts w:eastAsia="Times New Roman" w:cs="Times New Roman"/>
          <w:i/>
          <w:sz w:val="16"/>
          <w:szCs w:val="20"/>
        </w:rPr>
      </w:pPr>
      <w:r>
        <w:rPr>
          <w:i/>
          <w:sz w:val="16"/>
          <w:szCs w:val="20"/>
        </w:rPr>
        <w:t>Quelle: Europäischer Evaluierungs-Helpdesk für ländliche Entwicklung, 2017.</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Was genau sollte bei einem Programm zur Entwicklung des ländlichen Raums geprüft werden?</w:t>
      </w:r>
    </w:p>
    <w:p w:rsidR="00A45935" w:rsidRPr="00E05D08" w:rsidRDefault="007A450E" w:rsidP="00E05D08">
      <w:pPr>
        <w:spacing w:after="120" w:line="280" w:lineRule="atLeast"/>
        <w:mirrorIndents/>
        <w:rPr>
          <w:rFonts w:eastAsia="Times New Roman" w:cs="Times New Roman"/>
          <w:szCs w:val="20"/>
        </w:rPr>
      </w:pPr>
      <w:r w:rsidRPr="00E05D08">
        <w:rPr>
          <w:rFonts w:eastAsia="Times New Roman" w:cs="Times New Roman"/>
          <w:noProof/>
          <w:szCs w:val="20"/>
          <w:lang w:val="en-GB" w:eastAsia="en-GB"/>
        </w:rPr>
        <mc:AlternateContent>
          <mc:Choice Requires="wps">
            <w:drawing>
              <wp:anchor distT="0" distB="0" distL="114300" distR="114300" simplePos="0" relativeHeight="251740160" behindDoc="0" locked="0" layoutInCell="1" allowOverlap="1" wp14:anchorId="6B06FF44" wp14:editId="067BBDE1">
                <wp:simplePos x="0" y="0"/>
                <wp:positionH relativeFrom="column">
                  <wp:posOffset>3064510</wp:posOffset>
                </wp:positionH>
                <wp:positionV relativeFrom="paragraph">
                  <wp:posOffset>100330</wp:posOffset>
                </wp:positionV>
                <wp:extent cx="2640965" cy="3619500"/>
                <wp:effectExtent l="0" t="0" r="26035" b="19050"/>
                <wp:wrapSquare wrapText="bothSides"/>
                <wp:docPr id="64" name="Rectangle: Diagonal Corners Rounded 64"/>
                <wp:cNvGraphicFramePr/>
                <a:graphic xmlns:a="http://schemas.openxmlformats.org/drawingml/2006/main">
                  <a:graphicData uri="http://schemas.microsoft.com/office/word/2010/wordprocessingShape">
                    <wps:wsp>
                      <wps:cNvSpPr/>
                      <wps:spPr>
                        <a:xfrm>
                          <a:off x="0" y="0"/>
                          <a:ext cx="2640965" cy="3619500"/>
                        </a:xfrm>
                        <a:prstGeom prst="round2DiagRect">
                          <a:avLst>
                            <a:gd name="adj1" fmla="val 6437"/>
                            <a:gd name="adj2" fmla="val 0"/>
                          </a:avLst>
                        </a:prstGeom>
                        <a:noFill/>
                        <a:ln w="25400" cap="flat" cmpd="sng" algn="ctr">
                          <a:solidFill>
                            <a:srgbClr val="BE4A35"/>
                          </a:solidFill>
                          <a:prstDash val="solid"/>
                        </a:ln>
                        <a:effectLst/>
                      </wps:spPr>
                      <wps:txbx>
                        <w:txbxContent>
                          <w:p w:rsidR="00533F8C" w:rsidRPr="00275EE5" w:rsidRDefault="00533F8C" w:rsidP="00626C0C">
                            <w:pPr>
                              <w:pStyle w:val="Normal12PTcouleurgris"/>
                            </w:pPr>
                            <w:r>
                              <w:rPr>
                                <w:noProof/>
                                <w:lang w:val="en-GB" w:eastAsia="en-GB"/>
                              </w:rPr>
                              <w:drawing>
                                <wp:inline distT="0" distB="0" distL="0" distR="0" wp14:anchorId="06FEEC6B" wp14:editId="7CC0701A">
                                  <wp:extent cx="664845" cy="487680"/>
                                  <wp:effectExtent l="0" t="0" r="0" b="7620"/>
                                  <wp:docPr id="732"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Laut Artikel 15 der Verordnung (EU) Nr. 1305/2013 müssen sieben Elemente von</w:t>
                            </w:r>
                            <w:r>
                              <w:rPr>
                                <w:color w:val="BE4A35"/>
                                <w:sz w:val="18"/>
                              </w:rPr>
                              <w:t xml:space="preserve"> </w:t>
                            </w:r>
                            <w:r>
                              <w:rPr>
                                <w:b/>
                                <w:color w:val="BE4A35"/>
                                <w:sz w:val="18"/>
                              </w:rPr>
                              <w:t>Beratungsdiensten</w:t>
                            </w:r>
                            <w:r>
                              <w:rPr>
                                <w:sz w:val="18"/>
                                <w:vertAlign w:val="superscript"/>
                              </w:rPr>
                              <w:t>45</w:t>
                            </w:r>
                            <w:r>
                              <w:rPr>
                                <w:sz w:val="18"/>
                              </w:rPr>
                              <w:t xml:space="preserve"> abgedeckt werden. In nur einem davon (Nummer 4c) wird ausdrücklich auf Innovation verwiesen. Es gibt weder die Anforderung noch die Gewissheit, dass andere Arten der Beratung (z. B. Nummer 4g – spezifische Beratung für Landwirte, die sich erstmals niederlassen) innovationsfördernd sind. Deshalb kann die Analyse der Gestaltung einer Maßnahme innerhalb eines bestimmten Programms zur Entwicklung des ländlichen Raums Aufschluss darüber geben, ob die Maßnahme (bzw. gegebenenfalls die Teilmaßnahme) für die Innovationsförderung relevant sein könnte.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06FF44" id="Rectangle: Diagonal Corners Rounded 64" o:spid="_x0000_s1037" style="position:absolute;left:0;text-align:left;margin-left:241.3pt;margin-top:7.9pt;width:207.95pt;height:28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40965,3619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" adj="-11796480,,5400" path="m169999,l2640965,r,l2640965,3449501v,93888,-76111,169999,-169999,169999l,3619500r,l,169999c,76111,76111,,169999,xe" filled="f" strokecolor="#be4a35" strokeweight="2pt">
                <v:stroke joinstyle="miter"/>
                <v:formulas/>
                <v:path arrowok="t" o:connecttype="custom" o:connectlocs="169999,0;2640965,0;2640965,0;2640965,3449501;2470966,3619500;0,3619500;0,3619500;0,169999;169999,0" o:connectangles="0,0,0,0,0,0,0,0,0" textboxrect="0,0,2640965,3619500"/>
                <v:textbox>
                  <w:txbxContent>
                    <w:p w:rsidR="00533F8C" w:rsidRPr="00275EE5" w:rsidRDefault="00533F8C" w:rsidP="00626C0C">
                      <w:pPr>
                        <w:pStyle w:val="Normal12PTcouleurgris"/>
                      </w:pPr>
                      <w:r>
                        <w:rPr>
                          <w:noProof/>
                          <w:lang w:val="en-GB" w:eastAsia="en-GB"/>
                        </w:rPr>
                        <w:drawing>
                          <wp:inline distT="0" distB="0" distL="0" distR="0" wp14:anchorId="06FEEC6B" wp14:editId="7CC0701A">
                            <wp:extent cx="664845" cy="487680"/>
                            <wp:effectExtent l="0" t="0" r="0" b="7620"/>
                            <wp:docPr id="732"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Laut Artikel 15 der Verordnung (EU) Nr. 1305/2013 müssen sieben Elemente von</w:t>
                      </w:r>
                      <w:r>
                        <w:rPr>
                          <w:color w:val="BE4A35"/>
                          <w:sz w:val="18"/>
                        </w:rPr>
                        <w:t xml:space="preserve"> </w:t>
                      </w:r>
                      <w:r>
                        <w:rPr>
                          <w:b/>
                          <w:color w:val="BE4A35"/>
                          <w:sz w:val="18"/>
                        </w:rPr>
                        <w:t>Beratungsdiensten</w:t>
                      </w:r>
                      <w:r>
                        <w:rPr>
                          <w:sz w:val="18"/>
                          <w:vertAlign w:val="superscript"/>
                        </w:rPr>
                        <w:t>45</w:t>
                      </w:r>
                      <w:r>
                        <w:rPr>
                          <w:sz w:val="18"/>
                        </w:rPr>
                        <w:t xml:space="preserve"> abgedeckt werden. In nur einem davon (Nummer 4c) wird ausdrücklich auf Innovation verwiesen. Es gibt weder die Anforderung noch die Gewissheit, dass andere Arten der Beratung (z. B. Nummer 4g – spezifische Beratung für Landwirte, die sich erstmals niederlassen) innovationsfördernd sind. Deshalb kann die Analyse der Gestaltung einer Maßnahme innerhalb eines bestimmten Programms zur Entwicklung des ländlichen Raums Aufschluss darüber geben, ob die Maßnahme (bzw. gegebenenfalls die Teilmaßnahme) für die Innovationsförderung relevant sein könnte.</w:t>
                      </w:r>
                    </w:p>
                  </w:txbxContent>
                </v:textbox>
                <w10:wrap type="square"/>
              </v:shape>
            </w:pict>
          </mc:Fallback>
        </mc:AlternateContent>
      </w:r>
      <w:r>
        <w:rPr>
          <w:b/>
          <w:szCs w:val="20"/>
        </w:rPr>
        <w:t>Bei der Untersuchung</w:t>
      </w:r>
      <w:r>
        <w:t xml:space="preserve"> </w:t>
      </w:r>
      <w:r>
        <w:rPr>
          <w:b/>
          <w:szCs w:val="20"/>
        </w:rPr>
        <w:t>sollte schwerpunktmäßig die Fähigkeit sowohl von Einzelmaßnahmen als auch von Gruppen von Maßnahmen innerhalb eines Schwerpunktbereichs</w:t>
      </w:r>
      <w:r>
        <w:t xml:space="preserve"> geprüft werden, Innovationen zu fördern (z. B. deren Fähigkeit, zu den drei Innovationspfaden beizutragen, die in </w:t>
      </w:r>
      <w:hyperlink w:anchor="Innovation_RD" w:history="1">
        <w:r>
          <w:rPr>
            <w:rStyle w:val="Hyperlink"/>
            <w:sz w:val="20"/>
            <w:szCs w:val="20"/>
          </w:rPr>
          <w:t>Kapitel 1.1</w:t>
        </w:r>
      </w:hyperlink>
      <w:r>
        <w:t xml:space="preserve"> erläutert werden).</w:t>
      </w:r>
      <w:r w:rsidR="00A45935" w:rsidRPr="00576A73">
        <w:rPr>
          <w:rStyle w:val="FootnoteReference"/>
          <w:rFonts w:eastAsia="Times New Roman" w:cs="Times New Roman"/>
          <w:color w:val="FFFFFF" w:themeColor="background1"/>
          <w:szCs w:val="20"/>
          <w:lang w:eastAsia="de-DE"/>
        </w:rPr>
        <w:footnoteReference w:id="45"/>
      </w:r>
      <w:r>
        <w:t xml:space="preserve"> Entsprechend kann das </w:t>
      </w:r>
      <w:r>
        <w:rPr>
          <w:b/>
          <w:szCs w:val="20"/>
        </w:rPr>
        <w:t>Potenzial zur Innovationsförderung eines nationalen Netzwerks für den ländlichen Raum</w:t>
      </w:r>
      <w:r>
        <w:t xml:space="preserve"> durch eine Untersuchung der Maßnahmen des Netzwerks bestimmt werden (siehe </w:t>
      </w:r>
      <w:hyperlink w:anchor="CEQ_NRN" w:history="1">
        <w:r>
          <w:rPr>
            <w:rStyle w:val="Hyperlink"/>
            <w:sz w:val="20"/>
            <w:szCs w:val="20"/>
          </w:rPr>
          <w:t>Abschnitt 2.4.3</w:t>
        </w:r>
      </w:hyperlink>
      <w:r>
        <w:t xml:space="preserve">). </w:t>
      </w:r>
    </w:p>
    <w:p w:rsidR="00A45935" w:rsidRPr="00E05D08" w:rsidRDefault="00A45935" w:rsidP="00E05D08">
      <w:pPr>
        <w:spacing w:after="120" w:line="280" w:lineRule="atLeast"/>
        <w:mirrorIndents/>
        <w:rPr>
          <w:rFonts w:eastAsia="Times New Roman" w:cs="Times New Roman"/>
          <w:szCs w:val="20"/>
        </w:rPr>
      </w:pPr>
      <w:r>
        <w:t xml:space="preserve">Insgesamt sollten bei der Untersuchung des Innovationspotenzials mindestens die Maßnahmen im Zusammenhang mit folgenden CEQ geprüft werden: </w:t>
      </w:r>
    </w:p>
    <w:p w:rsidR="00A45935" w:rsidRPr="00E05D08"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t>Die CEQ Nr. 1 steht im Zusammenhang mit M1, M2 und M16 (Artikel 14, 15 und 35 der Verordnung (EU) Nr. 1305/2013). Die Untersuchung konzentriert sich schwerpunktmäßig auf das Innovationspotenzial dieser Maßnahmen und soll bei der Beantwortung des innovationsbezogenen Teils der CEQ helfen.</w:t>
      </w:r>
    </w:p>
    <w:p w:rsidR="00A45935" w:rsidRPr="00E05D08"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t xml:space="preserve">Die CEQ Nr. 2 steht im Zusammenhang mit M16 (Zusammenarbeit). Bei den Teilmaßnahmen der M16 wird hauptsächlich untersucht, ob sie das Potenzial haben, zu den drei </w:t>
      </w:r>
      <w:r>
        <w:lastRenderedPageBreak/>
        <w:t>Innovationspfaden beizutragen. Die Ergebnisse sollen bei der Beantwortung des innovationsbezogenen Teils der CEQ helfen.</w:t>
      </w:r>
    </w:p>
    <w:p w:rsidR="00A45935" w:rsidRPr="00E05D08" w:rsidRDefault="00A45935" w:rsidP="007A450E">
      <w:pPr>
        <w:numPr>
          <w:ilvl w:val="0"/>
          <w:numId w:val="3"/>
        </w:numPr>
        <w:tabs>
          <w:tab w:val="clear" w:pos="644"/>
        </w:tabs>
        <w:spacing w:before="60" w:after="120" w:line="280" w:lineRule="atLeast"/>
        <w:ind w:hanging="567"/>
        <w:mirrorIndents/>
        <w:rPr>
          <w:rFonts w:eastAsia="Times New Roman" w:cs="Times New Roman"/>
          <w:szCs w:val="20"/>
        </w:rPr>
      </w:pPr>
      <w:r>
        <w:t>Die CEQ Nr. 21 deckt die vier Zielvorgaben der nationalen Netzwerke für den ländlichen Raum ab. Bei der Untersuchung des Innovationspotenzials der NRN geht es schwerpunktmäßig um die Maßnahmen der NRN, die zum gemeinsamen Ziel der NRN beitragen, nämlich „die Innovation in der Landwirtschaft, der Nahrungsmittelerzeugung, der Forstwirtschaft und in ländlichen Gebieten zu fördern“. Die Untersuchung soll bei der Beantwortung des innovationsbezogenen Teils der CEQ helfen.</w:t>
      </w:r>
    </w:p>
    <w:p w:rsidR="00A45935" w:rsidRPr="00E05D08" w:rsidRDefault="00A45935" w:rsidP="00E05D08">
      <w:pPr>
        <w:numPr>
          <w:ilvl w:val="0"/>
          <w:numId w:val="3"/>
        </w:numPr>
        <w:spacing w:before="60" w:after="120" w:line="280" w:lineRule="atLeast"/>
        <w:ind w:hanging="567"/>
        <w:mirrorIndents/>
        <w:rPr>
          <w:rFonts w:eastAsia="Times New Roman" w:cs="Times New Roman"/>
          <w:szCs w:val="20"/>
        </w:rPr>
      </w:pPr>
      <w:r>
        <w:t>Die CEQ Nr. 23 wird mit der Bewertung des Beitrags des Programms zur Entwicklung des ländlichen Raums zur Verwirklichung des FuE-/innovationsbezogenen Kernziels beantwortet, 3 % des BIP der EU (aus öffentlichen und privaten Mitteln)</w:t>
      </w:r>
      <w:r w:rsidRPr="00E05D08">
        <w:rPr>
          <w:rFonts w:eastAsia="Times New Roman" w:cs="Times New Roman"/>
          <w:szCs w:val="20"/>
          <w:vertAlign w:val="superscript"/>
          <w:lang w:eastAsia="de-DE"/>
        </w:rPr>
        <w:footnoteReference w:id="46"/>
      </w:r>
      <w:r>
        <w:t xml:space="preserve"> zu erreichen, unter gleichzeitiger Verwendung der mit diesem Ziel verbundenen Indikatoren. Die Untersuchung des Innovationspotenzials aller Maßnahmen im Rahmen der Programme zur Entwicklung des ländlichen Raums ist wichtig, um: a) innovationsfördernde Maßnahmen zu ermitteln und b) bei der Berechnung der Indikatoren zur Beantwortung der CEQ Nr. 23 die Ausgaben in Verbindung mit diesen Maßnahmen zu berücksichtigen.</w:t>
      </w:r>
    </w:p>
    <w:p w:rsidR="00A45935" w:rsidRPr="00E05D08" w:rsidRDefault="00A45935" w:rsidP="00E05D08">
      <w:pPr>
        <w:numPr>
          <w:ilvl w:val="0"/>
          <w:numId w:val="3"/>
        </w:numPr>
        <w:spacing w:before="60" w:after="120" w:line="280" w:lineRule="atLeast"/>
        <w:ind w:hanging="567"/>
        <w:mirrorIndents/>
        <w:rPr>
          <w:rFonts w:eastAsia="Times New Roman" w:cs="Times New Roman"/>
          <w:szCs w:val="20"/>
        </w:rPr>
      </w:pPr>
      <w:r>
        <w:t xml:space="preserve">Die CEQ Nr. 30 steht im Zusammenhang mit dem innovationsbezogenen Querschnittsziel. Hierbei werden in den jeweiligen Schwerpunktbereichen alle Maßnahmen/Teilmaßnahmen und deren Kombinationen untersucht, um jene Maßnahmen/Teilmaßnahmen zu ermitteln, die über die drei Innovationspfade potenziell innovationsfördernd sein könnten. Diese Analyse erleichtert dem Bewerter die Erarbeitung einer Fallstudienbewertung auf der Grundlage der Theorie des Wandels, deren Verwendung zur Beantwortung der CEQ Nr. 30 empfohlen wird.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Was ist das Ergebnis? </w:t>
      </w:r>
    </w:p>
    <w:p w:rsidR="00A45935" w:rsidRDefault="00A45935" w:rsidP="00E05D08">
      <w:pPr>
        <w:spacing w:after="120" w:line="280" w:lineRule="atLeast"/>
        <w:mirrorIndents/>
        <w:rPr>
          <w:rFonts w:eastAsia="Times New Roman" w:cs="Times New Roman"/>
          <w:szCs w:val="20"/>
        </w:rPr>
      </w:pPr>
      <w:r>
        <w:rPr>
          <w:b/>
          <w:szCs w:val="20"/>
        </w:rPr>
        <w:t>Die Untersuchung soll dazu beitragen, die innovationsbezogene Interventionslogik der Programm</w:t>
      </w:r>
      <w:r w:rsidR="000D1B3B">
        <w:rPr>
          <w:b/>
          <w:szCs w:val="20"/>
        </w:rPr>
        <w:t>e</w:t>
      </w:r>
      <w:r>
        <w:rPr>
          <w:b/>
          <w:szCs w:val="20"/>
        </w:rPr>
        <w:t xml:space="preserve"> zur Entwicklung des ländlichen Raums zu verdeutlichen.</w:t>
      </w:r>
      <w:r>
        <w:t xml:space="preserve"> Im Rahmen der Untersuchung werden die Maßnahmen der Programme zur Entwicklung des ländlichen Raums mit dem größten Potenzial zur Innovationsförderung ermittelt und gleichzeitig wird aufgezeigt, zu welchen Bereichen (Pfaden) die Maßnahmen gehören. Bei der späteren Bewertung der Auswirkungen werden die Untersuchungsergebnisse herangezogen, um die potenziellen Erfolge des Programms zur Entwicklung des ländlichen Raums im Hinblick auf die Innovationsförderung mit den tatsächlichen Erfolgen zu vergleichen. Dadurch kann sich der Bewerter bei seiner Arbeit stärker auf die Maßnahmen und Teilmaßnahme konzentrieren, die als besonders relevant für die Förderung von Innovation gelten. </w:t>
      </w:r>
    </w:p>
    <w:p w:rsidR="007A450E" w:rsidRPr="00E05D08" w:rsidRDefault="009C60A9" w:rsidP="00E05D08">
      <w:pPr>
        <w:spacing w:after="120" w:line="280" w:lineRule="atLeast"/>
        <w:mirrorIndents/>
        <w:rPr>
          <w:rFonts w:eastAsia="Times New Roman" w:cs="Times New Roman"/>
          <w:szCs w:val="20"/>
          <w:lang w:eastAsia="de-DE"/>
        </w:rPr>
      </w:pPr>
      <w:r w:rsidRPr="00E05D08">
        <w:rPr>
          <w:b/>
          <w:noProof/>
          <w:lang w:val="en-GB" w:eastAsia="en-GB"/>
        </w:rPr>
        <w:lastRenderedPageBreak/>
        <mc:AlternateContent>
          <mc:Choice Requires="wps">
            <w:drawing>
              <wp:anchor distT="0" distB="0" distL="114300" distR="114300" simplePos="0" relativeHeight="251742208" behindDoc="0" locked="0" layoutInCell="1" allowOverlap="1" wp14:anchorId="5430230D" wp14:editId="55BD7A0B">
                <wp:simplePos x="0" y="0"/>
                <wp:positionH relativeFrom="page">
                  <wp:posOffset>1445667</wp:posOffset>
                </wp:positionH>
                <wp:positionV relativeFrom="page">
                  <wp:posOffset>924778</wp:posOffset>
                </wp:positionV>
                <wp:extent cx="4153535" cy="2962275"/>
                <wp:effectExtent l="0" t="0" r="18415" b="28575"/>
                <wp:wrapSquare wrapText="bothSides"/>
                <wp:docPr id="67" name="Rectangle: Diagonal Corners Rounded 67"/>
                <wp:cNvGraphicFramePr/>
                <a:graphic xmlns:a="http://schemas.openxmlformats.org/drawingml/2006/main">
                  <a:graphicData uri="http://schemas.microsoft.com/office/word/2010/wordprocessingShape">
                    <wps:wsp>
                      <wps:cNvSpPr/>
                      <wps:spPr>
                        <a:xfrm>
                          <a:off x="0" y="0"/>
                          <a:ext cx="4153535" cy="2962275"/>
                        </a:xfrm>
                        <a:prstGeom prst="round2DiagRect">
                          <a:avLst>
                            <a:gd name="adj1" fmla="val 9754"/>
                            <a:gd name="adj2" fmla="val 0"/>
                          </a:avLst>
                        </a:prstGeom>
                        <a:noFill/>
                        <a:ln w="25400" cap="flat" cmpd="sng" algn="ctr">
                          <a:solidFill>
                            <a:srgbClr val="8BAB80"/>
                          </a:solidFill>
                          <a:prstDash val="solid"/>
                        </a:ln>
                        <a:effectLst/>
                      </wps:spPr>
                      <wps:txbx>
                        <w:txbxContent>
                          <w:p w:rsidR="00533F8C" w:rsidRPr="00275EE5" w:rsidRDefault="00533F8C" w:rsidP="007A450E">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002"/>
                              <w:gridCol w:w="2945"/>
                            </w:tblGrid>
                            <w:tr w:rsidR="00533F8C" w:rsidRPr="0079762F" w:rsidTr="00E05D08">
                              <w:tc>
                                <w:tcPr>
                                  <w:tcW w:w="3402" w:type="dxa"/>
                                  <w:shd w:val="clear" w:color="auto" w:fill="FFFFFF"/>
                                </w:tcPr>
                                <w:p w:rsidR="00533F8C" w:rsidRPr="00B63DE8" w:rsidRDefault="00533F8C" w:rsidP="007A450E">
                                  <w:pPr>
                                    <w:suppressOverlap/>
                                    <w:jc w:val="left"/>
                                    <w:rPr>
                                      <w:rFonts w:cs="Arial"/>
                                      <w:b/>
                                      <w:color w:val="404040"/>
                                      <w:szCs w:val="18"/>
                                    </w:rPr>
                                  </w:pPr>
                                  <w:r>
                                    <w:rPr>
                                      <w:b/>
                                      <w:color w:val="404040"/>
                                      <w:szCs w:val="18"/>
                                    </w:rPr>
                                    <w:t>Dos</w:t>
                                  </w:r>
                                </w:p>
                                <w:p w:rsidR="00533F8C" w:rsidRPr="00B63DE8" w:rsidRDefault="00533F8C" w:rsidP="007A450E">
                                  <w:pPr>
                                    <w:pStyle w:val="Hlistbullet"/>
                                    <w:spacing w:line="160" w:lineRule="atLeast"/>
                                    <w:jc w:val="left"/>
                                    <w:rPr>
                                      <w:sz w:val="18"/>
                                      <w:szCs w:val="18"/>
                                    </w:rPr>
                                  </w:pPr>
                                  <w:r>
                                    <w:rPr>
                                      <w:sz w:val="18"/>
                                      <w:szCs w:val="18"/>
                                    </w:rPr>
                                    <w:t xml:space="preserve">Bewertung der Maßnahmengestaltung (Verbindung zu Bedürfnissen, Ziele, Auswahlkriterien, Begünstigte) im Hinblick darauf, ob und inwieweit ein Potenzial zur Innovationsförderung vorliegt. </w:t>
                                  </w:r>
                                </w:p>
                                <w:p w:rsidR="00533F8C" w:rsidRPr="00B63DE8" w:rsidRDefault="00533F8C" w:rsidP="007A450E">
                                  <w:pPr>
                                    <w:pStyle w:val="Hlistbullet"/>
                                    <w:spacing w:line="160" w:lineRule="atLeast"/>
                                    <w:jc w:val="left"/>
                                  </w:pPr>
                                  <w:r>
                                    <w:rPr>
                                      <w:sz w:val="18"/>
                                      <w:szCs w:val="18"/>
                                    </w:rPr>
                                    <w:t>Feststellung der innovationsbezogenen Interventionslogik, die dem Programm zur Entwicklung des ländlichen Raums zugrunde liegt.</w:t>
                                  </w:r>
                                  <w:r>
                                    <w:t xml:space="preserve"> </w:t>
                                  </w:r>
                                </w:p>
                              </w:tc>
                              <w:tc>
                                <w:tcPr>
                                  <w:tcW w:w="3402" w:type="dxa"/>
                                  <w:shd w:val="clear" w:color="auto" w:fill="auto"/>
                                </w:tcPr>
                                <w:p w:rsidR="00533F8C" w:rsidRPr="00B63DE8" w:rsidRDefault="00533F8C" w:rsidP="007A450E">
                                  <w:pPr>
                                    <w:suppressOverlap/>
                                    <w:jc w:val="left"/>
                                    <w:rPr>
                                      <w:rFonts w:cs="Arial"/>
                                      <w:b/>
                                      <w:color w:val="404040"/>
                                      <w:szCs w:val="18"/>
                                    </w:rPr>
                                  </w:pPr>
                                  <w:r>
                                    <w:rPr>
                                      <w:b/>
                                      <w:color w:val="404040"/>
                                      <w:szCs w:val="18"/>
                                    </w:rPr>
                                    <w:t>Don‘ts</w:t>
                                  </w:r>
                                </w:p>
                                <w:p w:rsidR="00533F8C" w:rsidRPr="00B63DE8" w:rsidRDefault="00533F8C" w:rsidP="007A450E">
                                  <w:pPr>
                                    <w:pStyle w:val="Hlistbullet"/>
                                    <w:spacing w:line="160" w:lineRule="atLeast"/>
                                    <w:jc w:val="left"/>
                                    <w:rPr>
                                      <w:sz w:val="18"/>
                                      <w:szCs w:val="18"/>
                                    </w:rPr>
                                  </w:pPr>
                                  <w:r>
                                    <w:rPr>
                                      <w:sz w:val="18"/>
                                      <w:szCs w:val="18"/>
                                    </w:rPr>
                                    <w:t xml:space="preserve">Beschränkung der Untersuchung des Innovationspotenzials des Programms zur Entwicklung des ländlichen Raums auf die Erwähnung des Wortes „innovativ“ in den Auswahlkriterien und in den Maßnahmen. </w:t>
                                  </w:r>
                                </w:p>
                                <w:p w:rsidR="00533F8C" w:rsidRPr="00B63DE8" w:rsidRDefault="00533F8C" w:rsidP="007A450E">
                                  <w:pPr>
                                    <w:suppressOverlap/>
                                    <w:jc w:val="left"/>
                                    <w:rPr>
                                      <w:rFonts w:cs="Arial"/>
                                      <w:color w:val="1A1A1A"/>
                                      <w:szCs w:val="18"/>
                                    </w:rPr>
                                  </w:pPr>
                                </w:p>
                              </w:tc>
                            </w:tr>
                          </w:tbl>
                          <w:p w:rsidR="00533F8C" w:rsidRPr="00275EE5" w:rsidRDefault="00533F8C" w:rsidP="007A450E">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0230D" id="Rectangle: Diagonal Corners Rounded 67" o:spid="_x0000_s1038" style="position:absolute;left:0;text-align:left;margin-left:113.85pt;margin-top:72.8pt;width:327.05pt;height:233.2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153535,2962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" adj="-11796480,,5400" path="m288940,l4153535,r,l4153535,2673335v,159577,-129363,288940,-288940,288940l,2962275r,l,288940c,129363,129363,,288940,xe" filled="f" strokecolor="#8bab80" strokeweight="2pt">
                <v:stroke joinstyle="miter"/>
                <v:formulas/>
                <v:path arrowok="t" o:connecttype="custom" o:connectlocs="288940,0;4153535,0;4153535,0;4153535,2673335;3864595,2962275;0,2962275;0,2962275;0,288940;288940,0" o:connectangles="0,0,0,0,0,0,0,0,0" textboxrect="0,0,4153535,2962275"/>
                <v:textbox>
                  <w:txbxContent>
                    <w:p w:rsidR="00533F8C" w:rsidRPr="00275EE5" w:rsidRDefault="00533F8C" w:rsidP="007A450E">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002"/>
                        <w:gridCol w:w="2945"/>
                      </w:tblGrid>
                      <w:tr w:rsidR="00533F8C" w:rsidRPr="0079762F" w:rsidTr="00E05D08">
                        <w:tc>
                          <w:tcPr>
                            <w:tcW w:w="3402" w:type="dxa"/>
                            <w:shd w:val="clear" w:color="auto" w:fill="FFFFFF"/>
                          </w:tcPr>
                          <w:p w:rsidR="00533F8C" w:rsidRPr="00B63DE8" w:rsidRDefault="00533F8C" w:rsidP="007A450E">
                            <w:pPr>
                              <w:suppressOverlap/>
                              <w:jc w:val="left"/>
                              <w:rPr>
                                <w:rFonts w:cs="Arial"/>
                                <w:b/>
                                <w:color w:val="404040"/>
                                <w:szCs w:val="18"/>
                              </w:rPr>
                            </w:pPr>
                            <w:r>
                              <w:rPr>
                                <w:b/>
                                <w:color w:val="404040"/>
                                <w:szCs w:val="18"/>
                              </w:rPr>
                              <w:t>Dos</w:t>
                            </w:r>
                          </w:p>
                          <w:p w:rsidR="00533F8C" w:rsidRPr="00B63DE8" w:rsidRDefault="00533F8C" w:rsidP="007A450E">
                            <w:pPr>
                              <w:pStyle w:val="Hlistbullet"/>
                              <w:spacing w:line="160" w:lineRule="atLeast"/>
                              <w:jc w:val="left"/>
                              <w:rPr>
                                <w:sz w:val="18"/>
                                <w:szCs w:val="18"/>
                              </w:rPr>
                            </w:pPr>
                            <w:r>
                              <w:rPr>
                                <w:sz w:val="18"/>
                                <w:szCs w:val="18"/>
                              </w:rPr>
                              <w:t xml:space="preserve">Bewertung der Maßnahmengestaltung (Verbindung zu Bedürfnissen, Ziele, Auswahlkriterien, Begünstigte) im Hinblick darauf, ob und inwieweit ein Potenzial zur Innovationsförderung vorliegt. </w:t>
                            </w:r>
                          </w:p>
                          <w:p w:rsidR="00533F8C" w:rsidRPr="00B63DE8" w:rsidRDefault="00533F8C" w:rsidP="007A450E">
                            <w:pPr>
                              <w:pStyle w:val="Hlistbullet"/>
                              <w:spacing w:line="160" w:lineRule="atLeast"/>
                              <w:jc w:val="left"/>
                            </w:pPr>
                            <w:r>
                              <w:rPr>
                                <w:sz w:val="18"/>
                                <w:szCs w:val="18"/>
                              </w:rPr>
                              <w:t>Feststellung der innovationsbezogenen Interventionslogik, die dem Programm zur Entwicklung des ländlichen Raums zugrunde liegt.</w:t>
                            </w:r>
                            <w:r>
                              <w:t xml:space="preserve"> </w:t>
                            </w:r>
                          </w:p>
                        </w:tc>
                        <w:tc>
                          <w:tcPr>
                            <w:tcW w:w="3402" w:type="dxa"/>
                            <w:shd w:val="clear" w:color="auto" w:fill="auto"/>
                          </w:tcPr>
                          <w:p w:rsidR="00533F8C" w:rsidRPr="00B63DE8" w:rsidRDefault="00533F8C" w:rsidP="007A450E">
                            <w:pPr>
                              <w:suppressOverlap/>
                              <w:jc w:val="left"/>
                              <w:rPr>
                                <w:rFonts w:cs="Arial"/>
                                <w:b/>
                                <w:color w:val="404040"/>
                                <w:szCs w:val="18"/>
                              </w:rPr>
                            </w:pPr>
                            <w:r>
                              <w:rPr>
                                <w:b/>
                                <w:color w:val="404040"/>
                                <w:szCs w:val="18"/>
                              </w:rPr>
                              <w:t>Don‘ts</w:t>
                            </w:r>
                          </w:p>
                          <w:p w:rsidR="00533F8C" w:rsidRPr="00B63DE8" w:rsidRDefault="00533F8C" w:rsidP="007A450E">
                            <w:pPr>
                              <w:pStyle w:val="Hlistbullet"/>
                              <w:spacing w:line="160" w:lineRule="atLeast"/>
                              <w:jc w:val="left"/>
                              <w:rPr>
                                <w:sz w:val="18"/>
                                <w:szCs w:val="18"/>
                              </w:rPr>
                            </w:pPr>
                            <w:r>
                              <w:rPr>
                                <w:sz w:val="18"/>
                                <w:szCs w:val="18"/>
                              </w:rPr>
                              <w:t xml:space="preserve">Beschränkung der Untersuchung des Innovationspotenzials des Programms zur Entwicklung des ländlichen Raums auf die Erwähnung des Wortes „innovativ“ in den Auswahlkriterien und in den Maßnahmen. </w:t>
                            </w:r>
                          </w:p>
                          <w:p w:rsidR="00533F8C" w:rsidRPr="00B63DE8" w:rsidRDefault="00533F8C" w:rsidP="007A450E">
                            <w:pPr>
                              <w:suppressOverlap/>
                              <w:jc w:val="left"/>
                              <w:rPr>
                                <w:rFonts w:cs="Arial"/>
                                <w:color w:val="1A1A1A"/>
                                <w:szCs w:val="18"/>
                              </w:rPr>
                            </w:pPr>
                          </w:p>
                        </w:tc>
                      </w:tr>
                    </w:tbl>
                    <w:p w:rsidR="00533F8C" w:rsidRPr="00275EE5" w:rsidRDefault="00533F8C" w:rsidP="007A450E">
                      <w:pPr>
                        <w:pStyle w:val="Normal12PTcouleurgris"/>
                      </w:pPr>
                    </w:p>
                  </w:txbxContent>
                </v:textbox>
                <w10:wrap type="square" anchorx="page" anchory="page"/>
              </v:shape>
            </w:pict>
          </mc:Fallback>
        </mc:AlternateContent>
      </w:r>
    </w:p>
    <w:p w:rsidR="00A45935" w:rsidRPr="00E05D08" w:rsidRDefault="00A45935" w:rsidP="009F5AB5">
      <w:pPr>
        <w:pStyle w:val="HStandard"/>
      </w:pPr>
    </w:p>
    <w:p w:rsidR="00A45935" w:rsidRPr="00E05D08" w:rsidRDefault="00A45935" w:rsidP="009F5AB5">
      <w:pPr>
        <w:pStyle w:val="HStandard"/>
      </w:pPr>
    </w:p>
    <w:p w:rsidR="00A45935" w:rsidRDefault="00A45935" w:rsidP="009F5AB5">
      <w:pPr>
        <w:pStyle w:val="HStandard"/>
      </w:pPr>
    </w:p>
    <w:p w:rsidR="000A43B7" w:rsidRDefault="000A43B7" w:rsidP="009F5AB5">
      <w:pPr>
        <w:pStyle w:val="HStandard"/>
      </w:pPr>
    </w:p>
    <w:p w:rsidR="000A43B7" w:rsidRDefault="000A43B7" w:rsidP="009F5AB5">
      <w:pPr>
        <w:pStyle w:val="HStandard"/>
      </w:pPr>
    </w:p>
    <w:p w:rsidR="007A450E" w:rsidRDefault="007A450E">
      <w:pPr>
        <w:jc w:val="left"/>
        <w:rPr>
          <w:rFonts w:eastAsia="Times New Roman" w:cs="Times New Roman"/>
          <w:b/>
          <w:szCs w:val="20"/>
        </w:rPr>
      </w:pPr>
      <w:bookmarkStart w:id="97" w:name="_Toc493151903"/>
      <w:bookmarkStart w:id="98" w:name="_Toc501382129"/>
      <w:r>
        <w:br w:type="page"/>
      </w:r>
    </w:p>
    <w:p w:rsidR="00A45935" w:rsidRPr="00FC7364" w:rsidRDefault="00A45935" w:rsidP="00B421B9">
      <w:pPr>
        <w:pStyle w:val="HHeading2"/>
        <w:numPr>
          <w:ilvl w:val="1"/>
          <w:numId w:val="119"/>
        </w:numPr>
        <w:ind w:left="567" w:hanging="567"/>
      </w:pPr>
      <w:bookmarkStart w:id="99" w:name="Complementing"/>
      <w:bookmarkStart w:id="100" w:name="_Toc508377839"/>
      <w:bookmarkEnd w:id="99"/>
      <w:r>
        <w:lastRenderedPageBreak/>
        <w:t>Ergänzung der gemeinsamen Bewertungselemente für Innovation (empfohlen)</w:t>
      </w:r>
      <w:bookmarkEnd w:id="97"/>
      <w:bookmarkEnd w:id="98"/>
      <w:bookmarkEnd w:id="100"/>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Warum und wann sollte das gemeinsame Begleitungs- und Bewertungssystem (CMES) ergänzt werden? </w:t>
      </w:r>
    </w:p>
    <w:p w:rsidR="00A45935" w:rsidRPr="00E05D08" w:rsidRDefault="00A45935" w:rsidP="00E05D08">
      <w:pPr>
        <w:spacing w:after="120" w:line="280" w:lineRule="atLeast"/>
        <w:mirrorIndents/>
        <w:rPr>
          <w:rFonts w:eastAsia="Times New Roman" w:cs="Times New Roman"/>
          <w:szCs w:val="20"/>
        </w:rPr>
      </w:pPr>
      <w:r>
        <w:t xml:space="preserve">Das </w:t>
      </w:r>
      <w:r>
        <w:rPr>
          <w:b/>
          <w:szCs w:val="20"/>
        </w:rPr>
        <w:t xml:space="preserve">CMES sieht </w:t>
      </w:r>
      <w:r w:rsidRPr="00AD4F97">
        <w:rPr>
          <w:szCs w:val="20"/>
        </w:rPr>
        <w:t xml:space="preserve">zur Beantwortung der einschlägigen gemeinsamen Bewertungsfragen Nr. 1, 2 und 21 (siehe </w:t>
      </w:r>
      <w:hyperlink w:anchor="Policy_framework" w:history="1">
        <w:r w:rsidRPr="00794807">
          <w:rPr>
            <w:rStyle w:val="Hyperlink"/>
            <w:sz w:val="20"/>
            <w:szCs w:val="20"/>
          </w:rPr>
          <w:t>Abschnitt 1.2.1</w:t>
        </w:r>
      </w:hyperlink>
      <w:r w:rsidRPr="00AD4F97">
        <w:rPr>
          <w:szCs w:val="20"/>
        </w:rPr>
        <w:t>)</w:t>
      </w:r>
      <w:r>
        <w:rPr>
          <w:b/>
          <w:szCs w:val="20"/>
        </w:rPr>
        <w:t xml:space="preserve"> eine Reihe grundlegender Bewertungselemente vor </w:t>
      </w:r>
      <w:r>
        <w:t xml:space="preserve">(gemeinsame Outputindikatoren). Darüber hinaus enthält das Arbeitspapier </w:t>
      </w:r>
      <w:hyperlink r:id="rId32" w:history="1">
        <w:r w:rsidR="00E80C9F">
          <w:rPr>
            <w:rStyle w:val="Hyperlink"/>
            <w:sz w:val="20"/>
            <w:szCs w:val="20"/>
          </w:rPr>
          <w:t>„</w:t>
        </w:r>
        <w:hyperlink r:id="rId33" w:history="1">
          <w:r w:rsidR="00E80C9F" w:rsidRPr="00AD4F97">
            <w:rPr>
              <w:rStyle w:val="Hyperlink"/>
              <w:rFonts w:eastAsia="Times New Roman" w:cs="Times New Roman"/>
              <w:sz w:val="20"/>
              <w:szCs w:val="20"/>
              <w:lang w:eastAsia="de-DE"/>
            </w:rPr>
            <w:t>Common Evaluation Questions for RDPs 2014-2020</w:t>
          </w:r>
        </w:hyperlink>
      </w:hyperlink>
      <w:r w:rsidR="00E80C9F">
        <w:rPr>
          <w:rStyle w:val="Hyperlink"/>
          <w:sz w:val="20"/>
          <w:szCs w:val="20"/>
        </w:rPr>
        <w:t>“</w:t>
      </w:r>
      <w:r>
        <w:t xml:space="preserve"> </w:t>
      </w:r>
      <w:r w:rsidR="00E80C9F">
        <w:t>(</w:t>
      </w:r>
      <w:r w:rsidR="00E80C9F" w:rsidRPr="00E80C9F">
        <w:t>Gemeinsame Bewertungsfragen für die Programme zur Entwicklung des ländlichen Raums 2014-2020</w:t>
      </w:r>
      <w:r w:rsidR="00E80C9F">
        <w:t xml:space="preserve">) </w:t>
      </w:r>
      <w:r>
        <w:t>Beurteilungskriterien für alle innovationsbezogenen CEQ sowie einige zusätzliche Indikatoren. Die CEQ Nr. 23 ist beispielsweise mit dem Kernziel der Strategie Europa 2020 verbunden, was als Grundlage zur Beantwortung dieser Frage herangezogen werden kann. Die CEQ Nr. 30 ist die einzige Frage mit zusätzlichen Indikatoren</w:t>
      </w:r>
      <w:r w:rsidRPr="00E05D08">
        <w:rPr>
          <w:rFonts w:eastAsia="Times New Roman" w:cs="Times New Roman"/>
          <w:szCs w:val="20"/>
          <w:vertAlign w:val="superscript"/>
          <w:lang w:eastAsia="de-DE"/>
        </w:rPr>
        <w:footnoteReference w:id="47"/>
      </w:r>
      <w:r>
        <w:t xml:space="preserve">. </w:t>
      </w:r>
    </w:p>
    <w:p w:rsidR="00A45935" w:rsidRPr="00E05D08" w:rsidRDefault="00A45935" w:rsidP="00E05D08">
      <w:pPr>
        <w:spacing w:after="120" w:line="280" w:lineRule="atLeast"/>
        <w:mirrorIndents/>
        <w:rPr>
          <w:rFonts w:eastAsia="Times New Roman" w:cs="Times New Roman"/>
          <w:szCs w:val="20"/>
        </w:rPr>
      </w:pPr>
      <w:r>
        <w:rPr>
          <w:b/>
          <w:szCs w:val="20"/>
        </w:rPr>
        <w:t>Die gemeinsamen Bewertungselemente sind</w:t>
      </w:r>
      <w:r>
        <w:t xml:space="preserve"> </w:t>
      </w:r>
      <w:r>
        <w:rPr>
          <w:b/>
          <w:szCs w:val="20"/>
        </w:rPr>
        <w:t>vor Beginn der Bewertung</w:t>
      </w:r>
      <w:r>
        <w:t xml:space="preserve"> </w:t>
      </w:r>
      <w:r w:rsidRPr="00AD4F97">
        <w:rPr>
          <w:b/>
        </w:rPr>
        <w:t>zu prüfen</w:t>
      </w:r>
      <w:r>
        <w:t xml:space="preserve"> und bei Bedarf zu ergänzen. Bei dieser Prüfung können gegebenenfalls die Ergebnisse der Untersuchung des Potenzials des Programms zur Entwicklung des ländlichen Raums zur Förderung von Innovation (siehe </w:t>
      </w:r>
      <w:hyperlink w:anchor="Screening_Potential" w:history="1">
        <w:r>
          <w:rPr>
            <w:rStyle w:val="Hyperlink"/>
            <w:sz w:val="20"/>
            <w:szCs w:val="20"/>
          </w:rPr>
          <w:t>Kapitel 2.2</w:t>
        </w:r>
      </w:hyperlink>
      <w:r>
        <w:t xml:space="preserve">) herangezogen werden.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Welche Schritte sind für die Entwicklung zusätzlicher und programmspezifischer Bewertungselemente erforderlich?</w:t>
      </w:r>
    </w:p>
    <w:p w:rsidR="00A45935" w:rsidRPr="00E05D08" w:rsidRDefault="00A45935" w:rsidP="00E05D08">
      <w:pPr>
        <w:spacing w:after="120" w:line="280" w:lineRule="atLeast"/>
        <w:mirrorIndents/>
        <w:rPr>
          <w:rFonts w:eastAsia="Calibri" w:cs="Times New Roman"/>
          <w:szCs w:val="20"/>
        </w:rPr>
      </w:pPr>
      <w:r>
        <w:t xml:space="preserve">Die Entwicklung zusätzlicher Bewertungselemente (ausführlich beschrieben in den Leitlinien </w:t>
      </w:r>
      <w:hyperlink r:id="rId34" w:history="1">
        <w:r>
          <w:rPr>
            <w:rStyle w:val="Hyperlink"/>
            <w:sz w:val="20"/>
            <w:szCs w:val="20"/>
          </w:rPr>
          <w:t>„Assessment of RDP results: how to prepare for reporting on evaluation in 2017“</w:t>
        </w:r>
      </w:hyperlink>
      <w:r>
        <w:t xml:space="preserve"> (Bewertung der Ergebnisse der Programme zur Entwicklung des ländlichen Raums: Vorbereitung der Berichterstattung über die Bewertung 2017)) lässt sich folgendermaßen zusammenfassen: </w:t>
      </w:r>
    </w:p>
    <w:p w:rsidR="00A45935" w:rsidRPr="00B10B3C" w:rsidRDefault="00576A73" w:rsidP="00B421B9">
      <w:pPr>
        <w:pStyle w:val="Hlistbullet"/>
        <w:rPr>
          <w:rFonts w:eastAsia="Calibri"/>
        </w:rPr>
      </w:pPr>
      <w:r w:rsidRPr="00E05D08">
        <w:rPr>
          <w:noProof/>
          <w:highlight w:val="yellow"/>
          <w:lang w:val="en-GB" w:eastAsia="en-GB"/>
        </w:rPr>
        <mc:AlternateContent>
          <mc:Choice Requires="wps">
            <w:drawing>
              <wp:anchor distT="0" distB="0" distL="114300" distR="114300" simplePos="0" relativeHeight="251710464" behindDoc="0" locked="0" layoutInCell="1" allowOverlap="1" wp14:anchorId="60FFED68" wp14:editId="5543A0D2">
                <wp:simplePos x="0" y="0"/>
                <wp:positionH relativeFrom="column">
                  <wp:posOffset>2722245</wp:posOffset>
                </wp:positionH>
                <wp:positionV relativeFrom="paragraph">
                  <wp:posOffset>67945</wp:posOffset>
                </wp:positionV>
                <wp:extent cx="2941320" cy="2438400"/>
                <wp:effectExtent l="0" t="0" r="11430" b="19050"/>
                <wp:wrapSquare wrapText="bothSides"/>
                <wp:docPr id="34" name="Rectangle: Diagonal Corners Rounded 34"/>
                <wp:cNvGraphicFramePr/>
                <a:graphic xmlns:a="http://schemas.openxmlformats.org/drawingml/2006/main">
                  <a:graphicData uri="http://schemas.microsoft.com/office/word/2010/wordprocessingShape">
                    <wps:wsp>
                      <wps:cNvSpPr/>
                      <wps:spPr>
                        <a:xfrm>
                          <a:off x="0" y="0"/>
                          <a:ext cx="2941320" cy="2438400"/>
                        </a:xfrm>
                        <a:prstGeom prst="round2DiagRect">
                          <a:avLst>
                            <a:gd name="adj1" fmla="val 7843"/>
                            <a:gd name="adj2" fmla="val 0"/>
                          </a:avLst>
                        </a:prstGeom>
                        <a:noFill/>
                        <a:ln w="25400" cap="flat" cmpd="sng" algn="ctr">
                          <a:solidFill>
                            <a:srgbClr val="BE4A35"/>
                          </a:solidFill>
                          <a:prstDash val="solid"/>
                        </a:ln>
                        <a:effectLst/>
                      </wps:spPr>
                      <wps:txbx>
                        <w:txbxContent>
                          <w:p w:rsidR="00533F8C" w:rsidRPr="00D450FE" w:rsidRDefault="00533F8C" w:rsidP="009C60A9">
                            <w:pPr>
                              <w:pStyle w:val="HStandard"/>
                              <w:jc w:val="left"/>
                              <w:rPr>
                                <w:sz w:val="18"/>
                                <w:szCs w:val="18"/>
                              </w:rPr>
                            </w:pPr>
                            <w:r>
                              <w:rPr>
                                <w:noProof/>
                                <w:lang w:val="en-GB" w:eastAsia="en-GB"/>
                              </w:rPr>
                              <w:drawing>
                                <wp:inline distT="0" distB="0" distL="0" distR="0" wp14:anchorId="39B7AFA1" wp14:editId="56D99711">
                                  <wp:extent cx="664845" cy="487680"/>
                                  <wp:effectExtent l="0" t="0" r="0" b="7620"/>
                                  <wp:docPr id="734"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Die zusätzlichen Bewertungselemente (zusätzliche Bewertungsfragen, zusätzliche Beurteilungskriterien und zusätzliche Indikatoren), die im Kapitel 2.4 dieser Leitlinien vorgeschlagen werden, sind </w:t>
                            </w:r>
                            <w:r>
                              <w:rPr>
                                <w:b/>
                                <w:sz w:val="18"/>
                                <w:szCs w:val="18"/>
                              </w:rPr>
                              <w:t xml:space="preserve">NICHT VERBINDLICH! </w:t>
                            </w:r>
                            <w:r>
                              <w:rPr>
                                <w:sz w:val="18"/>
                                <w:szCs w:val="18"/>
                              </w:rPr>
                              <w:t xml:space="preserve">Jede Verwaltungsbehörde kann selbst entscheiden, ob sie eigene zusätzliche und programmspezifische Bewertungselemente entwickeln und verwenden will.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FED68" id="Rectangle: Diagonal Corners Rounded 34" o:spid="_x0000_s1039" style="position:absolute;left:0;text-align:left;margin-left:214.35pt;margin-top:5.35pt;width:231.6pt;height:19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41320,2438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" adj="-11796480,,5400" path="m191244,l2941320,r,l2941320,2247156v,105621,-85623,191244,-191244,191244l,2438400r,l,191244c,85623,85623,,191244,xe" filled="f" strokecolor="#be4a35" strokeweight="2pt">
                <v:stroke joinstyle="miter"/>
                <v:formulas/>
                <v:path arrowok="t" o:connecttype="custom" o:connectlocs="191244,0;2941320,0;2941320,0;2941320,2247156;2750076,2438400;0,2438400;0,2438400;0,191244;191244,0" o:connectangles="0,0,0,0,0,0,0,0,0" textboxrect="0,0,2941320,2438400"/>
                <v:textbox>
                  <w:txbxContent>
                    <w:p w:rsidR="00533F8C" w:rsidRPr="00D450FE" w:rsidRDefault="00533F8C" w:rsidP="009C60A9">
                      <w:pPr>
                        <w:pStyle w:val="HStandard"/>
                        <w:jc w:val="left"/>
                        <w:rPr>
                          <w:sz w:val="18"/>
                          <w:szCs w:val="18"/>
                        </w:rPr>
                      </w:pPr>
                      <w:r>
                        <w:rPr>
                          <w:noProof/>
                          <w:lang w:val="en-GB" w:eastAsia="en-GB"/>
                        </w:rPr>
                        <w:drawing>
                          <wp:inline distT="0" distB="0" distL="0" distR="0" wp14:anchorId="39B7AFA1" wp14:editId="56D99711">
                            <wp:extent cx="664845" cy="487680"/>
                            <wp:effectExtent l="0" t="0" r="0" b="7620"/>
                            <wp:docPr id="734"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Die zusätzlichen Bewertungselemente (zusätzliche Bewertungsfragen, zusätzliche Beurteilungskriterien und zusätzliche Indikatoren), die im Kapitel 2.4 dieser Leitlinien vorgeschlagen werden, sind </w:t>
                      </w:r>
                      <w:r>
                        <w:rPr>
                          <w:b/>
                          <w:sz w:val="18"/>
                          <w:szCs w:val="18"/>
                        </w:rPr>
                        <w:t xml:space="preserve">NICHT VERBINDLICH! </w:t>
                      </w:r>
                      <w:r>
                        <w:rPr>
                          <w:sz w:val="18"/>
                          <w:szCs w:val="18"/>
                        </w:rPr>
                        <w:t xml:space="preserve">Jede Verwaltungsbehörde kann selbst entscheiden, ob sie eigene zusätzliche und programmspezifische Bewertungselemente entwickeln und verwenden will. </w:t>
                      </w:r>
                    </w:p>
                  </w:txbxContent>
                </v:textbox>
                <w10:wrap type="square"/>
              </v:shape>
            </w:pict>
          </mc:Fallback>
        </mc:AlternateContent>
      </w:r>
      <w:r>
        <w:t xml:space="preserve">Überprüfung der innovationsbezogenen Interventionslogik, die dem Programm zur Entwicklung des ländlichen Raums zugrunde liegt (siehe </w:t>
      </w:r>
      <w:hyperlink w:anchor="Screening_Potential" w:history="1">
        <w:r>
          <w:rPr>
            <w:rStyle w:val="Hyperlink"/>
            <w:sz w:val="20"/>
          </w:rPr>
          <w:t>Kapitel 2.2</w:t>
        </w:r>
      </w:hyperlink>
      <w:r>
        <w:t>);</w:t>
      </w:r>
    </w:p>
    <w:p w:rsidR="00A45935" w:rsidRPr="00B10B3C" w:rsidRDefault="00A45935" w:rsidP="00B421B9">
      <w:pPr>
        <w:pStyle w:val="Hlistbullet"/>
        <w:rPr>
          <w:rFonts w:eastAsia="Calibri"/>
        </w:rPr>
      </w:pPr>
      <w:r>
        <w:t xml:space="preserve">Prüfung der gemeinsamen Bewertungsfragen, Beurteilungskriterien und Indikatoren in Verbindung mit Innovation und Prüfung, ob diese zur Beantwortung der innovationsbezogenen CEQ ausreichen; </w:t>
      </w:r>
    </w:p>
    <w:p w:rsidR="00576A73" w:rsidRPr="00576A73" w:rsidRDefault="00A45935" w:rsidP="00B421B9">
      <w:pPr>
        <w:pStyle w:val="Hlistbullet"/>
        <w:rPr>
          <w:rFonts w:eastAsia="Calibri"/>
        </w:rPr>
      </w:pPr>
      <w:r>
        <w:t>Ergänzung des CMES durch zusätzliche innovationsbezogene Bewertungselemente, falls die gemeinsamen Elemente nicht ausreichen, um die innovationsbezogenen CEQ zu beantworten;</w:t>
      </w:r>
    </w:p>
    <w:p w:rsidR="00576A73" w:rsidRPr="00576A73" w:rsidRDefault="00A45935" w:rsidP="00B421B9">
      <w:pPr>
        <w:pStyle w:val="Hlistbullet"/>
        <w:rPr>
          <w:rFonts w:eastAsia="Calibri"/>
        </w:rPr>
      </w:pPr>
      <w:r>
        <w:t>Entwicklung programmspezifischer Bewertungselemente zur Bewertung von Innovation, die mit den programmspezifischen Schwerpunktbereichen und Bewertungsfragen mit spezifischem Interesse für die Verwaltungsbehörden verbunden sind.</w:t>
      </w:r>
      <w:r>
        <w:rPr>
          <w:highlight w:val="yellow"/>
        </w:rPr>
        <w:t xml:space="preserve"> </w:t>
      </w:r>
    </w:p>
    <w:p w:rsidR="000A43B7" w:rsidRDefault="000A43B7" w:rsidP="000A43B7">
      <w:pPr>
        <w:rPr>
          <w:noProof/>
          <w:szCs w:val="20"/>
          <w:highlight w:val="yellow"/>
        </w:rPr>
      </w:pPr>
      <w:r w:rsidRPr="00E05D08">
        <w:rPr>
          <w:rFonts w:cs="Arial"/>
          <w:b/>
          <w:noProof/>
          <w:color w:val="F07E31"/>
          <w:szCs w:val="20"/>
          <w:lang w:val="en-GB" w:eastAsia="en-GB"/>
        </w:rPr>
        <w:lastRenderedPageBreak/>
        <mc:AlternateContent>
          <mc:Choice Requires="wps">
            <w:drawing>
              <wp:anchor distT="0" distB="0" distL="114300" distR="114300" simplePos="0" relativeHeight="251738112" behindDoc="0" locked="0" layoutInCell="1" allowOverlap="1" wp14:anchorId="1E7D83AA" wp14:editId="5030CF66">
                <wp:simplePos x="0" y="0"/>
                <wp:positionH relativeFrom="column">
                  <wp:posOffset>575054</wp:posOffset>
                </wp:positionH>
                <wp:positionV relativeFrom="paragraph">
                  <wp:posOffset>-265</wp:posOffset>
                </wp:positionV>
                <wp:extent cx="4154170" cy="2781300"/>
                <wp:effectExtent l="0" t="0" r="17780" b="19050"/>
                <wp:wrapSquare wrapText="bothSides"/>
                <wp:docPr id="70" name="Rectangle: Diagonal Corners Rounded 70"/>
                <wp:cNvGraphicFramePr/>
                <a:graphic xmlns:a="http://schemas.openxmlformats.org/drawingml/2006/main">
                  <a:graphicData uri="http://schemas.microsoft.com/office/word/2010/wordprocessingShape">
                    <wps:wsp>
                      <wps:cNvSpPr/>
                      <wps:spPr>
                        <a:xfrm>
                          <a:off x="0" y="0"/>
                          <a:ext cx="4154170" cy="2781300"/>
                        </a:xfrm>
                        <a:prstGeom prst="round2DiagRect">
                          <a:avLst>
                            <a:gd name="adj1" fmla="val 7630"/>
                            <a:gd name="adj2" fmla="val 0"/>
                          </a:avLst>
                        </a:prstGeom>
                        <a:noFill/>
                        <a:ln w="25400" cap="flat" cmpd="sng" algn="ctr">
                          <a:solidFill>
                            <a:srgbClr val="8BAB80"/>
                          </a:solidFill>
                          <a:prstDash val="solid"/>
                        </a:ln>
                        <a:effectLst/>
                      </wps:spPr>
                      <wps:txbx>
                        <w:txbxContent>
                          <w:p w:rsidR="00533F8C" w:rsidRPr="00275EE5" w:rsidRDefault="00533F8C" w:rsidP="001744D0">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533F8C" w:rsidRPr="0079762F" w:rsidTr="00E05D08">
                              <w:tc>
                                <w:tcPr>
                                  <w:tcW w:w="2991" w:type="dxa"/>
                                  <w:shd w:val="clear" w:color="auto" w:fill="FFFFFF"/>
                                </w:tcPr>
                                <w:p w:rsidR="00533F8C" w:rsidRPr="00654F10" w:rsidRDefault="00533F8C" w:rsidP="001744D0">
                                  <w:pPr>
                                    <w:pStyle w:val="Normal12PTcouleurgris"/>
                                    <w:rPr>
                                      <w:b/>
                                      <w:color w:val="404040"/>
                                      <w:sz w:val="18"/>
                                    </w:rPr>
                                  </w:pPr>
                                  <w:r>
                                    <w:rPr>
                                      <w:b/>
                                      <w:color w:val="404040"/>
                                      <w:sz w:val="18"/>
                                    </w:rPr>
                                    <w:t>Dos</w:t>
                                  </w:r>
                                </w:p>
                                <w:p w:rsidR="00533F8C" w:rsidRPr="00654F10" w:rsidRDefault="00533F8C" w:rsidP="007A450E">
                                  <w:pPr>
                                    <w:pStyle w:val="Hlistbullet"/>
                                    <w:spacing w:line="160" w:lineRule="atLeast"/>
                                    <w:jc w:val="left"/>
                                    <w:rPr>
                                      <w:sz w:val="18"/>
                                      <w:szCs w:val="18"/>
                                    </w:rPr>
                                  </w:pPr>
                                  <w:r>
                                    <w:rPr>
                                      <w:sz w:val="18"/>
                                      <w:szCs w:val="18"/>
                                    </w:rPr>
                                    <w:t>Untersuchung der Beurteilungskriterien und Indikatoren des CMES, um sicherzustellen, dass sie zur Beantwortung der CEQ ausreichen.</w:t>
                                  </w:r>
                                </w:p>
                                <w:p w:rsidR="00533F8C" w:rsidRPr="00654F10" w:rsidRDefault="00533F8C" w:rsidP="007A450E">
                                  <w:pPr>
                                    <w:pStyle w:val="Hlistbullet"/>
                                    <w:spacing w:line="160" w:lineRule="atLeast"/>
                                    <w:jc w:val="left"/>
                                    <w:rPr>
                                      <w:sz w:val="18"/>
                                      <w:szCs w:val="18"/>
                                    </w:rPr>
                                  </w:pPr>
                                  <w:r>
                                    <w:rPr>
                                      <w:sz w:val="18"/>
                                      <w:szCs w:val="18"/>
                                    </w:rPr>
                                    <w:t>Entwicklung zusätzlicher Beurteilungskriterien und Indikatoren, falls die gemeinsamen nicht ausreichen, um genügend Nachweise zur Beantwortung der CEQ zusammenzutragen.</w:t>
                                  </w:r>
                                </w:p>
                              </w:tc>
                              <w:tc>
                                <w:tcPr>
                                  <w:tcW w:w="2960" w:type="dxa"/>
                                  <w:shd w:val="clear" w:color="auto" w:fill="auto"/>
                                </w:tcPr>
                                <w:p w:rsidR="00533F8C" w:rsidRPr="00654F10" w:rsidRDefault="00533F8C" w:rsidP="001744D0">
                                  <w:pPr>
                                    <w:pStyle w:val="Normal12PTcouleurgris"/>
                                    <w:rPr>
                                      <w:b/>
                                      <w:color w:val="404040"/>
                                      <w:sz w:val="18"/>
                                    </w:rPr>
                                  </w:pPr>
                                  <w:r>
                                    <w:rPr>
                                      <w:b/>
                                      <w:color w:val="404040"/>
                                      <w:sz w:val="18"/>
                                    </w:rPr>
                                    <w:t>Don‘ts</w:t>
                                  </w:r>
                                </w:p>
                                <w:p w:rsidR="00533F8C" w:rsidRPr="00654F10" w:rsidRDefault="00533F8C" w:rsidP="007A450E">
                                  <w:pPr>
                                    <w:pStyle w:val="Hlistbullet"/>
                                    <w:spacing w:line="160" w:lineRule="atLeast"/>
                                    <w:jc w:val="left"/>
                                    <w:rPr>
                                      <w:sz w:val="18"/>
                                      <w:szCs w:val="18"/>
                                    </w:rPr>
                                  </w:pPr>
                                  <w:r>
                                    <w:rPr>
                                      <w:sz w:val="18"/>
                                      <w:szCs w:val="18"/>
                                    </w:rPr>
                                    <w:t>Ausschließliche Verwendung von Outputindikatoren zur Beantwortung der CEQ (dadurch kann nicht umfassend aufgezeigt werden, ob das Ziel der Politik erreicht wurde).</w:t>
                                  </w:r>
                                </w:p>
                                <w:p w:rsidR="00533F8C" w:rsidRPr="00654F10" w:rsidRDefault="00533F8C" w:rsidP="001744D0">
                                  <w:pPr>
                                    <w:pStyle w:val="Normal12PTcouleurgris"/>
                                    <w:rPr>
                                      <w:color w:val="1A1A1A"/>
                                      <w:sz w:val="18"/>
                                    </w:rPr>
                                  </w:pPr>
                                </w:p>
                              </w:tc>
                            </w:tr>
                          </w:tbl>
                          <w:p w:rsidR="00533F8C" w:rsidRPr="00275EE5" w:rsidRDefault="00533F8C" w:rsidP="007A450E">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D83AA" id="Rectangle: Diagonal Corners Rounded 70" o:spid="_x0000_s1040" style="position:absolute;left:0;text-align:left;margin-left:45.3pt;margin-top:0;width:327.1pt;height:21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4170,2781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" adj="-11796480,,5400" path="m212213,l4154170,r,l4154170,2569087v,117202,-95011,212213,-212213,212213l,2781300r,l,212213c,95011,95011,,212213,xe" filled="f" strokecolor="#8bab80" strokeweight="2pt">
                <v:stroke joinstyle="miter"/>
                <v:formulas/>
                <v:path arrowok="t" o:connecttype="custom" o:connectlocs="212213,0;4154170,0;4154170,0;4154170,2569087;3941957,2781300;0,2781300;0,2781300;0,212213;212213,0" o:connectangles="0,0,0,0,0,0,0,0,0" textboxrect="0,0,4154170,2781300"/>
                <v:textbox>
                  <w:txbxContent>
                    <w:p w:rsidR="00533F8C" w:rsidRPr="00275EE5" w:rsidRDefault="00533F8C" w:rsidP="001744D0">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533F8C" w:rsidRPr="0079762F" w:rsidTr="00E05D08">
                        <w:tc>
                          <w:tcPr>
                            <w:tcW w:w="2991" w:type="dxa"/>
                            <w:shd w:val="clear" w:color="auto" w:fill="FFFFFF"/>
                          </w:tcPr>
                          <w:p w:rsidR="00533F8C" w:rsidRPr="00654F10" w:rsidRDefault="00533F8C" w:rsidP="001744D0">
                            <w:pPr>
                              <w:pStyle w:val="Normal12PTcouleurgris"/>
                              <w:rPr>
                                <w:b/>
                                <w:color w:val="404040"/>
                                <w:sz w:val="18"/>
                              </w:rPr>
                            </w:pPr>
                            <w:r>
                              <w:rPr>
                                <w:b/>
                                <w:color w:val="404040"/>
                                <w:sz w:val="18"/>
                              </w:rPr>
                              <w:t>Dos</w:t>
                            </w:r>
                          </w:p>
                          <w:p w:rsidR="00533F8C" w:rsidRPr="00654F10" w:rsidRDefault="00533F8C" w:rsidP="007A450E">
                            <w:pPr>
                              <w:pStyle w:val="Hlistbullet"/>
                              <w:spacing w:line="160" w:lineRule="atLeast"/>
                              <w:jc w:val="left"/>
                              <w:rPr>
                                <w:sz w:val="18"/>
                                <w:szCs w:val="18"/>
                              </w:rPr>
                            </w:pPr>
                            <w:r>
                              <w:rPr>
                                <w:sz w:val="18"/>
                                <w:szCs w:val="18"/>
                              </w:rPr>
                              <w:t>Untersuchung der Beurteilungskriterien und Indikatoren des CMES, um sicherzustellen, dass sie zur Beantwortung der CEQ ausreichen.</w:t>
                            </w:r>
                          </w:p>
                          <w:p w:rsidR="00533F8C" w:rsidRPr="00654F10" w:rsidRDefault="00533F8C" w:rsidP="007A450E">
                            <w:pPr>
                              <w:pStyle w:val="Hlistbullet"/>
                              <w:spacing w:line="160" w:lineRule="atLeast"/>
                              <w:jc w:val="left"/>
                              <w:rPr>
                                <w:sz w:val="18"/>
                                <w:szCs w:val="18"/>
                              </w:rPr>
                            </w:pPr>
                            <w:r>
                              <w:rPr>
                                <w:sz w:val="18"/>
                                <w:szCs w:val="18"/>
                              </w:rPr>
                              <w:t>Entwicklung zusätzlicher Beurteilungskriterien und Indikatoren, falls die gemeinsamen nicht ausreichen, um genügend Nachweise zur Beantwortung der CEQ zusammenzutragen.</w:t>
                            </w:r>
                          </w:p>
                        </w:tc>
                        <w:tc>
                          <w:tcPr>
                            <w:tcW w:w="2960" w:type="dxa"/>
                            <w:shd w:val="clear" w:color="auto" w:fill="auto"/>
                          </w:tcPr>
                          <w:p w:rsidR="00533F8C" w:rsidRPr="00654F10" w:rsidRDefault="00533F8C" w:rsidP="001744D0">
                            <w:pPr>
                              <w:pStyle w:val="Normal12PTcouleurgris"/>
                              <w:rPr>
                                <w:b/>
                                <w:color w:val="404040"/>
                                <w:sz w:val="18"/>
                              </w:rPr>
                            </w:pPr>
                            <w:r>
                              <w:rPr>
                                <w:b/>
                                <w:color w:val="404040"/>
                                <w:sz w:val="18"/>
                              </w:rPr>
                              <w:t>Don‘ts</w:t>
                            </w:r>
                          </w:p>
                          <w:p w:rsidR="00533F8C" w:rsidRPr="00654F10" w:rsidRDefault="00533F8C" w:rsidP="007A450E">
                            <w:pPr>
                              <w:pStyle w:val="Hlistbullet"/>
                              <w:spacing w:line="160" w:lineRule="atLeast"/>
                              <w:jc w:val="left"/>
                              <w:rPr>
                                <w:sz w:val="18"/>
                                <w:szCs w:val="18"/>
                              </w:rPr>
                            </w:pPr>
                            <w:r>
                              <w:rPr>
                                <w:sz w:val="18"/>
                                <w:szCs w:val="18"/>
                              </w:rPr>
                              <w:t>Ausschließliche Verwendung von Outputindikatoren zur Beantwortung der CEQ (dadurch kann nicht umfassend aufgezeigt werden, ob das Ziel der Politik erreicht wurde).</w:t>
                            </w:r>
                          </w:p>
                          <w:p w:rsidR="00533F8C" w:rsidRPr="00654F10" w:rsidRDefault="00533F8C" w:rsidP="001744D0">
                            <w:pPr>
                              <w:pStyle w:val="Normal12PTcouleurgris"/>
                              <w:rPr>
                                <w:color w:val="1A1A1A"/>
                                <w:sz w:val="18"/>
                              </w:rPr>
                            </w:pPr>
                          </w:p>
                        </w:tc>
                      </w:tr>
                    </w:tbl>
                    <w:p w:rsidR="00533F8C" w:rsidRPr="00275EE5" w:rsidRDefault="00533F8C" w:rsidP="007A450E">
                      <w:pPr>
                        <w:pStyle w:val="Normal12PTcouleurgris"/>
                      </w:pPr>
                    </w:p>
                  </w:txbxContent>
                </v:textbox>
                <w10:wrap type="square"/>
              </v:shape>
            </w:pict>
          </mc:Fallback>
        </mc:AlternateContent>
      </w:r>
    </w:p>
    <w:p w:rsidR="00A92E91" w:rsidRPr="00A92E91" w:rsidRDefault="00A45935" w:rsidP="00B421B9">
      <w:pPr>
        <w:pStyle w:val="HHeading2"/>
        <w:numPr>
          <w:ilvl w:val="1"/>
          <w:numId w:val="119"/>
        </w:numPr>
        <w:ind w:left="567" w:hanging="567"/>
        <w:rPr>
          <w:noProof/>
          <w:snapToGrid w:val="0"/>
        </w:rPr>
      </w:pPr>
      <w:bookmarkStart w:id="101" w:name="Answering"/>
      <w:bookmarkStart w:id="102" w:name="_Toc493151904"/>
      <w:bookmarkStart w:id="103" w:name="_Toc501382130"/>
      <w:bookmarkStart w:id="104" w:name="_Toc508377840"/>
      <w:bookmarkEnd w:id="11"/>
      <w:bookmarkEnd w:id="101"/>
      <w:r>
        <w:t>Beantwortung der relevanten gemeinsamen Bewertungsfragen (</w:t>
      </w:r>
      <w:r w:rsidR="00794807">
        <w:t>obligatorisch</w:t>
      </w:r>
      <w:r>
        <w:t>)</w:t>
      </w:r>
      <w:bookmarkEnd w:id="102"/>
      <w:bookmarkEnd w:id="103"/>
      <w:bookmarkEnd w:id="104"/>
    </w:p>
    <w:p w:rsidR="007A450E" w:rsidRDefault="007A450E" w:rsidP="00725801">
      <w:pPr>
        <w:spacing w:after="120" w:line="280" w:lineRule="atLeast"/>
        <w:mirrorIndents/>
        <w:rPr>
          <w:rFonts w:eastAsia="Times New Roman" w:cs="Times New Roman"/>
          <w:szCs w:val="20"/>
          <w:shd w:val="clear" w:color="auto" w:fill="FFFFFF"/>
        </w:rPr>
      </w:pPr>
      <w:r>
        <w:rPr>
          <w:szCs w:val="20"/>
          <w:shd w:val="clear" w:color="auto" w:fill="FFFFFF"/>
        </w:rPr>
        <w:t xml:space="preserve">Die Beantwortung aller CEQ ist zwar </w:t>
      </w:r>
      <w:r w:rsidR="00DC7C12">
        <w:rPr>
          <w:szCs w:val="20"/>
          <w:shd w:val="clear" w:color="auto" w:fill="FFFFFF"/>
        </w:rPr>
        <w:t>obligatorisch</w:t>
      </w:r>
      <w:r>
        <w:rPr>
          <w:szCs w:val="20"/>
          <w:shd w:val="clear" w:color="auto" w:fill="FFFFFF"/>
        </w:rPr>
        <w:t>, das vorliegende Kapitel enthält jedoch eine unverbindliche Anleitung zur Beantwortung der innovationsbezogenen CEQ Nr. 1, 2, 21, 23 und 30. Diese Fragen müssen sowohl im erweiterten jährlichen Durchführungsbericht für 2019 als auch im Rahmen der Ex-post-Bewertung beantwortet werden.</w:t>
      </w:r>
    </w:p>
    <w:p w:rsidR="00A45935" w:rsidRPr="00E05D08" w:rsidRDefault="00416A20" w:rsidP="00582F60">
      <w:pPr>
        <w:spacing w:after="120" w:line="280" w:lineRule="atLeast"/>
        <w:mirrorIndents/>
        <w:rPr>
          <w:rFonts w:eastAsia="Times New Roman" w:cs="Times New Roman"/>
          <w:color w:val="F07E31"/>
          <w:szCs w:val="20"/>
        </w:rPr>
        <w:sectPr w:rsidR="00A45935" w:rsidRPr="00E05D08" w:rsidSect="00055039">
          <w:headerReference w:type="even" r:id="rId35"/>
          <w:footerReference w:type="even" r:id="rId36"/>
          <w:footerReference w:type="default" r:id="rId37"/>
          <w:footerReference w:type="first" r:id="rId38"/>
          <w:endnotePr>
            <w:numFmt w:val="decimal"/>
          </w:endnotePr>
          <w:type w:val="continuous"/>
          <w:pgSz w:w="11906" w:h="16838" w:code="9"/>
          <w:pgMar w:top="1440" w:right="1440" w:bottom="1134" w:left="1440" w:header="567" w:footer="1021" w:gutter="0"/>
          <w:cols w:space="708"/>
          <w:noEndnote/>
          <w:titlePg/>
          <w:docGrid w:linePitch="360"/>
        </w:sectPr>
      </w:pPr>
      <w:r w:rsidRPr="004A2B05">
        <w:rPr>
          <w:noProof/>
          <w:color w:val="F07E31"/>
          <w:highlight w:val="yellow"/>
          <w:lang w:val="en-GB" w:eastAsia="en-GB"/>
        </w:rPr>
        <mc:AlternateContent>
          <mc:Choice Requires="wps">
            <w:drawing>
              <wp:anchor distT="0" distB="0" distL="114300" distR="114300" simplePos="0" relativeHeight="251717632" behindDoc="0" locked="0" layoutInCell="1" allowOverlap="1" wp14:anchorId="7B915032" wp14:editId="10BE8DB2">
                <wp:simplePos x="0" y="0"/>
                <wp:positionH relativeFrom="page">
                  <wp:posOffset>914400</wp:posOffset>
                </wp:positionH>
                <wp:positionV relativeFrom="paragraph">
                  <wp:posOffset>499745</wp:posOffset>
                </wp:positionV>
                <wp:extent cx="5795645" cy="3293110"/>
                <wp:effectExtent l="0" t="0" r="14605" b="21590"/>
                <wp:wrapSquare wrapText="bothSides"/>
                <wp:docPr id="19" name="Rectangle: Diagonal Corners Rounded 19"/>
                <wp:cNvGraphicFramePr/>
                <a:graphic xmlns:a="http://schemas.openxmlformats.org/drawingml/2006/main">
                  <a:graphicData uri="http://schemas.microsoft.com/office/word/2010/wordprocessingShape">
                    <wps:wsp>
                      <wps:cNvSpPr/>
                      <wps:spPr>
                        <a:xfrm>
                          <a:off x="0" y="0"/>
                          <a:ext cx="5795645" cy="3293110"/>
                        </a:xfrm>
                        <a:prstGeom prst="round2DiagRect">
                          <a:avLst>
                            <a:gd name="adj1" fmla="val 7843"/>
                            <a:gd name="adj2" fmla="val 0"/>
                          </a:avLst>
                        </a:prstGeom>
                        <a:noFill/>
                        <a:ln w="25400" cap="flat" cmpd="sng" algn="ctr">
                          <a:solidFill>
                            <a:srgbClr val="BE4A35"/>
                          </a:solidFill>
                          <a:prstDash val="solid"/>
                        </a:ln>
                        <a:effectLst/>
                      </wps:spPr>
                      <wps:txbx>
                        <w:txbxContent>
                          <w:p w:rsidR="00533F8C" w:rsidRPr="00AC3522" w:rsidRDefault="00533F8C" w:rsidP="00E05D08">
                            <w:pPr>
                              <w:pStyle w:val="Normal12PTcouleurgris"/>
                              <w:rPr>
                                <w:shd w:val="clear" w:color="auto" w:fill="FFFFFF"/>
                              </w:rPr>
                            </w:pPr>
                            <w:r>
                              <w:rPr>
                                <w:noProof/>
                                <w:lang w:val="en-GB" w:eastAsia="en-GB"/>
                              </w:rPr>
                              <w:drawing>
                                <wp:inline distT="0" distB="0" distL="0" distR="0" wp14:anchorId="0A0EB248" wp14:editId="70DA19FE">
                                  <wp:extent cx="664845" cy="487680"/>
                                  <wp:effectExtent l="0" t="0" r="0" b="7620"/>
                                  <wp:docPr id="707"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 xml:space="preserve">Der Aufbau ist für alle CEQ gleich: </w:t>
                            </w:r>
                          </w:p>
                          <w:p w:rsidR="00533F8C" w:rsidRPr="00A92E91" w:rsidRDefault="00533F8C" w:rsidP="008C0B17">
                            <w:pPr>
                              <w:pStyle w:val="Normal12PTcouleurgris"/>
                              <w:numPr>
                                <w:ilvl w:val="0"/>
                                <w:numId w:val="78"/>
                              </w:numPr>
                              <w:ind w:left="284" w:hanging="284"/>
                              <w:jc w:val="left"/>
                              <w:rPr>
                                <w:b/>
                                <w:shd w:val="clear" w:color="auto" w:fill="FFFFFF"/>
                              </w:rPr>
                            </w:pPr>
                            <w:r>
                              <w:rPr>
                                <w:b/>
                                <w:shd w:val="clear" w:color="auto" w:fill="FFFFFF"/>
                              </w:rPr>
                              <w:t>Wie ist die CEQ zu verstehen?</w:t>
                            </w:r>
                          </w:p>
                          <w:p w:rsidR="00533F8C" w:rsidRPr="00A92E91" w:rsidRDefault="00533F8C" w:rsidP="008C0B17">
                            <w:pPr>
                              <w:pStyle w:val="Normal12PTcouleurgris"/>
                              <w:numPr>
                                <w:ilvl w:val="0"/>
                                <w:numId w:val="78"/>
                              </w:numPr>
                              <w:ind w:left="284" w:hanging="284"/>
                              <w:jc w:val="left"/>
                              <w:rPr>
                                <w:b/>
                                <w:shd w:val="clear" w:color="auto" w:fill="FFFFFF"/>
                              </w:rPr>
                            </w:pPr>
                            <w:r>
                              <w:rPr>
                                <w:b/>
                                <w:shd w:val="clear" w:color="auto" w:fill="FFFFFF"/>
                              </w:rPr>
                              <w:t xml:space="preserve">Besondere Herausforderungen </w:t>
                            </w:r>
                          </w:p>
                          <w:p w:rsidR="00533F8C" w:rsidRPr="00A92E91" w:rsidRDefault="00533F8C" w:rsidP="008C0B17">
                            <w:pPr>
                              <w:pStyle w:val="Normal12PTcouleurgris"/>
                              <w:numPr>
                                <w:ilvl w:val="0"/>
                                <w:numId w:val="78"/>
                              </w:numPr>
                              <w:ind w:left="284" w:hanging="284"/>
                              <w:jc w:val="left"/>
                              <w:rPr>
                                <w:shd w:val="clear" w:color="auto" w:fill="FFFFFF"/>
                              </w:rPr>
                            </w:pPr>
                            <w:r>
                              <w:rPr>
                                <w:b/>
                                <w:shd w:val="clear" w:color="auto" w:fill="FFFFFF"/>
                              </w:rPr>
                              <w:t>Empfohlenes Vorgehen bei der Beantwortung der CEQ:</w:t>
                            </w:r>
                            <w:r>
                              <w:rPr>
                                <w:shd w:val="clear" w:color="auto" w:fill="FFFFFF"/>
                              </w:rPr>
                              <w:t xml:space="preserve"> </w:t>
                            </w:r>
                            <w:r>
                              <w:rPr>
                                <w:i/>
                                <w:shd w:val="clear" w:color="auto" w:fill="FFFFFF"/>
                              </w:rPr>
                              <w:t xml:space="preserve">Dieses Kapitel enthält empfohlene Schritte und Methoden sowie Tipps zur Verwendung der gemeinsamen und zusätzlichen Indikatoren bei der Beantwortung der CEQ. </w:t>
                            </w:r>
                          </w:p>
                          <w:p w:rsidR="00533F8C" w:rsidRPr="00A92E91" w:rsidRDefault="00533F8C" w:rsidP="008C0B17">
                            <w:pPr>
                              <w:pStyle w:val="Hlistabc2"/>
                              <w:numPr>
                                <w:ilvl w:val="0"/>
                                <w:numId w:val="54"/>
                              </w:numPr>
                              <w:spacing w:before="120" w:after="120"/>
                              <w:rPr>
                                <w:sz w:val="18"/>
                                <w:szCs w:val="18"/>
                              </w:rPr>
                            </w:pPr>
                            <w:r>
                              <w:rPr>
                                <w:sz w:val="18"/>
                                <w:szCs w:val="18"/>
                              </w:rPr>
                              <w:t xml:space="preserve">Interventionslogik </w:t>
                            </w:r>
                          </w:p>
                          <w:p w:rsidR="00533F8C" w:rsidRPr="00A92E91" w:rsidRDefault="00533F8C" w:rsidP="008C0B17">
                            <w:pPr>
                              <w:pStyle w:val="Hlistabc2"/>
                              <w:numPr>
                                <w:ilvl w:val="0"/>
                                <w:numId w:val="54"/>
                              </w:numPr>
                              <w:spacing w:before="120" w:after="120"/>
                              <w:rPr>
                                <w:sz w:val="18"/>
                                <w:szCs w:val="18"/>
                              </w:rPr>
                            </w:pPr>
                            <w:r>
                              <w:rPr>
                                <w:sz w:val="18"/>
                                <w:szCs w:val="18"/>
                              </w:rPr>
                              <w:t xml:space="preserve">Bewertungselemente </w:t>
                            </w:r>
                          </w:p>
                          <w:p w:rsidR="00533F8C" w:rsidRPr="00A92E91" w:rsidRDefault="00533F8C" w:rsidP="008C0B17">
                            <w:pPr>
                              <w:pStyle w:val="Hlistabc2"/>
                              <w:numPr>
                                <w:ilvl w:val="0"/>
                                <w:numId w:val="54"/>
                              </w:numPr>
                              <w:spacing w:before="120" w:after="120"/>
                              <w:rPr>
                                <w:sz w:val="18"/>
                                <w:szCs w:val="18"/>
                              </w:rPr>
                            </w:pPr>
                            <w:r>
                              <w:rPr>
                                <w:sz w:val="18"/>
                                <w:szCs w:val="18"/>
                              </w:rPr>
                              <w:t xml:space="preserve">Empfohlene Bewertungsmethode </w:t>
                            </w:r>
                          </w:p>
                          <w:p w:rsidR="00533F8C" w:rsidRPr="00A92E91" w:rsidRDefault="00533F8C" w:rsidP="008C0B17">
                            <w:pPr>
                              <w:pStyle w:val="Hlistabc2"/>
                              <w:numPr>
                                <w:ilvl w:val="0"/>
                                <w:numId w:val="54"/>
                              </w:numPr>
                              <w:spacing w:before="120" w:after="120"/>
                              <w:rPr>
                                <w:sz w:val="18"/>
                                <w:szCs w:val="18"/>
                              </w:rPr>
                            </w:pPr>
                            <w:r>
                              <w:rPr>
                                <w:sz w:val="18"/>
                                <w:szCs w:val="18"/>
                              </w:rPr>
                              <w:t xml:space="preserve">Risiken und Lösungen </w:t>
                            </w:r>
                          </w:p>
                          <w:p w:rsidR="00533F8C" w:rsidRPr="00A92E91" w:rsidRDefault="00533F8C" w:rsidP="008C0B17">
                            <w:pPr>
                              <w:pStyle w:val="Hlistabc2"/>
                              <w:numPr>
                                <w:ilvl w:val="0"/>
                                <w:numId w:val="54"/>
                              </w:numPr>
                              <w:spacing w:before="120" w:after="120"/>
                              <w:rPr>
                                <w:sz w:val="18"/>
                                <w:szCs w:val="18"/>
                              </w:rPr>
                            </w:pPr>
                            <w:r>
                              <w:rPr>
                                <w:sz w:val="18"/>
                                <w:szCs w:val="18"/>
                              </w:rPr>
                              <w:t>Schlussfolgerungen und Empfehlungen</w:t>
                            </w:r>
                          </w:p>
                          <w:p w:rsidR="00533F8C" w:rsidRPr="00A92E91" w:rsidRDefault="00533F8C" w:rsidP="007372CD">
                            <w:pPr>
                              <w:pStyle w:val="Normal12PTcouleurgris"/>
                              <w:numPr>
                                <w:ilvl w:val="0"/>
                                <w:numId w:val="78"/>
                              </w:numPr>
                              <w:ind w:left="284" w:hanging="284"/>
                              <w:jc w:val="left"/>
                              <w:rPr>
                                <w:b/>
                                <w:shd w:val="clear" w:color="auto" w:fill="FFFFFF"/>
                              </w:rPr>
                            </w:pPr>
                            <w:r>
                              <w:rPr>
                                <w:b/>
                                <w:shd w:val="clear" w:color="auto" w:fill="FFFFFF"/>
                              </w:rPr>
                              <w:t>Weiterführende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15032" id="Rectangle: Diagonal Corners Rounded 19" o:spid="_x0000_s1041" style="position:absolute;left:0;text-align:left;margin-left:1in;margin-top:39.35pt;width:456.35pt;height:259.3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795645,3293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" adj="-11796480,,5400" path="m258279,l5795645,r,l5795645,3034831v,142644,-115635,258279,-258279,258279l,3293110r,l,258279c,115635,115635,,258279,xe" filled="f" strokecolor="#be4a35" strokeweight="2pt">
                <v:stroke joinstyle="miter"/>
                <v:formulas/>
                <v:path arrowok="t" o:connecttype="custom" o:connectlocs="258279,0;5795645,0;5795645,0;5795645,3034831;5537366,3293110;0,3293110;0,3293110;0,258279;258279,0" o:connectangles="0,0,0,0,0,0,0,0,0" textboxrect="0,0,5795645,3293110"/>
                <v:textbox>
                  <w:txbxContent>
                    <w:p w:rsidR="00533F8C" w:rsidRPr="00AC3522" w:rsidRDefault="00533F8C" w:rsidP="00E05D08">
                      <w:pPr>
                        <w:pStyle w:val="Normal12PTcouleurgris"/>
                        <w:rPr>
                          <w:shd w:val="clear" w:color="auto" w:fill="FFFFFF"/>
                        </w:rPr>
                      </w:pPr>
                      <w:r>
                        <w:rPr>
                          <w:noProof/>
                          <w:lang w:val="en-GB" w:eastAsia="en-GB"/>
                        </w:rPr>
                        <w:drawing>
                          <wp:inline distT="0" distB="0" distL="0" distR="0" wp14:anchorId="0A0EB248" wp14:editId="70DA19FE">
                            <wp:extent cx="664845" cy="487680"/>
                            <wp:effectExtent l="0" t="0" r="0" b="7620"/>
                            <wp:docPr id="707"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 xml:space="preserve">Der Aufbau ist für alle CEQ gleich: </w:t>
                      </w:r>
                    </w:p>
                    <w:p w:rsidR="00533F8C" w:rsidRPr="00A92E91" w:rsidRDefault="00533F8C" w:rsidP="008C0B17">
                      <w:pPr>
                        <w:pStyle w:val="Normal12PTcouleurgris"/>
                        <w:numPr>
                          <w:ilvl w:val="0"/>
                          <w:numId w:val="78"/>
                        </w:numPr>
                        <w:ind w:left="284" w:hanging="284"/>
                        <w:jc w:val="left"/>
                        <w:rPr>
                          <w:b/>
                          <w:shd w:val="clear" w:color="auto" w:fill="FFFFFF"/>
                        </w:rPr>
                      </w:pPr>
                      <w:r>
                        <w:rPr>
                          <w:b/>
                          <w:shd w:val="clear" w:color="auto" w:fill="FFFFFF"/>
                        </w:rPr>
                        <w:t>Wie ist die CEQ zu verstehen?</w:t>
                      </w:r>
                    </w:p>
                    <w:p w:rsidR="00533F8C" w:rsidRPr="00A92E91" w:rsidRDefault="00533F8C" w:rsidP="008C0B17">
                      <w:pPr>
                        <w:pStyle w:val="Normal12PTcouleurgris"/>
                        <w:numPr>
                          <w:ilvl w:val="0"/>
                          <w:numId w:val="78"/>
                        </w:numPr>
                        <w:ind w:left="284" w:hanging="284"/>
                        <w:jc w:val="left"/>
                        <w:rPr>
                          <w:b/>
                          <w:shd w:val="clear" w:color="auto" w:fill="FFFFFF"/>
                        </w:rPr>
                      </w:pPr>
                      <w:r>
                        <w:rPr>
                          <w:b/>
                          <w:shd w:val="clear" w:color="auto" w:fill="FFFFFF"/>
                        </w:rPr>
                        <w:t xml:space="preserve">Besondere Herausforderungen </w:t>
                      </w:r>
                    </w:p>
                    <w:p w:rsidR="00533F8C" w:rsidRPr="00A92E91" w:rsidRDefault="00533F8C" w:rsidP="008C0B17">
                      <w:pPr>
                        <w:pStyle w:val="Normal12PTcouleurgris"/>
                        <w:numPr>
                          <w:ilvl w:val="0"/>
                          <w:numId w:val="78"/>
                        </w:numPr>
                        <w:ind w:left="284" w:hanging="284"/>
                        <w:jc w:val="left"/>
                        <w:rPr>
                          <w:shd w:val="clear" w:color="auto" w:fill="FFFFFF"/>
                        </w:rPr>
                      </w:pPr>
                      <w:r>
                        <w:rPr>
                          <w:b/>
                          <w:shd w:val="clear" w:color="auto" w:fill="FFFFFF"/>
                        </w:rPr>
                        <w:t>Empfohlenes Vorgehen bei der Beantwortung der CEQ:</w:t>
                      </w:r>
                      <w:r>
                        <w:rPr>
                          <w:shd w:val="clear" w:color="auto" w:fill="FFFFFF"/>
                        </w:rPr>
                        <w:t xml:space="preserve"> </w:t>
                      </w:r>
                      <w:r>
                        <w:rPr>
                          <w:i/>
                          <w:shd w:val="clear" w:color="auto" w:fill="FFFFFF"/>
                        </w:rPr>
                        <w:t xml:space="preserve">Dieses Kapitel enthält empfohlene Schritte und Methoden sowie Tipps zur Verwendung der gemeinsamen und zusätzlichen Indikatoren bei der Beantwortung der CEQ. </w:t>
                      </w:r>
                    </w:p>
                    <w:p w:rsidR="00533F8C" w:rsidRPr="00A92E91" w:rsidRDefault="00533F8C" w:rsidP="008C0B17">
                      <w:pPr>
                        <w:pStyle w:val="Hlistabc2"/>
                        <w:numPr>
                          <w:ilvl w:val="0"/>
                          <w:numId w:val="54"/>
                        </w:numPr>
                        <w:spacing w:before="120" w:after="120"/>
                        <w:rPr>
                          <w:sz w:val="18"/>
                          <w:szCs w:val="18"/>
                        </w:rPr>
                      </w:pPr>
                      <w:r>
                        <w:rPr>
                          <w:sz w:val="18"/>
                          <w:szCs w:val="18"/>
                        </w:rPr>
                        <w:t xml:space="preserve">Interventionslogik </w:t>
                      </w:r>
                    </w:p>
                    <w:p w:rsidR="00533F8C" w:rsidRPr="00A92E91" w:rsidRDefault="00533F8C" w:rsidP="008C0B17">
                      <w:pPr>
                        <w:pStyle w:val="Hlistabc2"/>
                        <w:numPr>
                          <w:ilvl w:val="0"/>
                          <w:numId w:val="54"/>
                        </w:numPr>
                        <w:spacing w:before="120" w:after="120"/>
                        <w:rPr>
                          <w:sz w:val="18"/>
                          <w:szCs w:val="18"/>
                        </w:rPr>
                      </w:pPr>
                      <w:r>
                        <w:rPr>
                          <w:sz w:val="18"/>
                          <w:szCs w:val="18"/>
                        </w:rPr>
                        <w:t xml:space="preserve">Bewertungselemente </w:t>
                      </w:r>
                    </w:p>
                    <w:p w:rsidR="00533F8C" w:rsidRPr="00A92E91" w:rsidRDefault="00533F8C" w:rsidP="008C0B17">
                      <w:pPr>
                        <w:pStyle w:val="Hlistabc2"/>
                        <w:numPr>
                          <w:ilvl w:val="0"/>
                          <w:numId w:val="54"/>
                        </w:numPr>
                        <w:spacing w:before="120" w:after="120"/>
                        <w:rPr>
                          <w:sz w:val="18"/>
                          <w:szCs w:val="18"/>
                        </w:rPr>
                      </w:pPr>
                      <w:r>
                        <w:rPr>
                          <w:sz w:val="18"/>
                          <w:szCs w:val="18"/>
                        </w:rPr>
                        <w:t xml:space="preserve">Empfohlene Bewertungsmethode </w:t>
                      </w:r>
                    </w:p>
                    <w:p w:rsidR="00533F8C" w:rsidRPr="00A92E91" w:rsidRDefault="00533F8C" w:rsidP="008C0B17">
                      <w:pPr>
                        <w:pStyle w:val="Hlistabc2"/>
                        <w:numPr>
                          <w:ilvl w:val="0"/>
                          <w:numId w:val="54"/>
                        </w:numPr>
                        <w:spacing w:before="120" w:after="120"/>
                        <w:rPr>
                          <w:sz w:val="18"/>
                          <w:szCs w:val="18"/>
                        </w:rPr>
                      </w:pPr>
                      <w:r>
                        <w:rPr>
                          <w:sz w:val="18"/>
                          <w:szCs w:val="18"/>
                        </w:rPr>
                        <w:t xml:space="preserve">Risiken und Lösungen </w:t>
                      </w:r>
                    </w:p>
                    <w:p w:rsidR="00533F8C" w:rsidRPr="00A92E91" w:rsidRDefault="00533F8C" w:rsidP="008C0B17">
                      <w:pPr>
                        <w:pStyle w:val="Hlistabc2"/>
                        <w:numPr>
                          <w:ilvl w:val="0"/>
                          <w:numId w:val="54"/>
                        </w:numPr>
                        <w:spacing w:before="120" w:after="120"/>
                        <w:rPr>
                          <w:sz w:val="18"/>
                          <w:szCs w:val="18"/>
                        </w:rPr>
                      </w:pPr>
                      <w:r>
                        <w:rPr>
                          <w:sz w:val="18"/>
                          <w:szCs w:val="18"/>
                        </w:rPr>
                        <w:t>Schlussfolgerungen und Empfehlungen</w:t>
                      </w:r>
                    </w:p>
                    <w:p w:rsidR="00533F8C" w:rsidRPr="00A92E91" w:rsidRDefault="00533F8C" w:rsidP="007372CD">
                      <w:pPr>
                        <w:pStyle w:val="Normal12PTcouleurgris"/>
                        <w:numPr>
                          <w:ilvl w:val="0"/>
                          <w:numId w:val="78"/>
                        </w:numPr>
                        <w:ind w:left="284" w:hanging="284"/>
                        <w:jc w:val="left"/>
                        <w:rPr>
                          <w:b/>
                          <w:shd w:val="clear" w:color="auto" w:fill="FFFFFF"/>
                        </w:rPr>
                      </w:pPr>
                      <w:r>
                        <w:rPr>
                          <w:b/>
                          <w:shd w:val="clear" w:color="auto" w:fill="FFFFFF"/>
                        </w:rPr>
                        <w:t>Weiterführende Literatur</w:t>
                      </w:r>
                    </w:p>
                  </w:txbxContent>
                </v:textbox>
                <w10:wrap type="square" anchorx="page"/>
              </v:shape>
            </w:pict>
          </mc:Fallback>
        </mc:AlternateContent>
      </w:r>
      <w:r w:rsidR="00A45935">
        <w:rPr>
          <w:szCs w:val="20"/>
          <w:shd w:val="clear" w:color="auto" w:fill="FFFFFF"/>
        </w:rPr>
        <w:t xml:space="preserve"> </w:t>
      </w:r>
      <w:bookmarkStart w:id="105" w:name="_Toc501382131"/>
      <w:r w:rsidR="00A45935">
        <w:br w:type="page"/>
      </w:r>
    </w:p>
    <w:p w:rsidR="00A45935" w:rsidRPr="00501827" w:rsidRDefault="00A45935" w:rsidP="009B603C">
      <w:pPr>
        <w:pStyle w:val="HHeading3"/>
        <w:numPr>
          <w:ilvl w:val="2"/>
          <w:numId w:val="119"/>
        </w:numPr>
        <w:tabs>
          <w:tab w:val="clear" w:pos="567"/>
        </w:tabs>
        <w:spacing w:line="280" w:lineRule="exact"/>
        <w:ind w:left="567" w:hanging="578"/>
      </w:pPr>
      <w:bookmarkStart w:id="106" w:name="_Toc508377841"/>
      <w:r>
        <w:lastRenderedPageBreak/>
        <w:t>CEQ Nr. 1: „In welchem Umfang wurden durch die Interventionen im Rahmen des Programms zur Entwicklung des ländlichen Raums die Innovation, die Zusammenarbeit und der Aufbau der Wissensbasis in ländlichen Gebieten gefördert?“</w:t>
      </w:r>
      <w:bookmarkEnd w:id="105"/>
      <w:bookmarkEnd w:id="106"/>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Wie ist die CEQ zu verstehen?</w:t>
      </w:r>
    </w:p>
    <w:p w:rsidR="00A45935" w:rsidRPr="00E05D08" w:rsidRDefault="00A45935" w:rsidP="00E05D08">
      <w:pPr>
        <w:spacing w:after="120" w:line="280" w:lineRule="atLeast"/>
        <w:mirrorIndents/>
        <w:rPr>
          <w:rFonts w:eastAsia="Times New Roman" w:cs="Times New Roman"/>
          <w:szCs w:val="20"/>
        </w:rPr>
      </w:pPr>
      <w:r>
        <w:t>Es gibt drei Maßnahmen, die beim Erreichen des Ziels im Zusammenhang mit der CEQ Nr. 1 (d. h. mit der Innovationsförderung) eine wesentliche Rolle spielen: M1 (Artikel 14 „Wissenstransfer und Informationsmaßnahmen“), M2 (Artikel 15 „Beratungs-, Betriebsführungs- und Vertretungsdienste“) und M16 (Artikel 35 „Zusammenarbeit“).</w:t>
      </w:r>
      <w:r w:rsidRPr="00E05D08">
        <w:rPr>
          <w:rFonts w:eastAsia="Times New Roman" w:cs="Times New Roman"/>
          <w:szCs w:val="20"/>
          <w:vertAlign w:val="superscript"/>
          <w:lang w:eastAsia="de-DE"/>
        </w:rPr>
        <w:footnoteReference w:id="48"/>
      </w:r>
      <w:r>
        <w:t xml:space="preserve"> Zusätzlich dazu kann auch M19 (Artikel 42 und Artikel 35 der Verordnung (EU) Nr. 1305/2013) als ein wichtiger Beitrag zum Innovationsaspekt des oben genannten Ziels betrachtet werden.</w:t>
      </w:r>
    </w:p>
    <w:p w:rsidR="00A45935" w:rsidRPr="00E05D08" w:rsidRDefault="00A45935" w:rsidP="00E05D08">
      <w:pPr>
        <w:spacing w:after="120" w:line="280" w:lineRule="atLeast"/>
        <w:mirrorIndents/>
        <w:rPr>
          <w:rFonts w:eastAsia="Times New Roman" w:cs="Times New Roman"/>
          <w:szCs w:val="20"/>
        </w:rPr>
      </w:pPr>
      <w:r>
        <w:t xml:space="preserve">Zu ergründen, welche Aspekte der Maßnahmen innovationsfördernd sind, ist von entscheidender Bedeutung. Eine bestimmte Interventionslogik der Priorität 1 könnte beispielsweise zeigen, dass M1 und M16 auch einen unmittelbaren Beitrag zum Schwerpunktbereich 1B (M16) oder zum Schwerpunktbereich 1C (M1), und nicht nur zum Schwerpunktbereich 1A leisten. </w:t>
      </w:r>
    </w:p>
    <w:p w:rsidR="00A45935" w:rsidRPr="00E05D08" w:rsidRDefault="00654F10" w:rsidP="00E05D08">
      <w:pPr>
        <w:spacing w:after="120" w:line="280" w:lineRule="atLeast"/>
        <w:mirrorIndents/>
        <w:rPr>
          <w:rFonts w:eastAsia="Times New Roman" w:cs="Times New Roman"/>
          <w:szCs w:val="20"/>
        </w:rPr>
      </w:pPr>
      <w:r>
        <w:t xml:space="preserve">Die innovationsbezogenen Elemente dieser Maßnahmen lassen sich folgendermaßen aufschlüsseln: </w:t>
      </w:r>
    </w:p>
    <w:p w:rsidR="00A45935" w:rsidRDefault="00A45935" w:rsidP="00E05D08">
      <w:pPr>
        <w:spacing w:after="120" w:line="280" w:lineRule="atLeast"/>
        <w:mirrorIndents/>
        <w:rPr>
          <w:rFonts w:eastAsia="Times New Roman" w:cs="Times New Roman"/>
          <w:szCs w:val="20"/>
        </w:rPr>
      </w:pPr>
      <w:r>
        <w:rPr>
          <w:b/>
          <w:szCs w:val="20"/>
        </w:rPr>
        <w:t>M1</w:t>
      </w:r>
      <w:r>
        <w:t xml:space="preserve"> (Artikel 14) umfasst die Berufsbildung und den Erwerb von Qualifikationen, Demonstrationstätigkeiten und Informationsmaßnahmen. Darüber hinaus können auch der Austausch über Land- und Forstwirtschaft sowie Besuche von land- und forstwirtschaftlichen Betrieben darin enthalten sein. Obwohl Artikel 14 nicht ausdrücklich auf Innovation verweist, können diese Maßnahmen eine wichtige Rolle bei der </w:t>
      </w:r>
      <w:r>
        <w:rPr>
          <w:b/>
          <w:szCs w:val="20"/>
        </w:rPr>
        <w:t>Verbesserung der Innovationsfähigkeit</w:t>
      </w:r>
      <w:r>
        <w:t xml:space="preserve"> spielen.</w:t>
      </w:r>
    </w:p>
    <w:p w:rsidR="00A45935" w:rsidRPr="00E05D08" w:rsidRDefault="00A45935" w:rsidP="00E05D08">
      <w:pPr>
        <w:spacing w:after="120" w:line="280" w:lineRule="atLeast"/>
        <w:mirrorIndents/>
        <w:rPr>
          <w:rFonts w:eastAsia="Times New Roman" w:cs="Times New Roman"/>
          <w:szCs w:val="20"/>
        </w:rPr>
      </w:pPr>
      <w:r>
        <w:rPr>
          <w:b/>
          <w:szCs w:val="20"/>
        </w:rPr>
        <w:t>M2</w:t>
      </w:r>
      <w:r>
        <w:t xml:space="preserve"> (Artikel 15) umfasst die Beratung einzelner Landwirte, von Junglandwirten und anderen Landbewirtschaftern sowie die Schulung von Beratern oder Anbietern von Diensten zur Innovationsförderung. Dazu gehören mehrere Elemente, wie etwa die Beratung über Maßnahmen im Rahmen der Programme zur Entwicklung des ländlichen Raums auf der Ebene der landwirtschaftlichen Betriebe, die unter anderem auf die Innovationsförderung abzielen.</w:t>
      </w:r>
      <w:r w:rsidRPr="00E05D08">
        <w:rPr>
          <w:rFonts w:eastAsia="Times New Roman" w:cs="Times New Roman"/>
          <w:szCs w:val="20"/>
          <w:vertAlign w:val="superscript"/>
          <w:lang w:eastAsia="de-DE"/>
        </w:rPr>
        <w:footnoteReference w:id="49"/>
      </w:r>
      <w:r>
        <w:t xml:space="preserve"> Dadurch, dass sie Gelegenheit zum Wissenstransfer bieten, sind Beratungsdienste eine Möglichkeit, </w:t>
      </w:r>
      <w:r>
        <w:rPr>
          <w:b/>
          <w:szCs w:val="20"/>
        </w:rPr>
        <w:t>die Innovationsfähigkeit zu verbessern</w:t>
      </w:r>
      <w:r>
        <w:t xml:space="preserve"> (siehe </w:t>
      </w:r>
      <w:hyperlink w:anchor="Innovation_RD" w:history="1">
        <w:r>
          <w:rPr>
            <w:rStyle w:val="Hyperlink"/>
            <w:sz w:val="20"/>
            <w:szCs w:val="20"/>
          </w:rPr>
          <w:t>Kapitel 1.1</w:t>
        </w:r>
      </w:hyperlink>
      <w:r>
        <w:t>). Im Kontext der EIP übernehmen die Beratungsdienste/Dienste zur Innovationsförderung im Rahmen der interaktiven Innovationsprozesse in Verbindung mit den operationellen Gruppen darüber hinaus eine „Coaching“-Funktion.</w:t>
      </w:r>
    </w:p>
    <w:p w:rsidR="00A45935" w:rsidRDefault="00A45935" w:rsidP="00E05D08">
      <w:pPr>
        <w:spacing w:after="120" w:line="280" w:lineRule="atLeast"/>
        <w:mirrorIndents/>
        <w:rPr>
          <w:rFonts w:eastAsia="Times New Roman" w:cs="Times New Roman"/>
          <w:szCs w:val="20"/>
        </w:rPr>
      </w:pPr>
      <w:r>
        <w:rPr>
          <w:b/>
          <w:szCs w:val="20"/>
        </w:rPr>
        <w:t>M16</w:t>
      </w:r>
      <w:r>
        <w:t xml:space="preserve"> (Artikel 35) unterstützt (a) die Zusammenarbeit einer Vielzahl von Akteuren, die dazu beitragen, die Ziele der Politik zur Entwicklung des ländlichen Raums zu verwirklichen (Land- und Forstwirtschaft, Nahrungsmittelkette, Erzeugergemeinschaften, Genossenschaften, Branchenverbände und andere); (b) die Schaffung von Clustern und Netzwerken; und (c) den Aufbau und Betrieb operationeller Gruppen der EIP-AGRI. M16 umfasst 10 Teilmaßnahmen und fördert Innovation in Bezug auf </w:t>
      </w:r>
      <w:r>
        <w:rPr>
          <w:b/>
          <w:szCs w:val="20"/>
        </w:rPr>
        <w:t>alle drei Pfade</w:t>
      </w:r>
      <w:r>
        <w:t>, die in Kapitel 1.1 beschrieben sind (siehe Kasten unten).</w:t>
      </w:r>
    </w:p>
    <w:p w:rsidR="006F1601" w:rsidRDefault="00A45935" w:rsidP="00E05D08">
      <w:pPr>
        <w:spacing w:after="120" w:line="280" w:lineRule="atLeast"/>
        <w:mirrorIndents/>
        <w:rPr>
          <w:rFonts w:eastAsia="Times New Roman" w:cs="Times New Roman"/>
          <w:szCs w:val="20"/>
        </w:rPr>
      </w:pPr>
      <w:r>
        <w:rPr>
          <w:b/>
          <w:szCs w:val="20"/>
        </w:rPr>
        <w:t xml:space="preserve">M19 </w:t>
      </w:r>
      <w:r>
        <w:t>(Artikel 42) fördert die Entwicklung des ländlichen Raums auf lokaler Ebene durch die Anwendung der Grundsätze von LEADER</w:t>
      </w:r>
      <w:r w:rsidRPr="00E05D08">
        <w:rPr>
          <w:rFonts w:eastAsia="Calibri" w:cs="Times New Roman"/>
          <w:szCs w:val="20"/>
          <w:vertAlign w:val="superscript"/>
          <w:lang w:eastAsia="de-DE"/>
        </w:rPr>
        <w:footnoteReference w:id="50"/>
      </w:r>
      <w:r>
        <w:t>. Bei einem dieser Grundsätze geht es um die Förderung von Innovation durch Tätigkeiten der lokalen Aktionsgruppen und Begünstigten von Strategien, die unter die von der örtlichen Bevölkerung betriebenen Maßnahmen zur lokalen Entwicklung fallen (CLLD). M19 umfasst fünf Teilmaßnahmen, die Innovationen über einen, zwei oder alle drei in Kapitel 1.1 beschriebenen Pfade unterstützen können (siehe Kasten unten).</w:t>
      </w:r>
    </w:p>
    <w:p w:rsidR="00863DB0" w:rsidRDefault="00416A20" w:rsidP="00416A20">
      <w:pPr>
        <w:spacing w:after="120" w:line="280" w:lineRule="atLeast"/>
        <w:mirrorIndents/>
        <w:rPr>
          <w:rFonts w:eastAsia="Calibri" w:cs="Times New Roman"/>
          <w:b/>
          <w:color w:val="57825E"/>
          <w:szCs w:val="20"/>
          <w:shd w:val="clear" w:color="auto" w:fill="FFFFFF"/>
        </w:rPr>
      </w:pPr>
      <w:r w:rsidRPr="00E05D08">
        <w:rPr>
          <w:rFonts w:eastAsia="Times New Roman" w:cs="Times New Roman"/>
          <w:noProof/>
          <w:szCs w:val="20"/>
          <w:lang w:val="en-GB" w:eastAsia="en-GB"/>
        </w:rPr>
        <w:lastRenderedPageBreak/>
        <mc:AlternateContent>
          <mc:Choice Requires="wps">
            <w:drawing>
              <wp:anchor distT="0" distB="0" distL="114300" distR="114300" simplePos="0" relativeHeight="251736064" behindDoc="1" locked="0" layoutInCell="1" allowOverlap="1" wp14:anchorId="794E9EFB" wp14:editId="583601A9">
                <wp:simplePos x="0" y="0"/>
                <wp:positionH relativeFrom="column">
                  <wp:posOffset>0</wp:posOffset>
                </wp:positionH>
                <wp:positionV relativeFrom="paragraph">
                  <wp:posOffset>620395</wp:posOffset>
                </wp:positionV>
                <wp:extent cx="5913755" cy="7703820"/>
                <wp:effectExtent l="0" t="0" r="10795" b="11430"/>
                <wp:wrapTight wrapText="bothSides">
                  <wp:wrapPolygon edited="0">
                    <wp:start x="765" y="0"/>
                    <wp:lineTo x="0" y="267"/>
                    <wp:lineTo x="0" y="21579"/>
                    <wp:lineTo x="20874" y="21579"/>
                    <wp:lineTo x="20944" y="21579"/>
                    <wp:lineTo x="21361" y="21365"/>
                    <wp:lineTo x="21570" y="21045"/>
                    <wp:lineTo x="21570" y="0"/>
                    <wp:lineTo x="765" y="0"/>
                  </wp:wrapPolygon>
                </wp:wrapTight>
                <wp:docPr id="11" name="Rectangle: Diagonal Corners Rounded 11"/>
                <wp:cNvGraphicFramePr/>
                <a:graphic xmlns:a="http://schemas.openxmlformats.org/drawingml/2006/main">
                  <a:graphicData uri="http://schemas.microsoft.com/office/word/2010/wordprocessingShape">
                    <wps:wsp>
                      <wps:cNvSpPr/>
                      <wps:spPr>
                        <a:xfrm>
                          <a:off x="0" y="0"/>
                          <a:ext cx="5913755" cy="7703820"/>
                        </a:xfrm>
                        <a:prstGeom prst="round2DiagRect">
                          <a:avLst>
                            <a:gd name="adj1" fmla="val 5642"/>
                            <a:gd name="adj2" fmla="val 0"/>
                          </a:avLst>
                        </a:prstGeom>
                        <a:noFill/>
                        <a:ln w="25400" cap="flat" cmpd="sng" algn="ctr">
                          <a:solidFill>
                            <a:srgbClr val="F07E31"/>
                          </a:solidFill>
                          <a:prstDash val="solid"/>
                        </a:ln>
                        <a:effectLst/>
                      </wps:spPr>
                      <wps:txbx>
                        <w:txbxContent>
                          <w:p w:rsidR="00533F8C" w:rsidRDefault="00533F8C" w:rsidP="00C3334D">
                            <w:pPr>
                              <w:pStyle w:val="HStandard"/>
                              <w:ind w:left="284" w:right="23"/>
                            </w:pPr>
                            <w:r>
                              <w:rPr>
                                <w:noProof/>
                                <w:lang w:val="en-GB" w:eastAsia="en-GB"/>
                              </w:rPr>
                              <w:drawing>
                                <wp:inline distT="0" distB="0" distL="0" distR="0" wp14:anchorId="46BE8EBB" wp14:editId="17766BF6">
                                  <wp:extent cx="353060" cy="359410"/>
                                  <wp:effectExtent l="0" t="0" r="8890" b="2540"/>
                                  <wp:docPr id="2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533F8C" w:rsidRPr="00A95406" w:rsidRDefault="00533F8C" w:rsidP="00A66F3C">
                            <w:pPr>
                              <w:pStyle w:val="HStandard"/>
                              <w:ind w:right="23"/>
                              <w:rPr>
                                <w:b/>
                                <w:color w:val="F07E31"/>
                                <w:sz w:val="14"/>
                                <w:szCs w:val="14"/>
                              </w:rPr>
                            </w:pPr>
                            <w:r w:rsidRPr="00A95406">
                              <w:rPr>
                                <w:b/>
                                <w:color w:val="F07E31"/>
                                <w:sz w:val="14"/>
                                <w:szCs w:val="14"/>
                              </w:rPr>
                              <w:t>Beispiele für die Verbesserung der Innovationsfähigkeit durch M1:</w:t>
                            </w:r>
                          </w:p>
                          <w:p w:rsidR="00533F8C" w:rsidRPr="00A95406" w:rsidRDefault="00533F8C" w:rsidP="00A66F3C">
                            <w:pPr>
                              <w:pStyle w:val="Hlistbullet"/>
                              <w:rPr>
                                <w:sz w:val="14"/>
                                <w:szCs w:val="14"/>
                              </w:rPr>
                            </w:pPr>
                            <w:r w:rsidRPr="00A95406">
                              <w:rPr>
                                <w:sz w:val="14"/>
                                <w:szCs w:val="14"/>
                              </w:rPr>
                              <w:t>Neue Kompetenzen von Landwirten/KMU bei der Anwendung innovativer Verfahren/Techniken oder neue organisatorische Fähigkeiten</w:t>
                            </w:r>
                          </w:p>
                          <w:p w:rsidR="00533F8C" w:rsidRPr="00A95406" w:rsidRDefault="00533F8C" w:rsidP="00A66F3C">
                            <w:pPr>
                              <w:pStyle w:val="Hlistbullet"/>
                              <w:rPr>
                                <w:sz w:val="14"/>
                                <w:szCs w:val="14"/>
                              </w:rPr>
                            </w:pPr>
                            <w:r w:rsidRPr="00A95406">
                              <w:rPr>
                                <w:sz w:val="14"/>
                                <w:szCs w:val="14"/>
                              </w:rPr>
                              <w:t>Austauschmöglichkeiten und Besuche, mit denen der Wissenstransfer zwischen den landwirtschaftlichen Betrieben/Regionen gefördert wird.</w:t>
                            </w:r>
                          </w:p>
                          <w:p w:rsidR="00533F8C" w:rsidRPr="00A95406" w:rsidRDefault="00533F8C" w:rsidP="00C3334D">
                            <w:pPr>
                              <w:pStyle w:val="HStandard"/>
                              <w:ind w:right="54"/>
                              <w:rPr>
                                <w:b/>
                                <w:color w:val="F07E31"/>
                                <w:sz w:val="14"/>
                                <w:szCs w:val="14"/>
                              </w:rPr>
                            </w:pPr>
                            <w:r w:rsidRPr="00A95406">
                              <w:rPr>
                                <w:b/>
                                <w:color w:val="F07E31"/>
                                <w:sz w:val="14"/>
                                <w:szCs w:val="14"/>
                              </w:rPr>
                              <w:t>Beispiele der Innovationsförderung durch M16:</w:t>
                            </w:r>
                          </w:p>
                          <w:p w:rsidR="00533F8C" w:rsidRPr="00A95406" w:rsidRDefault="00533F8C" w:rsidP="00A66F3C">
                            <w:pPr>
                              <w:pStyle w:val="Hlistbullet"/>
                              <w:rPr>
                                <w:sz w:val="14"/>
                                <w:szCs w:val="14"/>
                              </w:rPr>
                            </w:pPr>
                            <w:r w:rsidRPr="00A95406">
                              <w:rPr>
                                <w:sz w:val="14"/>
                                <w:szCs w:val="14"/>
                              </w:rPr>
                              <w:t>Die Entwicklung neuer Erzeugnisse, Verfahren und Technologien in der Landwirtschaft, in der Lebensmittelindustrie und in der Forstwirtschaft (Teilmaßnahme M16.2</w:t>
                            </w:r>
                            <w:r w:rsidRPr="00A95406">
                              <w:rPr>
                                <w:sz w:val="14"/>
                                <w:szCs w:val="14"/>
                                <w:vertAlign w:val="superscript"/>
                              </w:rPr>
                              <w:t>51</w:t>
                            </w:r>
                            <w:r w:rsidRPr="00A95406">
                              <w:rPr>
                                <w:sz w:val="14"/>
                                <w:szCs w:val="14"/>
                              </w:rPr>
                              <w:t xml:space="preserve">) steht in Zusammenhang mit der gemeinsamen Ermittlung und Förderung von Innovation. </w:t>
                            </w:r>
                          </w:p>
                          <w:p w:rsidR="00533F8C" w:rsidRPr="00A95406" w:rsidRDefault="00533F8C" w:rsidP="00A66F3C">
                            <w:pPr>
                              <w:pStyle w:val="Hlistbullet"/>
                              <w:rPr>
                                <w:sz w:val="14"/>
                                <w:szCs w:val="14"/>
                              </w:rPr>
                            </w:pPr>
                            <w:proofErr w:type="gramStart"/>
                            <w:r w:rsidRPr="00A95406">
                              <w:rPr>
                                <w:sz w:val="14"/>
                                <w:szCs w:val="14"/>
                              </w:rPr>
                              <w:t>Alle anderen Teilmaßnahme</w:t>
                            </w:r>
                            <w:proofErr w:type="gramEnd"/>
                            <w:r w:rsidRPr="00A95406">
                              <w:rPr>
                                <w:sz w:val="14"/>
                                <w:szCs w:val="14"/>
                              </w:rPr>
                              <w:t xml:space="preserve"> haben das Potenzial, </w:t>
                            </w:r>
                            <w:r w:rsidRPr="00A95406">
                              <w:rPr>
                                <w:b/>
                                <w:sz w:val="14"/>
                                <w:szCs w:val="14"/>
                              </w:rPr>
                              <w:t>die Innovationsfähigkeit zu verbessern</w:t>
                            </w:r>
                            <w:r w:rsidRPr="00A95406">
                              <w:rPr>
                                <w:sz w:val="14"/>
                                <w:szCs w:val="14"/>
                              </w:rPr>
                              <w:t>, da der Prozess der Zusammenarbeit beinhaltet, dass gemeinsam neue Chancen entdeckt, neue Ideen erzeugt, mit neuartigen Technologien experimentiert und neue Herangehensweisen erarbeitet werden.</w:t>
                            </w:r>
                          </w:p>
                          <w:p w:rsidR="00533F8C" w:rsidRPr="00A95406" w:rsidRDefault="00533F8C" w:rsidP="00A66F3C">
                            <w:pPr>
                              <w:pStyle w:val="Hlistbullet"/>
                              <w:rPr>
                                <w:sz w:val="14"/>
                                <w:szCs w:val="14"/>
                              </w:rPr>
                            </w:pPr>
                            <w:r w:rsidRPr="00A95406">
                              <w:rPr>
                                <w:sz w:val="14"/>
                                <w:szCs w:val="14"/>
                              </w:rPr>
                              <w:t xml:space="preserve">Darüber hinaus kann die Unterstützung von Kooperationsprojekten seitens der Berater/Dienste zur Innovationsförderung, einschließlich der Unterstützung seitens der nationalen Netzwerke für den ländlichen Raum zu diesem Zweck, zur </w:t>
                            </w:r>
                            <w:r w:rsidRPr="00A95406">
                              <w:rPr>
                                <w:b/>
                                <w:sz w:val="14"/>
                                <w:szCs w:val="14"/>
                              </w:rPr>
                              <w:t>Verbesserung der Innovationsfähigkeit</w:t>
                            </w:r>
                            <w:r w:rsidRPr="00A95406">
                              <w:rPr>
                                <w:sz w:val="14"/>
                                <w:szCs w:val="14"/>
                              </w:rPr>
                              <w:t xml:space="preserve"> beitragen.</w:t>
                            </w:r>
                          </w:p>
                          <w:p w:rsidR="00533F8C" w:rsidRPr="00A95406" w:rsidRDefault="00533F8C" w:rsidP="00A66F3C">
                            <w:pPr>
                              <w:pStyle w:val="Hlistbullet"/>
                              <w:rPr>
                                <w:sz w:val="14"/>
                                <w:szCs w:val="14"/>
                              </w:rPr>
                            </w:pPr>
                            <w:r w:rsidRPr="00A95406">
                              <w:rPr>
                                <w:sz w:val="14"/>
                                <w:szCs w:val="14"/>
                              </w:rPr>
                              <w:t xml:space="preserve">Die Teilnahme von Innovationsakteuren an Kooperationsprojekten (z. B. Dienste zur Innovationsförderung, Innovationsabteilungen, Forschungs- und Entwicklungszentren oder Innovations- und Technologiezentren) kann zur </w:t>
                            </w:r>
                            <w:r w:rsidRPr="00A95406">
                              <w:rPr>
                                <w:b/>
                                <w:sz w:val="14"/>
                                <w:szCs w:val="14"/>
                              </w:rPr>
                              <w:t>Schaffung eines innovationsfördernden Umfelds</w:t>
                            </w:r>
                            <w:r w:rsidRPr="00A95406">
                              <w:rPr>
                                <w:sz w:val="14"/>
                                <w:szCs w:val="14"/>
                              </w:rPr>
                              <w:t xml:space="preserve"> beitragen. Die Durchführung eines gemeinsamen Forschungsprojekts kann beispielsweise zu einem Ergebnis führen, das die Gesetzgebung beeinflusst (z. B. das Umweltrecht).</w:t>
                            </w:r>
                          </w:p>
                          <w:p w:rsidR="00533F8C" w:rsidRPr="00A95406" w:rsidRDefault="00533F8C" w:rsidP="00A66F3C">
                            <w:pPr>
                              <w:pStyle w:val="Hlistbullet"/>
                              <w:rPr>
                                <w:sz w:val="14"/>
                                <w:szCs w:val="14"/>
                              </w:rPr>
                            </w:pPr>
                            <w:r w:rsidRPr="00A95406">
                              <w:rPr>
                                <w:sz w:val="14"/>
                                <w:szCs w:val="14"/>
                              </w:rPr>
                              <w:t xml:space="preserve">Der Aufbau und Betrieb operationeller Gruppen kann einen noch ganzheitlicheren Ansatz für die Innovationsförderung bieten, indem </w:t>
                            </w:r>
                            <w:r w:rsidRPr="00A95406">
                              <w:rPr>
                                <w:b/>
                                <w:sz w:val="14"/>
                                <w:szCs w:val="14"/>
                              </w:rPr>
                              <w:t>alle drei Pfade</w:t>
                            </w:r>
                            <w:r w:rsidRPr="00A95406">
                              <w:rPr>
                                <w:sz w:val="14"/>
                                <w:szCs w:val="14"/>
                              </w:rPr>
                              <w:t xml:space="preserve"> miteinander kombiniert werden: das Erkennen neuer Ideen (Ausgangspunkt für operationelle Gruppen), die Verbesserung der Innovationsfähigkeit (die Unterstützung seitens Beratern/Diensten zur Innovationsförderung) und die Schaffung eines innovationsfördernden Umfelds (die Ergebnisse der Projekte der operationellen Gruppen).</w:t>
                            </w:r>
                          </w:p>
                          <w:p w:rsidR="00533F8C" w:rsidRPr="00A95406" w:rsidRDefault="00533F8C" w:rsidP="00C3334D">
                            <w:pPr>
                              <w:pStyle w:val="Normal12PTcouleurgris"/>
                              <w:ind w:left="284"/>
                              <w:rPr>
                                <w:color w:val="F07E31"/>
                                <w:sz w:val="14"/>
                                <w:szCs w:val="14"/>
                              </w:rPr>
                            </w:pPr>
                            <w:r w:rsidRPr="00A95406">
                              <w:rPr>
                                <w:b/>
                                <w:color w:val="F07E31"/>
                                <w:sz w:val="14"/>
                                <w:szCs w:val="14"/>
                              </w:rPr>
                              <w:t>Beispiele der Innovationsförderung durch M19:</w:t>
                            </w:r>
                          </w:p>
                          <w:p w:rsidR="00533F8C" w:rsidRPr="00A95406" w:rsidRDefault="00533F8C" w:rsidP="00A66F3C">
                            <w:pPr>
                              <w:pStyle w:val="Hlistbullet"/>
                              <w:rPr>
                                <w:sz w:val="14"/>
                                <w:szCs w:val="14"/>
                              </w:rPr>
                            </w:pPr>
                            <w:r w:rsidRPr="00A95406">
                              <w:rPr>
                                <w:sz w:val="14"/>
                                <w:szCs w:val="14"/>
                              </w:rPr>
                              <w:t xml:space="preserve">Anwendung neuer Arten der Strategiegestaltung einschließlich verschiedener einzigartiger Formen zur Einbeziehung der lokalen Bevölkerung in strategische Entscheidungen (z. B. verschiedene Sensibilisierungstätigkeiten in Verbindung mit dem Zusammentragen von Informationen, verschiedene Arbeitstagungen und Diskussionsplattformen usw.) und dadurch Förderung der </w:t>
                            </w:r>
                            <w:r w:rsidRPr="00A95406">
                              <w:rPr>
                                <w:b/>
                                <w:sz w:val="14"/>
                                <w:szCs w:val="14"/>
                              </w:rPr>
                              <w:t>Schaffung eines innovationsfördernden Umfelds (Pfad 3)</w:t>
                            </w:r>
                            <w:r w:rsidRPr="00A95406">
                              <w:rPr>
                                <w:sz w:val="14"/>
                                <w:szCs w:val="14"/>
                              </w:rPr>
                              <w:t>.</w:t>
                            </w:r>
                          </w:p>
                          <w:p w:rsidR="00533F8C" w:rsidRPr="00A95406" w:rsidRDefault="00533F8C" w:rsidP="00A66F3C">
                            <w:pPr>
                              <w:pStyle w:val="Hlistbullet"/>
                              <w:rPr>
                                <w:sz w:val="14"/>
                                <w:szCs w:val="14"/>
                              </w:rPr>
                            </w:pPr>
                            <w:r w:rsidRPr="00A95406">
                              <w:rPr>
                                <w:sz w:val="14"/>
                                <w:szCs w:val="14"/>
                              </w:rPr>
                              <w:t xml:space="preserve">Umsetzung innovativer Sensibilisierungstätigkeiten jenseits von Strategiegestaltung und -umsetzung sowie Sicherstellung der Einbeziehung der breiteren Öffentlichkeit in verschiedene innovative Maßnahmen der LAG (z. B. mit Schwerpunkt auf den Aufbau einer starken gebietsbezogenen Identität, etwa durch die Einbeziehung des Natur- und Kulturerbes), die einen weiteren Beitrag zur </w:t>
                            </w:r>
                            <w:r w:rsidRPr="00A95406">
                              <w:rPr>
                                <w:b/>
                                <w:sz w:val="14"/>
                                <w:szCs w:val="14"/>
                              </w:rPr>
                              <w:t>Schaffung eines innovationsfördernden Umfelds und zur Förderung von Ideen mit Innovationspotenzial (Pfad 3 und 1)</w:t>
                            </w:r>
                            <w:r w:rsidRPr="00A95406">
                              <w:rPr>
                                <w:sz w:val="14"/>
                                <w:szCs w:val="14"/>
                              </w:rPr>
                              <w:t xml:space="preserve"> leisten.</w:t>
                            </w:r>
                          </w:p>
                          <w:p w:rsidR="00533F8C" w:rsidRPr="00A95406" w:rsidRDefault="00533F8C" w:rsidP="00A66F3C">
                            <w:pPr>
                              <w:pStyle w:val="Hlistbullet"/>
                              <w:rPr>
                                <w:sz w:val="14"/>
                                <w:szCs w:val="14"/>
                              </w:rPr>
                            </w:pPr>
                            <w:r w:rsidRPr="00A95406">
                              <w:rPr>
                                <w:sz w:val="14"/>
                                <w:szCs w:val="14"/>
                              </w:rPr>
                              <w:t xml:space="preserve">Initiierung innovativer Kooperationsprojekte, die den Transfer von Wissen, Erfahrungen und Technologien in ein LAG-Gebiet ermöglichen und einen Raum dafür bieten, </w:t>
                            </w:r>
                            <w:r w:rsidRPr="00A95406">
                              <w:rPr>
                                <w:b/>
                                <w:sz w:val="14"/>
                                <w:szCs w:val="14"/>
                              </w:rPr>
                              <w:t>Ideen mit Innovationspotenzial zu fördern (Pfad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E9EFB" id="Rectangle: Diagonal Corners Rounded 11" o:spid="_x0000_s1042" style="position:absolute;left:0;text-align:left;margin-left:0;margin-top:48.85pt;width:465.65pt;height:606.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3755,77038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" adj="-11796480,,5400" path="m333654,l5913755,r,l5913755,7370166v,184272,-149382,333654,-333654,333654l,7703820r,l,333654c,149382,149382,,333654,xe" filled="f" strokecolor="#f07e31" strokeweight="2pt">
                <v:stroke joinstyle="miter"/>
                <v:formulas/>
                <v:path arrowok="t" o:connecttype="custom" o:connectlocs="333654,0;5913755,0;5913755,0;5913755,7370166;5580101,7703820;0,7703820;0,7703820;0,333654;333654,0" o:connectangles="0,0,0,0,0,0,0,0,0" textboxrect="0,0,5913755,7703820"/>
                <v:textbox>
                  <w:txbxContent>
                    <w:p w:rsidR="00533F8C" w:rsidRDefault="00533F8C" w:rsidP="00C3334D">
                      <w:pPr>
                        <w:pStyle w:val="HStandard"/>
                        <w:ind w:left="284" w:right="23"/>
                      </w:pPr>
                      <w:r>
                        <w:rPr>
                          <w:noProof/>
                          <w:lang w:val="en-GB" w:eastAsia="en-GB"/>
                        </w:rPr>
                        <w:drawing>
                          <wp:inline distT="0" distB="0" distL="0" distR="0" wp14:anchorId="46BE8EBB" wp14:editId="17766BF6">
                            <wp:extent cx="353060" cy="359410"/>
                            <wp:effectExtent l="0" t="0" r="8890" b="2540"/>
                            <wp:docPr id="2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533F8C" w:rsidRPr="00A95406" w:rsidRDefault="00533F8C" w:rsidP="00A66F3C">
                      <w:pPr>
                        <w:pStyle w:val="HStandard"/>
                        <w:ind w:right="23"/>
                        <w:rPr>
                          <w:b/>
                          <w:color w:val="F07E31"/>
                          <w:sz w:val="14"/>
                          <w:szCs w:val="14"/>
                        </w:rPr>
                      </w:pPr>
                      <w:r w:rsidRPr="00A95406">
                        <w:rPr>
                          <w:b/>
                          <w:color w:val="F07E31"/>
                          <w:sz w:val="14"/>
                          <w:szCs w:val="14"/>
                        </w:rPr>
                        <w:t>Beispiele für die Verbesserung der Innovationsfähigkeit durch M1:</w:t>
                      </w:r>
                    </w:p>
                    <w:p w:rsidR="00533F8C" w:rsidRPr="00A95406" w:rsidRDefault="00533F8C" w:rsidP="00A66F3C">
                      <w:pPr>
                        <w:pStyle w:val="Hlistbullet"/>
                        <w:rPr>
                          <w:sz w:val="14"/>
                          <w:szCs w:val="14"/>
                        </w:rPr>
                      </w:pPr>
                      <w:r w:rsidRPr="00A95406">
                        <w:rPr>
                          <w:sz w:val="14"/>
                          <w:szCs w:val="14"/>
                        </w:rPr>
                        <w:t>Neue Kompetenzen von Landwirten/KMU bei der Anwendung innovativer Verfahren/Techniken oder neue organisatorische Fähigkeiten</w:t>
                      </w:r>
                    </w:p>
                    <w:p w:rsidR="00533F8C" w:rsidRPr="00A95406" w:rsidRDefault="00533F8C" w:rsidP="00A66F3C">
                      <w:pPr>
                        <w:pStyle w:val="Hlistbullet"/>
                        <w:rPr>
                          <w:sz w:val="14"/>
                          <w:szCs w:val="14"/>
                        </w:rPr>
                      </w:pPr>
                      <w:r w:rsidRPr="00A95406">
                        <w:rPr>
                          <w:sz w:val="14"/>
                          <w:szCs w:val="14"/>
                        </w:rPr>
                        <w:t>Austauschmöglichkeiten und Besuche, mit denen der Wissenstransfer zwischen den landwirtschaftlichen Betrieben/Regionen gefördert wird.</w:t>
                      </w:r>
                    </w:p>
                    <w:p w:rsidR="00533F8C" w:rsidRPr="00A95406" w:rsidRDefault="00533F8C" w:rsidP="00C3334D">
                      <w:pPr>
                        <w:pStyle w:val="HStandard"/>
                        <w:ind w:right="54"/>
                        <w:rPr>
                          <w:b/>
                          <w:color w:val="F07E31"/>
                          <w:sz w:val="14"/>
                          <w:szCs w:val="14"/>
                        </w:rPr>
                      </w:pPr>
                      <w:r w:rsidRPr="00A95406">
                        <w:rPr>
                          <w:b/>
                          <w:color w:val="F07E31"/>
                          <w:sz w:val="14"/>
                          <w:szCs w:val="14"/>
                        </w:rPr>
                        <w:t>Beispiele der Innovationsförderung durch M16:</w:t>
                      </w:r>
                    </w:p>
                    <w:p w:rsidR="00533F8C" w:rsidRPr="00A95406" w:rsidRDefault="00533F8C" w:rsidP="00A66F3C">
                      <w:pPr>
                        <w:pStyle w:val="Hlistbullet"/>
                        <w:rPr>
                          <w:sz w:val="14"/>
                          <w:szCs w:val="14"/>
                        </w:rPr>
                      </w:pPr>
                      <w:r w:rsidRPr="00A95406">
                        <w:rPr>
                          <w:sz w:val="14"/>
                          <w:szCs w:val="14"/>
                        </w:rPr>
                        <w:t>Die Entwicklung neuer Erzeugnisse, Verfahren und Technologien in der Landwirtschaft, in der Lebensmittelindustrie und in der Forstwirtschaft (Teilmaßnahme M16.2</w:t>
                      </w:r>
                      <w:r w:rsidRPr="00A95406">
                        <w:rPr>
                          <w:sz w:val="14"/>
                          <w:szCs w:val="14"/>
                          <w:vertAlign w:val="superscript"/>
                        </w:rPr>
                        <w:t>51</w:t>
                      </w:r>
                      <w:r w:rsidRPr="00A95406">
                        <w:rPr>
                          <w:sz w:val="14"/>
                          <w:szCs w:val="14"/>
                        </w:rPr>
                        <w:t xml:space="preserve">) steht in Zusammenhang mit der gemeinsamen Ermittlung und Förderung von Innovation. </w:t>
                      </w:r>
                    </w:p>
                    <w:p w:rsidR="00533F8C" w:rsidRPr="00A95406" w:rsidRDefault="00533F8C" w:rsidP="00A66F3C">
                      <w:pPr>
                        <w:pStyle w:val="Hlistbullet"/>
                        <w:rPr>
                          <w:sz w:val="14"/>
                          <w:szCs w:val="14"/>
                        </w:rPr>
                      </w:pPr>
                      <w:proofErr w:type="gramStart"/>
                      <w:r w:rsidRPr="00A95406">
                        <w:rPr>
                          <w:sz w:val="14"/>
                          <w:szCs w:val="14"/>
                        </w:rPr>
                        <w:t>Alle anderen Teilmaßnahme</w:t>
                      </w:r>
                      <w:proofErr w:type="gramEnd"/>
                      <w:r w:rsidRPr="00A95406">
                        <w:rPr>
                          <w:sz w:val="14"/>
                          <w:szCs w:val="14"/>
                        </w:rPr>
                        <w:t xml:space="preserve"> haben das Potenzial, </w:t>
                      </w:r>
                      <w:r w:rsidRPr="00A95406">
                        <w:rPr>
                          <w:b/>
                          <w:sz w:val="14"/>
                          <w:szCs w:val="14"/>
                        </w:rPr>
                        <w:t>die Innovationsfähigkeit zu verbessern</w:t>
                      </w:r>
                      <w:r w:rsidRPr="00A95406">
                        <w:rPr>
                          <w:sz w:val="14"/>
                          <w:szCs w:val="14"/>
                        </w:rPr>
                        <w:t>, da der Prozess der Zusammenarbeit beinhaltet, dass gemeinsam neue Chancen entdeckt, neue Ideen erzeugt, mit neuartigen Technologien experimentiert und neue Herangehensweisen erarbeitet werden.</w:t>
                      </w:r>
                    </w:p>
                    <w:p w:rsidR="00533F8C" w:rsidRPr="00A95406" w:rsidRDefault="00533F8C" w:rsidP="00A66F3C">
                      <w:pPr>
                        <w:pStyle w:val="Hlistbullet"/>
                        <w:rPr>
                          <w:sz w:val="14"/>
                          <w:szCs w:val="14"/>
                        </w:rPr>
                      </w:pPr>
                      <w:r w:rsidRPr="00A95406">
                        <w:rPr>
                          <w:sz w:val="14"/>
                          <w:szCs w:val="14"/>
                        </w:rPr>
                        <w:t xml:space="preserve">Darüber hinaus kann die Unterstützung von Kooperationsprojekten seitens der Berater/Dienste zur Innovationsförderung, einschließlich der Unterstützung seitens der nationalen Netzwerke für den ländlichen Raum zu diesem Zweck, zur </w:t>
                      </w:r>
                      <w:r w:rsidRPr="00A95406">
                        <w:rPr>
                          <w:b/>
                          <w:sz w:val="14"/>
                          <w:szCs w:val="14"/>
                        </w:rPr>
                        <w:t>Verbesserung der Innovationsfähigkeit</w:t>
                      </w:r>
                      <w:r w:rsidRPr="00A95406">
                        <w:rPr>
                          <w:sz w:val="14"/>
                          <w:szCs w:val="14"/>
                        </w:rPr>
                        <w:t xml:space="preserve"> beitragen.</w:t>
                      </w:r>
                    </w:p>
                    <w:p w:rsidR="00533F8C" w:rsidRPr="00A95406" w:rsidRDefault="00533F8C" w:rsidP="00A66F3C">
                      <w:pPr>
                        <w:pStyle w:val="Hlistbullet"/>
                        <w:rPr>
                          <w:sz w:val="14"/>
                          <w:szCs w:val="14"/>
                        </w:rPr>
                      </w:pPr>
                      <w:r w:rsidRPr="00A95406">
                        <w:rPr>
                          <w:sz w:val="14"/>
                          <w:szCs w:val="14"/>
                        </w:rPr>
                        <w:t xml:space="preserve">Die Teilnahme von Innovationsakteuren an Kooperationsprojekten (z. B. Dienste zur Innovationsförderung, Innovationsabteilungen, Forschungs- und Entwicklungszentren oder Innovations- und Technologiezentren) kann zur </w:t>
                      </w:r>
                      <w:r w:rsidRPr="00A95406">
                        <w:rPr>
                          <w:b/>
                          <w:sz w:val="14"/>
                          <w:szCs w:val="14"/>
                        </w:rPr>
                        <w:t>Schaffung eines innovationsfördernden Umfelds</w:t>
                      </w:r>
                      <w:r w:rsidRPr="00A95406">
                        <w:rPr>
                          <w:sz w:val="14"/>
                          <w:szCs w:val="14"/>
                        </w:rPr>
                        <w:t xml:space="preserve"> beitragen. Die Durchführung eines gemeinsamen Forschungsprojekts kann beispielsweise zu einem Ergebnis führen, das die Gesetzgebung beeinflusst (z. B. das Umweltrecht).</w:t>
                      </w:r>
                    </w:p>
                    <w:p w:rsidR="00533F8C" w:rsidRPr="00A95406" w:rsidRDefault="00533F8C" w:rsidP="00A66F3C">
                      <w:pPr>
                        <w:pStyle w:val="Hlistbullet"/>
                        <w:rPr>
                          <w:sz w:val="14"/>
                          <w:szCs w:val="14"/>
                        </w:rPr>
                      </w:pPr>
                      <w:r w:rsidRPr="00A95406">
                        <w:rPr>
                          <w:sz w:val="14"/>
                          <w:szCs w:val="14"/>
                        </w:rPr>
                        <w:t xml:space="preserve">Der Aufbau und Betrieb operationeller Gruppen kann einen noch ganzheitlicheren Ansatz für die Innovationsförderung bieten, indem </w:t>
                      </w:r>
                      <w:r w:rsidRPr="00A95406">
                        <w:rPr>
                          <w:b/>
                          <w:sz w:val="14"/>
                          <w:szCs w:val="14"/>
                        </w:rPr>
                        <w:t>alle drei Pfade</w:t>
                      </w:r>
                      <w:r w:rsidRPr="00A95406">
                        <w:rPr>
                          <w:sz w:val="14"/>
                          <w:szCs w:val="14"/>
                        </w:rPr>
                        <w:t xml:space="preserve"> miteinander kombiniert werden: das Erkennen neuer Ideen (Ausgangspunkt für operationelle Gruppen), die Verbesserung der Innovationsfähigkeit (die Unterstützung seitens Beratern/Diensten zur Innovationsförderung) und die Schaffung eines innovationsfördernden Umfelds (die Ergebnisse der Projekte der operationellen Gruppen).</w:t>
                      </w:r>
                    </w:p>
                    <w:p w:rsidR="00533F8C" w:rsidRPr="00A95406" w:rsidRDefault="00533F8C" w:rsidP="00C3334D">
                      <w:pPr>
                        <w:pStyle w:val="Normal12PTcouleurgris"/>
                        <w:ind w:left="284"/>
                        <w:rPr>
                          <w:color w:val="F07E31"/>
                          <w:sz w:val="14"/>
                          <w:szCs w:val="14"/>
                        </w:rPr>
                      </w:pPr>
                      <w:r w:rsidRPr="00A95406">
                        <w:rPr>
                          <w:b/>
                          <w:color w:val="F07E31"/>
                          <w:sz w:val="14"/>
                          <w:szCs w:val="14"/>
                        </w:rPr>
                        <w:t>Beispiele der Innovationsförderung durch M19:</w:t>
                      </w:r>
                    </w:p>
                    <w:p w:rsidR="00533F8C" w:rsidRPr="00A95406" w:rsidRDefault="00533F8C" w:rsidP="00A66F3C">
                      <w:pPr>
                        <w:pStyle w:val="Hlistbullet"/>
                        <w:rPr>
                          <w:sz w:val="14"/>
                          <w:szCs w:val="14"/>
                        </w:rPr>
                      </w:pPr>
                      <w:r w:rsidRPr="00A95406">
                        <w:rPr>
                          <w:sz w:val="14"/>
                          <w:szCs w:val="14"/>
                        </w:rPr>
                        <w:t xml:space="preserve">Anwendung neuer Arten der Strategiegestaltung einschließlich verschiedener einzigartiger Formen zur Einbeziehung der lokalen Bevölkerung in strategische Entscheidungen (z. B. verschiedene Sensibilisierungstätigkeiten in Verbindung mit dem Zusammentragen von Informationen, verschiedene Arbeitstagungen und Diskussionsplattformen usw.) und dadurch Förderung der </w:t>
                      </w:r>
                      <w:r w:rsidRPr="00A95406">
                        <w:rPr>
                          <w:b/>
                          <w:sz w:val="14"/>
                          <w:szCs w:val="14"/>
                        </w:rPr>
                        <w:t>Schaffung eines innovationsfördernden Umfelds (Pfad 3)</w:t>
                      </w:r>
                      <w:r w:rsidRPr="00A95406">
                        <w:rPr>
                          <w:sz w:val="14"/>
                          <w:szCs w:val="14"/>
                        </w:rPr>
                        <w:t>.</w:t>
                      </w:r>
                    </w:p>
                    <w:p w:rsidR="00533F8C" w:rsidRPr="00A95406" w:rsidRDefault="00533F8C" w:rsidP="00A66F3C">
                      <w:pPr>
                        <w:pStyle w:val="Hlistbullet"/>
                        <w:rPr>
                          <w:sz w:val="14"/>
                          <w:szCs w:val="14"/>
                        </w:rPr>
                      </w:pPr>
                      <w:r w:rsidRPr="00A95406">
                        <w:rPr>
                          <w:sz w:val="14"/>
                          <w:szCs w:val="14"/>
                        </w:rPr>
                        <w:t xml:space="preserve">Umsetzung innovativer Sensibilisierungstätigkeiten jenseits von Strategiegestaltung und -umsetzung sowie Sicherstellung der Einbeziehung der breiteren Öffentlichkeit in verschiedene innovative Maßnahmen der LAG (z. B. mit Schwerpunkt auf den Aufbau einer starken gebietsbezogenen Identität, etwa durch die Einbeziehung des Natur- und Kulturerbes), die einen weiteren Beitrag zur </w:t>
                      </w:r>
                      <w:r w:rsidRPr="00A95406">
                        <w:rPr>
                          <w:b/>
                          <w:sz w:val="14"/>
                          <w:szCs w:val="14"/>
                        </w:rPr>
                        <w:t>Schaffung eines innovationsfördernden Umfelds und zur Förderung von Ideen mit Innovationspotenzial (Pfad 3 und 1)</w:t>
                      </w:r>
                      <w:r w:rsidRPr="00A95406">
                        <w:rPr>
                          <w:sz w:val="14"/>
                          <w:szCs w:val="14"/>
                        </w:rPr>
                        <w:t xml:space="preserve"> leisten.</w:t>
                      </w:r>
                    </w:p>
                    <w:p w:rsidR="00533F8C" w:rsidRPr="00A95406" w:rsidRDefault="00533F8C" w:rsidP="00A66F3C">
                      <w:pPr>
                        <w:pStyle w:val="Hlistbullet"/>
                        <w:rPr>
                          <w:sz w:val="14"/>
                          <w:szCs w:val="14"/>
                        </w:rPr>
                      </w:pPr>
                      <w:r w:rsidRPr="00A95406">
                        <w:rPr>
                          <w:sz w:val="14"/>
                          <w:szCs w:val="14"/>
                        </w:rPr>
                        <w:t xml:space="preserve">Initiierung innovativer Kooperationsprojekte, die den Transfer von Wissen, Erfahrungen und Technologien in ein LAG-Gebiet ermöglichen und einen Raum dafür bieten, </w:t>
                      </w:r>
                      <w:r w:rsidRPr="00A95406">
                        <w:rPr>
                          <w:b/>
                          <w:sz w:val="14"/>
                          <w:szCs w:val="14"/>
                        </w:rPr>
                        <w:t>Ideen mit Innovationspotenzial zu fördern (Pfad 1).</w:t>
                      </w:r>
                    </w:p>
                  </w:txbxContent>
                </v:textbox>
                <w10:wrap type="tight"/>
              </v:shape>
            </w:pict>
          </mc:Fallback>
        </mc:AlternateContent>
      </w:r>
      <w:r w:rsidR="00C3092C" w:rsidRPr="00C3092C">
        <w:rPr>
          <w:rStyle w:val="FootnoteReference"/>
          <w:rFonts w:eastAsia="Calibri" w:cs="Times New Roman"/>
          <w:b/>
          <w:color w:val="FFFFFF" w:themeColor="background1"/>
          <w:szCs w:val="20"/>
          <w:shd w:val="clear" w:color="auto" w:fill="FFFFFF"/>
        </w:rPr>
        <w:footnoteReference w:id="51"/>
      </w:r>
      <w:r w:rsidR="00863DB0">
        <w:br w:type="page"/>
      </w:r>
    </w:p>
    <w:p w:rsidR="00A45935" w:rsidRPr="00E05D08" w:rsidRDefault="00A45935" w:rsidP="00A66F3C">
      <w:pPr>
        <w:spacing w:after="120" w:line="280" w:lineRule="atLeast"/>
        <w:mirrorIndents/>
        <w:rPr>
          <w:rFonts w:eastAsia="Calibri" w:cs="Times New Roman"/>
          <w:b/>
          <w:color w:val="57825E"/>
          <w:szCs w:val="20"/>
          <w:shd w:val="clear" w:color="auto" w:fill="FFFFFF"/>
        </w:rPr>
      </w:pPr>
      <w:r>
        <w:rPr>
          <w:b/>
          <w:color w:val="57825E"/>
          <w:szCs w:val="20"/>
          <w:shd w:val="clear" w:color="auto" w:fill="FFFFFF"/>
        </w:rPr>
        <w:lastRenderedPageBreak/>
        <w:t xml:space="preserve">Besondere Herausforderungen </w:t>
      </w:r>
    </w:p>
    <w:p w:rsidR="00A45935" w:rsidRPr="000A718F" w:rsidRDefault="00A45935" w:rsidP="00A66F3C">
      <w:pPr>
        <w:pStyle w:val="Hlistbullet"/>
      </w:pPr>
      <w:r>
        <w:rPr>
          <w:b/>
        </w:rPr>
        <w:t>Entwicklung</w:t>
      </w:r>
      <w:r>
        <w:rPr>
          <w:b/>
          <w:shd w:val="clear" w:color="auto" w:fill="FFFFFF"/>
        </w:rPr>
        <w:t xml:space="preserve"> zusätzlicher und programmspezifischer Bewertungselemente</w:t>
      </w:r>
      <w:r>
        <w:rPr>
          <w:shd w:val="clear" w:color="auto" w:fill="FFFFFF"/>
        </w:rPr>
        <w:t xml:space="preserve">: Die CEQ Nr. 1 bezieht sich auf einen gemeinsamen Zielindikator (T1), der unter Umständen nicht ausreicht, um die CEQ zu beantworten, und deshalb möglicherweise durch zwei zusätzliche Indikatoren zur Messung der innovationsbezogenen Ausgaben im Rahmen der betreffenden Maßnahmen ergänzt werden muss. Gleichzeitig können zur Beantwortung der CEQ Nr. 1 zwei gemeinsame Outputindikatoren herangezogen werden (O.13 Zahl der Begünstigten, die beraten wurden, und O.16 Zahl der EIP-Vorhaben). Je nach der spezifischen Interventionslogik können weitere Bewertungselemente erforderlich sein, um alle innovationsbezogenen Aspekte zu bewerten. </w:t>
      </w:r>
    </w:p>
    <w:p w:rsidR="00A45935" w:rsidRPr="000A718F" w:rsidRDefault="00A45935" w:rsidP="00A66F3C">
      <w:pPr>
        <w:pStyle w:val="Hlistbullet"/>
        <w:rPr>
          <w:rFonts w:eastAsia="Calibri"/>
          <w:shd w:val="clear" w:color="auto" w:fill="FFFFFF"/>
        </w:rPr>
      </w:pPr>
      <w:r>
        <w:rPr>
          <w:b/>
          <w:shd w:val="clear" w:color="auto" w:fill="FFFFFF"/>
        </w:rPr>
        <w:t xml:space="preserve">Zuschreibung beobachteter Veränderungen </w:t>
      </w:r>
      <w:r>
        <w:rPr>
          <w:shd w:val="clear" w:color="auto" w:fill="FFFFFF"/>
        </w:rPr>
        <w:t xml:space="preserve">im Hinblick auf die Innovationsförderung zu den </w:t>
      </w:r>
      <w:r>
        <w:rPr>
          <w:b/>
          <w:shd w:val="clear" w:color="auto" w:fill="FFFFFF"/>
        </w:rPr>
        <w:t>Maßnahmen</w:t>
      </w:r>
      <w:r>
        <w:rPr>
          <w:shd w:val="clear" w:color="auto" w:fill="FFFFFF"/>
        </w:rPr>
        <w:t xml:space="preserve"> M1, M2, M16 und M19.</w:t>
      </w:r>
    </w:p>
    <w:p w:rsidR="00A45935" w:rsidRPr="000A718F" w:rsidRDefault="00A45935" w:rsidP="00A66F3C">
      <w:pPr>
        <w:pStyle w:val="Hlistbullet"/>
        <w:rPr>
          <w:rFonts w:eastAsia="Calibri"/>
          <w:shd w:val="clear" w:color="auto" w:fill="FFFFFF"/>
        </w:rPr>
      </w:pPr>
      <w:r>
        <w:rPr>
          <w:b/>
          <w:shd w:val="clear" w:color="auto" w:fill="FFFFFF"/>
        </w:rPr>
        <w:t>Erfassung des Beitrags von Maßnahmen, die mit dem Ziel der Innovationsförderung unter anderen Schwerpunktbereichen programmiert wurden</w:t>
      </w:r>
      <w:r>
        <w:rPr>
          <w:shd w:val="clear" w:color="auto" w:fill="FFFFFF"/>
        </w:rPr>
        <w:t xml:space="preserve"> (außer Schwerpunktbereich 1B).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Empfohlenes Vorgehen bei der Beantwortung der CEQ Nr. 1</w:t>
      </w:r>
    </w:p>
    <w:p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b/>
          <w:szCs w:val="20"/>
        </w:rPr>
        <w:t xml:space="preserve">Interventionslogik </w:t>
      </w:r>
    </w:p>
    <w:p w:rsidR="00863DB0" w:rsidRDefault="00A45935" w:rsidP="00A66F3C">
      <w:pPr>
        <w:spacing w:after="120" w:line="280" w:lineRule="atLeast"/>
        <w:mirrorIndents/>
        <w:rPr>
          <w:rFonts w:eastAsia="Times New Roman" w:cs="Times New Roman"/>
          <w:szCs w:val="20"/>
        </w:rPr>
      </w:pPr>
      <w:r>
        <w:t xml:space="preserve">Die Interventionslogik im Zusammenhang mit der CEQ Nr. 1 kann auch aus dem Innovationsstandpunkt überprüft werden. Die Prüfung kann anhand der Ergebnisse aus der Untersuchung des Innovationspotenzials (siehe </w:t>
      </w:r>
      <w:hyperlink w:anchor="Screening_Potential" w:history="1">
        <w:r>
          <w:rPr>
            <w:rStyle w:val="Hyperlink"/>
            <w:sz w:val="20"/>
            <w:szCs w:val="20"/>
          </w:rPr>
          <w:t>Kapitel 2.2</w:t>
        </w:r>
      </w:hyperlink>
      <w:r>
        <w:t xml:space="preserve">) der Maßnahmen M1, M2, M16 und M19 erfolgen, die in der Regel gemeinsam mit anderen Maßnahmen unter anderen Schwerpunktbereichen als dem Schwerpunktbereich 1A programmiert werden. Dadurch lassen sich die Programmerfolge im Hinblick auf die Ziele des Schwerpunktbereichs 1A besser erfassen und es kann besser beurteilt werden, welche Begünstigten und Akteure der Programme zur Entwicklung des ländlichen Raums sich für die Lieferung von Daten und Informationen eignen. </w:t>
      </w:r>
    </w:p>
    <w:p w:rsidR="00863DB0" w:rsidRDefault="00863DB0">
      <w:pPr>
        <w:jc w:val="left"/>
        <w:rPr>
          <w:rFonts w:eastAsia="Times New Roman" w:cs="Times New Roman"/>
          <w:szCs w:val="20"/>
        </w:rPr>
      </w:pPr>
      <w:r>
        <w:br w:type="page"/>
      </w:r>
    </w:p>
    <w:p w:rsidR="00A45935" w:rsidRPr="00D66501" w:rsidRDefault="00754AD5" w:rsidP="00754AD5">
      <w:pPr>
        <w:pStyle w:val="HHeadingfigures"/>
        <w:tabs>
          <w:tab w:val="clear" w:pos="964"/>
        </w:tabs>
      </w:pPr>
      <w:bookmarkStart w:id="107" w:name="_Toc508377964"/>
      <w:r w:rsidRPr="00754AD5">
        <w:lastRenderedPageBreak/>
        <w:t xml:space="preserve"> </w:t>
      </w:r>
      <w:r w:rsidR="00DD247A">
        <w:t>Beispiel einer Interventionslogik im Zusammenhang mit CEQ Nr. 1</w:t>
      </w:r>
      <w:bookmarkEnd w:id="107"/>
      <w:r w:rsidR="00DD247A">
        <w:t xml:space="preserve"> </w:t>
      </w:r>
    </w:p>
    <w:p w:rsidR="00754AD5" w:rsidRDefault="004F1EC2" w:rsidP="00690E70">
      <w:pPr>
        <w:spacing w:after="120" w:line="280" w:lineRule="atLeast"/>
        <w:mirrorIndents/>
        <w:jc w:val="center"/>
        <w:rPr>
          <w:rFonts w:eastAsia="Times New Roman" w:cs="Times New Roman"/>
          <w:i/>
          <w:sz w:val="16"/>
          <w:szCs w:val="16"/>
          <w:lang w:eastAsia="de-DE"/>
        </w:rPr>
      </w:pPr>
      <w:r w:rsidRPr="004F1EC2">
        <w:rPr>
          <w:noProof/>
          <w:lang w:val="en-GB" w:eastAsia="en-GB"/>
        </w:rPr>
        <w:drawing>
          <wp:inline distT="0" distB="0" distL="0" distR="0" wp14:anchorId="16337442" wp14:editId="4EFFC5A4">
            <wp:extent cx="5731510" cy="322136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3221360"/>
                    </a:xfrm>
                    <a:prstGeom prst="rect">
                      <a:avLst/>
                    </a:prstGeom>
                    <a:noFill/>
                    <a:ln>
                      <a:noFill/>
                    </a:ln>
                  </pic:spPr>
                </pic:pic>
              </a:graphicData>
            </a:graphic>
          </wp:inline>
        </w:drawing>
      </w:r>
    </w:p>
    <w:p w:rsidR="00A45935" w:rsidRPr="00E05D08" w:rsidRDefault="007D2A0C" w:rsidP="00690E70">
      <w:pPr>
        <w:spacing w:after="120" w:line="280" w:lineRule="atLeast"/>
        <w:mirrorIndents/>
        <w:jc w:val="center"/>
        <w:rPr>
          <w:rFonts w:eastAsia="Times New Roman" w:cs="Times New Roman"/>
          <w:i/>
          <w:sz w:val="16"/>
          <w:szCs w:val="20"/>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r w:rsidRPr="00E05D08">
        <w:rPr>
          <w:rFonts w:eastAsia="Times New Roman" w:cs="Times New Roman"/>
          <w:i/>
          <w:noProof/>
          <w:sz w:val="18"/>
          <w:szCs w:val="24"/>
          <w:lang w:val="en-GB" w:eastAsia="en-GB"/>
        </w:rPr>
        <mc:AlternateContent>
          <mc:Choice Requires="wps">
            <w:drawing>
              <wp:anchor distT="0" distB="0" distL="114300" distR="114300" simplePos="0" relativeHeight="251753472" behindDoc="0" locked="0" layoutInCell="1" allowOverlap="1" wp14:anchorId="649E6FDE" wp14:editId="2D368E09">
                <wp:simplePos x="0" y="0"/>
                <wp:positionH relativeFrom="column">
                  <wp:posOffset>0</wp:posOffset>
                </wp:positionH>
                <wp:positionV relativeFrom="paragraph">
                  <wp:posOffset>304800</wp:posOffset>
                </wp:positionV>
                <wp:extent cx="5732780" cy="2181225"/>
                <wp:effectExtent l="0" t="0" r="20320" b="28575"/>
                <wp:wrapSquare wrapText="bothSides"/>
                <wp:docPr id="23" name="Rectangle: Diagonal Corners Rounded 23"/>
                <wp:cNvGraphicFramePr/>
                <a:graphic xmlns:a="http://schemas.openxmlformats.org/drawingml/2006/main">
                  <a:graphicData uri="http://schemas.microsoft.com/office/word/2010/wordprocessingShape">
                    <wps:wsp>
                      <wps:cNvSpPr/>
                      <wps:spPr>
                        <a:xfrm>
                          <a:off x="0" y="0"/>
                          <a:ext cx="5732780" cy="2181225"/>
                        </a:xfrm>
                        <a:prstGeom prst="round2DiagRect">
                          <a:avLst>
                            <a:gd name="adj1" fmla="val 11556"/>
                            <a:gd name="adj2" fmla="val 0"/>
                          </a:avLst>
                        </a:prstGeom>
                        <a:noFill/>
                        <a:ln w="25400" cap="flat" cmpd="sng" algn="ctr">
                          <a:solidFill>
                            <a:srgbClr val="F07E31"/>
                          </a:solidFill>
                          <a:prstDash val="solid"/>
                        </a:ln>
                        <a:effectLst/>
                      </wps:spPr>
                      <wps:txbx>
                        <w:txbxContent>
                          <w:p w:rsidR="00533F8C" w:rsidRPr="00D33212" w:rsidRDefault="00533F8C" w:rsidP="00863DB0">
                            <w:pPr>
                              <w:pStyle w:val="H-Standard"/>
                            </w:pPr>
                            <w:r>
                              <w:rPr>
                                <w:noProof/>
                                <w:lang w:val="en-GB" w:eastAsia="en-GB"/>
                              </w:rPr>
                              <w:drawing>
                                <wp:inline distT="0" distB="0" distL="0" distR="0" wp14:anchorId="574708F1" wp14:editId="5B2EDECA">
                                  <wp:extent cx="353060" cy="359410"/>
                                  <wp:effectExtent l="0" t="0" r="8890" b="2540"/>
                                  <wp:docPr id="60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In diesem Beispiel wurden die Teilmaßnahme unter M1 „Berufsbildung und Erwerb von Qualifikationen“ und die Teilmaßnahme unter M2 „Schulung von Beratern“ als potenziell innovationsfördernd eingestuft, da sie zur Verbesserung der Innovationsfähigkeit beitragen. Die Kombination von M16.7 und M16.8 ist potenziell innovationsfördernd, weil dadurch innovative Ideen gefördert werden; M16.1 kann sich hingegen über alle drei Pfade innovationsfördernd auswirken. Die Teilmaßnahme 19.2, die Strategien, die unter die von der örtlichen Bevölkerung betriebenen Maßnahmen zur lokalen Entwicklung fallen (CLLD), unterstützt, trägt zur Schaffung eines innovationsfördernden Umfelds bei. Die gemeinsame Teilmaßnahme im Rahmen von LEADER (M19.3) trägt zur gemeinsamen Förderung innovativer Ideen bei und verbessert die Innovationsfähigkeit.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E6FDE" id="Rectangle: Diagonal Corners Rounded 23" o:spid="_x0000_s1043" style="position:absolute;left:0;text-align:left;margin-left:0;margin-top:24pt;width:451.4pt;height:17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2780,2181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" adj="-11796480,,5400" path="m252062,l5732780,r,l5732780,1929163v,139210,-112852,252062,-252062,252062l,2181225r,l,252062c,112852,112852,,252062,xe" filled="f" strokecolor="#f07e31" strokeweight="2pt">
                <v:stroke joinstyle="miter"/>
                <v:formulas/>
                <v:path arrowok="t" o:connecttype="custom" o:connectlocs="252062,0;5732780,0;5732780,0;5732780,1929163;5480718,2181225;0,2181225;0,2181225;0,252062;252062,0" o:connectangles="0,0,0,0,0,0,0,0,0" textboxrect="0,0,5732780,2181225"/>
                <v:textbox>
                  <w:txbxContent>
                    <w:p w:rsidR="00533F8C" w:rsidRPr="00D33212" w:rsidRDefault="00533F8C" w:rsidP="00863DB0">
                      <w:pPr>
                        <w:pStyle w:val="H-Standard"/>
                      </w:pPr>
                      <w:r>
                        <w:rPr>
                          <w:noProof/>
                          <w:lang w:val="en-GB" w:eastAsia="en-GB"/>
                        </w:rPr>
                        <w:drawing>
                          <wp:inline distT="0" distB="0" distL="0" distR="0" wp14:anchorId="574708F1" wp14:editId="5B2EDECA">
                            <wp:extent cx="353060" cy="359410"/>
                            <wp:effectExtent l="0" t="0" r="8890" b="2540"/>
                            <wp:docPr id="60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In diesem Beispiel wurden die Teilmaßnahme unter M1 „Berufsbildung und Erwerb von Qualifikationen“ und die Teilmaßnahme unter M2 „Schulung von Beratern“ als potenziell innovationsfördernd eingestuft, da sie zur Verbesserung der Innovationsfähigkeit beitragen. Die Kombination von M16.7 und M16.8 ist potenziell innovationsfördernd, weil dadurch innovative Ideen gefördert werden; M16.1 kann sich hingegen über alle drei Pfade innovationsfördernd auswirken. Die Teilmaßnahme 19.2, die Strategien, die unter die von der örtlichen Bevölkerung betriebenen Maßnahmen zur lokalen Entwicklung fallen (CLLD), unterstützt, trägt zur Schaffung eines innovationsfördernden Umfelds bei. Die gemeinsame Teilmaßnahme im Rahmen von LEADER (M19.3) trägt zur gemeinsamen Förderung innovativer Ideen bei und verbessert die Innovationsfähigkeit.</w:t>
                      </w:r>
                    </w:p>
                  </w:txbxContent>
                </v:textbox>
                <w10:wrap type="square"/>
              </v:shape>
            </w:pict>
          </mc:Fallback>
        </mc:AlternateContent>
      </w:r>
      <w:r>
        <w:rPr>
          <w:i/>
          <w:sz w:val="16"/>
          <w:szCs w:val="16"/>
        </w:rPr>
        <w:t>Quelle: Europäischer Evaluierungs-Helpdesk für ländliche Entwicklung, 2017</w:t>
      </w:r>
    </w:p>
    <w:p w:rsidR="00A45935" w:rsidRDefault="00A45935" w:rsidP="008C0B17">
      <w:pPr>
        <w:numPr>
          <w:ilvl w:val="0"/>
          <w:numId w:val="55"/>
        </w:numPr>
        <w:spacing w:before="120" w:after="120" w:line="280" w:lineRule="atLeast"/>
        <w:ind w:left="567" w:hanging="567"/>
        <w:mirrorIndents/>
        <w:rPr>
          <w:rFonts w:eastAsia="Times New Roman" w:cs="Times New Roman"/>
          <w:b/>
          <w:szCs w:val="20"/>
        </w:rPr>
      </w:pPr>
      <w:r>
        <w:rPr>
          <w:b/>
          <w:szCs w:val="20"/>
        </w:rPr>
        <w:t xml:space="preserve">Bewertungselemente </w:t>
      </w:r>
    </w:p>
    <w:p w:rsidR="00A45935" w:rsidRDefault="00734B11" w:rsidP="00E05D08">
      <w:pPr>
        <w:spacing w:before="120" w:after="120" w:line="280" w:lineRule="atLeast"/>
        <w:mirrorIndents/>
        <w:rPr>
          <w:rFonts w:eastAsia="Times New Roman" w:cs="Times New Roman"/>
          <w:szCs w:val="20"/>
        </w:rPr>
      </w:pPr>
      <w:r>
        <w:t xml:space="preserve">Die gemeinsamen Beurteilungskriterien und Indikatoren für CEQ Nr. 1 sind auf den Output der Vorhaben im Rahmen der Maßnahmen M1, M2, M16 und M19 beschränkt. Unter Umständen ist es erforderlich, weitere Beurteilungskriterien und Indikatoren zu entwickeln, mit denen sich die Ergebnisse dieser Maßnahmen beurteilen lassen (siehe </w:t>
      </w:r>
      <w:hyperlink w:anchor="Evaluation_elements" w:history="1">
        <w:r>
          <w:rPr>
            <w:rStyle w:val="Hyperlink"/>
            <w:sz w:val="20"/>
            <w:szCs w:val="20"/>
          </w:rPr>
          <w:t>Tabelle 1</w:t>
        </w:r>
      </w:hyperlink>
      <w:r>
        <w:t>).</w:t>
      </w:r>
    </w:p>
    <w:p w:rsidR="00863DB0" w:rsidRPr="00E05D08" w:rsidRDefault="00863DB0" w:rsidP="00E05D08">
      <w:pPr>
        <w:spacing w:before="120" w:after="120" w:line="280" w:lineRule="atLeast"/>
        <w:mirrorIndents/>
        <w:rPr>
          <w:rFonts w:eastAsia="Times New Roman" w:cs="Times New Roman"/>
          <w:szCs w:val="20"/>
          <w:lang w:eastAsia="de-DE"/>
        </w:rPr>
      </w:pPr>
    </w:p>
    <w:p w:rsidR="00A45935" w:rsidRPr="00E05D08" w:rsidRDefault="00A45935" w:rsidP="00E05D08">
      <w:pPr>
        <w:numPr>
          <w:ilvl w:val="0"/>
          <w:numId w:val="9"/>
        </w:numPr>
        <w:spacing w:before="60" w:after="0" w:line="280" w:lineRule="atLeast"/>
        <w:ind w:left="0" w:firstLine="0"/>
        <w:rPr>
          <w:rFonts w:eastAsia="Times New Roman" w:cs="Arial"/>
          <w:szCs w:val="18"/>
          <w:lang w:eastAsia="de-DE"/>
          <w14:textFill>
            <w14:solidFill>
              <w14:srgbClr w14:val="373737">
                <w14:lumMod w14:val="75000"/>
              </w14:srgbClr>
            </w14:solidFill>
          </w14:textFill>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A43EFD" w:rsidRDefault="00A45935" w:rsidP="004F1EC2">
      <w:pPr>
        <w:pStyle w:val="HHeadingtables"/>
      </w:pPr>
      <w:bookmarkStart w:id="108" w:name="Evaluation_elements"/>
      <w:bookmarkStart w:id="109" w:name="_Toc508377849"/>
      <w:r>
        <w:lastRenderedPageBreak/>
        <w:t>Beurteilungselemente und Informationsquellen</w:t>
      </w:r>
      <w:bookmarkEnd w:id="108"/>
      <w:r>
        <w:t xml:space="preserve"> in Zusammenhang mit CEQ Nr. 1</w:t>
      </w:r>
      <w:bookmarkEnd w:id="109"/>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46"/>
        <w:gridCol w:w="3118"/>
        <w:gridCol w:w="2835"/>
        <w:gridCol w:w="5755"/>
      </w:tblGrid>
      <w:tr w:rsidR="00A45935" w:rsidRPr="00E05D08" w:rsidTr="00E05D08">
        <w:trPr>
          <w:tblHeader/>
        </w:trPr>
        <w:tc>
          <w:tcPr>
            <w:tcW w:w="2547"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Beurteilungskriterien</w:t>
            </w:r>
          </w:p>
        </w:tc>
        <w:tc>
          <w:tcPr>
            <w:tcW w:w="311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Indikatoren</w:t>
            </w:r>
          </w:p>
        </w:tc>
        <w:tc>
          <w:tcPr>
            <w:tcW w:w="2835"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Datenbedarf</w:t>
            </w:r>
          </w:p>
        </w:tc>
        <w:tc>
          <w:tcPr>
            <w:tcW w:w="5756"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Datenquellen</w:t>
            </w:r>
          </w:p>
        </w:tc>
      </w:tr>
      <w:tr w:rsidR="00A45935" w:rsidRPr="00E05D08" w:rsidTr="00E05D08">
        <w:tc>
          <w:tcPr>
            <w:tcW w:w="14256" w:type="dxa"/>
            <w:gridSpan w:val="4"/>
            <w:shd w:val="clear" w:color="auto" w:fill="8BAB80"/>
          </w:tcPr>
          <w:p w:rsidR="00A45935" w:rsidRPr="00F200A2" w:rsidRDefault="00A45935" w:rsidP="00E05D08">
            <w:pPr>
              <w:spacing w:after="120" w:line="280" w:lineRule="atLeast"/>
              <w:mirrorIndents/>
              <w:rPr>
                <w:rFonts w:cs="Arial"/>
                <w:b/>
                <w:color w:val="FFFFFF"/>
                <w:sz w:val="18"/>
                <w:szCs w:val="18"/>
              </w:rPr>
            </w:pPr>
            <w:r>
              <w:rPr>
                <w:b/>
                <w:color w:val="FFFFFF"/>
                <w:sz w:val="18"/>
                <w:szCs w:val="18"/>
              </w:rPr>
              <w:t>Gemeinsame Bewertungselemente (CMES und empfohlene Elemente in der Arbeitsunterlage „</w:t>
            </w:r>
            <w:r>
              <w:rPr>
                <w:b/>
                <w:i/>
                <w:color w:val="FFFFFF"/>
                <w:sz w:val="18"/>
                <w:szCs w:val="18"/>
              </w:rPr>
              <w:t>Common evaluation questions 2014-2020“ (Gemeinsame Bewertungsfragen 2014-2020)</w:t>
            </w:r>
            <w:r>
              <w:rPr>
                <w:b/>
                <w:color w:val="FFFFFF"/>
                <w:sz w:val="18"/>
                <w:szCs w:val="18"/>
              </w:rPr>
              <w:t>)</w:t>
            </w:r>
          </w:p>
        </w:tc>
      </w:tr>
      <w:tr w:rsidR="00A45935" w:rsidRPr="00E05D08" w:rsidTr="00E05D08">
        <w:trPr>
          <w:trHeight w:val="1184"/>
        </w:trPr>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Die Programme zur Entwicklung des ländlichen Raums waren innovativ und beruhten auf erworbenem Wissen.</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T1: Prozentsatz der Ausgaben für Maßnahmen der Artikel 14, 15 und 35 der Verordnung (EU) Nr. 1305/2013 in Bezug auf den Gesamtbetrag der Ausgaben für das Programm zur Entwicklung des ländlichen Raums.</w:t>
            </w:r>
          </w:p>
          <w:p w:rsidR="00A45935" w:rsidRPr="00385368" w:rsidRDefault="00A45935" w:rsidP="007E63EF">
            <w:pPr>
              <w:spacing w:after="120" w:line="280" w:lineRule="atLeast"/>
              <w:jc w:val="left"/>
              <w:rPr>
                <w:rFonts w:eastAsia="Calibri" w:cs="Arial"/>
                <w:color w:val="57825E"/>
                <w:sz w:val="18"/>
                <w:szCs w:val="18"/>
                <w14:textFill>
                  <w14:solidFill>
                    <w14:srgbClr w14:val="57825E">
                      <w14:lumMod w14:val="75000"/>
                    </w14:srgbClr>
                  </w14:solidFill>
                </w14:textFill>
              </w:rPr>
            </w:pPr>
            <w:r>
              <w:rPr>
                <w:color w:val="57825E"/>
                <w:sz w:val="18"/>
                <w:szCs w:val="18"/>
                <w:u w:val="single"/>
                <w14:textFill>
                  <w14:solidFill>
                    <w14:srgbClr w14:val="57825E">
                      <w14:lumMod w14:val="75000"/>
                    </w14:srgbClr>
                  </w14:solidFill>
                </w14:textFill>
              </w:rPr>
              <w:t>Zusätzlicher Indikator</w:t>
            </w:r>
            <w:r>
              <w:rPr>
                <w:color w:val="57825E"/>
                <w:sz w:val="18"/>
                <w:szCs w:val="18"/>
                <w14:textFill>
                  <w14:solidFill>
                    <w14:srgbClr w14:val="57825E">
                      <w14:lumMod w14:val="75000"/>
                    </w14:srgbClr>
                  </w14:solidFill>
                </w14:textFill>
              </w:rPr>
              <w:t xml:space="preserve">: Prozentsatz innovativer Projekte in Bezug auf die Gesamtheit der Projekte, die im Rahmen des Programms zur Entwicklung des ländlichen Raums gefördert wurden. </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Daten über getätigte Ausgaben für die Maßnahmen 1, 2 und 16.</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Soweit möglich sollten auch Ausgabendaten über Teilmaßnahmen gesammelt werden, die als potenziell innovationsfördernd eingestuft wurden.</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System zur Begleitung von Programmen zur Entwicklung des ländlichen Raums </w:t>
            </w:r>
          </w:p>
          <w:p w:rsidR="00A45935" w:rsidRPr="00385368" w:rsidRDefault="00A45935" w:rsidP="007E63EF">
            <w:pPr>
              <w:numPr>
                <w:ilvl w:val="0"/>
                <w:numId w:val="81"/>
              </w:numPr>
              <w:suppressAutoHyphens/>
              <w:spacing w:before="40" w:after="40"/>
              <w:jc w:val="left"/>
              <w:rPr>
                <w:rFonts w:cs="Arial"/>
                <w:sz w:val="18"/>
                <w:szCs w:val="18"/>
              </w:rPr>
            </w:pPr>
            <w:r>
              <w:rPr>
                <w:sz w:val="18"/>
                <w:szCs w:val="18"/>
              </w:rPr>
              <w:t>Antragsformulare der Begünstigten (Projektbeginn)</w:t>
            </w:r>
          </w:p>
          <w:p w:rsidR="00A45935" w:rsidRPr="00385368" w:rsidRDefault="00A45935" w:rsidP="007E63EF">
            <w:pPr>
              <w:numPr>
                <w:ilvl w:val="0"/>
                <w:numId w:val="81"/>
              </w:numPr>
              <w:suppressAutoHyphens/>
              <w:spacing w:before="40" w:after="40"/>
              <w:jc w:val="left"/>
              <w:rPr>
                <w:rFonts w:cs="Arial"/>
                <w:sz w:val="18"/>
                <w:szCs w:val="18"/>
              </w:rPr>
            </w:pPr>
            <w:r>
              <w:rPr>
                <w:sz w:val="18"/>
                <w:szCs w:val="18"/>
              </w:rPr>
              <w:t>Zahlungsanträge der Begünstigten (Projektende)</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Einrichtung operationeller Gruppen.</w:t>
            </w:r>
          </w:p>
        </w:tc>
        <w:tc>
          <w:tcPr>
            <w:tcW w:w="3118" w:type="dxa"/>
          </w:tcPr>
          <w:p w:rsidR="00A45935" w:rsidRPr="00385368" w:rsidRDefault="00A45935" w:rsidP="00F200A2">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Zahl der EIP-Vorhaben.</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Zahl der EIP-Vorhaben (Datenelement O.16).</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System zur Begleitung von Programmen zur Entwicklung des ländlichen Raums </w:t>
            </w:r>
          </w:p>
          <w:p w:rsidR="00A45935" w:rsidRPr="00385368" w:rsidRDefault="00A45935" w:rsidP="007E63EF">
            <w:pPr>
              <w:numPr>
                <w:ilvl w:val="0"/>
                <w:numId w:val="82"/>
              </w:numPr>
              <w:suppressAutoHyphens/>
              <w:spacing w:before="40" w:after="40"/>
              <w:jc w:val="left"/>
              <w:rPr>
                <w:rFonts w:cs="Arial"/>
                <w:sz w:val="18"/>
                <w:szCs w:val="18"/>
              </w:rPr>
            </w:pPr>
            <w:r>
              <w:rPr>
                <w:sz w:val="18"/>
                <w:szCs w:val="18"/>
              </w:rPr>
              <w:t>Antragsformulare der Begünstigten (Projektbeginn)</w:t>
            </w:r>
          </w:p>
          <w:p w:rsidR="00A45935" w:rsidRPr="00385368" w:rsidRDefault="00A45935" w:rsidP="007E63EF">
            <w:pPr>
              <w:numPr>
                <w:ilvl w:val="0"/>
                <w:numId w:val="82"/>
              </w:numPr>
              <w:suppressAutoHyphens/>
              <w:spacing w:before="40" w:after="40"/>
              <w:jc w:val="left"/>
              <w:rPr>
                <w:rFonts w:cs="Arial"/>
                <w:sz w:val="18"/>
                <w:szCs w:val="18"/>
              </w:rPr>
            </w:pPr>
            <w:r>
              <w:rPr>
                <w:sz w:val="18"/>
                <w:szCs w:val="18"/>
              </w:rPr>
              <w:t>Zahlungsanträge der Begünstigten (Projektende)</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Vielfalt der Partner der operationellen Gruppen der EIP.</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Zahl und Art der an den EIP-Vorhaben beteiligten Partner.</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color w:val="57825E"/>
                <w:sz w:val="18"/>
                <w:szCs w:val="18"/>
                <w:u w:val="single"/>
                <w14:textFill>
                  <w14:solidFill>
                    <w14:srgbClr w14:val="57825E">
                      <w14:lumMod w14:val="75000"/>
                    </w14:srgbClr>
                  </w14:solidFill>
                </w14:textFill>
              </w:rPr>
              <w:t>Zusätzlicher Indikator</w:t>
            </w:r>
            <w:r>
              <w:rPr>
                <w:color w:val="57825E"/>
                <w:sz w:val="18"/>
                <w:szCs w:val="18"/>
                <w14:textFill>
                  <w14:solidFill>
                    <w14:srgbClr w14:val="57825E">
                      <w14:lumMod w14:val="75000"/>
                    </w14:srgbClr>
                  </w14:solidFill>
                </w14:textFill>
              </w:rPr>
              <w:t>: Zahl und Art der an den Kooperationsprojekten beteiligten Partner.</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Zahl und Art der Partner.</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System zur Begleitung von Programmen zur Entwicklung des ländlichen Raums </w:t>
            </w:r>
          </w:p>
          <w:p w:rsidR="00A45935" w:rsidRPr="00385368" w:rsidRDefault="00A45935" w:rsidP="007E63EF">
            <w:pPr>
              <w:numPr>
                <w:ilvl w:val="0"/>
                <w:numId w:val="83"/>
              </w:numPr>
              <w:suppressAutoHyphens/>
              <w:spacing w:before="40" w:after="40"/>
              <w:jc w:val="left"/>
              <w:rPr>
                <w:rFonts w:cs="Arial"/>
                <w:sz w:val="18"/>
                <w:szCs w:val="18"/>
              </w:rPr>
            </w:pPr>
            <w:r>
              <w:rPr>
                <w:sz w:val="18"/>
                <w:szCs w:val="18"/>
              </w:rPr>
              <w:t>Antragsformulare der Begünstigten (Projektbeginn)</w:t>
            </w:r>
          </w:p>
          <w:p w:rsidR="00A45935" w:rsidRPr="00385368" w:rsidRDefault="00A45935" w:rsidP="007E63EF">
            <w:pPr>
              <w:numPr>
                <w:ilvl w:val="0"/>
                <w:numId w:val="83"/>
              </w:numPr>
              <w:suppressAutoHyphens/>
              <w:spacing w:before="40" w:after="40"/>
              <w:jc w:val="left"/>
              <w:rPr>
                <w:rFonts w:cs="Arial"/>
                <w:sz w:val="18"/>
                <w:szCs w:val="18"/>
              </w:rPr>
            </w:pPr>
            <w:r>
              <w:rPr>
                <w:sz w:val="18"/>
                <w:szCs w:val="18"/>
              </w:rPr>
              <w:t>Zahlungsanträge der Begünstigten (Projektende)</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Praxisbezogene Kurzfassungen (Practice Abstracts) der operationellen Gruppen</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Die operationellen Gruppen der EIP haben innovative Maßnahmen umgesetzt und verbreitet.</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Zahl der EIP-Vorhaben.</w:t>
            </w:r>
          </w:p>
          <w:p w:rsidR="00A45935" w:rsidRPr="00385368" w:rsidRDefault="00A45935" w:rsidP="007E63EF">
            <w:pPr>
              <w:spacing w:after="120" w:line="280" w:lineRule="atLeast"/>
              <w:jc w:val="left"/>
              <w:rPr>
                <w:rFonts w:eastAsia="Calibri" w:cs="Arial"/>
                <w:color w:val="57825E"/>
                <w:sz w:val="18"/>
                <w:szCs w:val="18"/>
              </w:rPr>
            </w:pPr>
            <w:r>
              <w:rPr>
                <w:color w:val="57825E"/>
                <w:sz w:val="18"/>
                <w:szCs w:val="18"/>
                <w:u w:val="single"/>
              </w:rPr>
              <w:t>Zusätzlicher Indikator</w:t>
            </w:r>
            <w:r>
              <w:rPr>
                <w:color w:val="57825E"/>
                <w:sz w:val="18"/>
                <w:szCs w:val="18"/>
              </w:rPr>
              <w:t>: Zahl der unterstützten innovativen Maßnahmen, die von operationellen Gruppen der EIP umgesetzt und verbreitet wurden, nach Art, Wirtschaftszweig usw.</w:t>
            </w:r>
          </w:p>
          <w:p w:rsidR="00F200A2" w:rsidRPr="00A86A02" w:rsidRDefault="00F200A2" w:rsidP="007E63EF">
            <w:pPr>
              <w:spacing w:after="120" w:line="280" w:lineRule="atLeast"/>
              <w:jc w:val="left"/>
              <w:rPr>
                <w:rFonts w:eastAsia="Calibri" w:cs="Arial"/>
                <w:sz w:val="18"/>
                <w:szCs w:val="18"/>
                <w14:textFill>
                  <w14:solidFill>
                    <w14:srgbClr w14:val="373737">
                      <w14:lumMod w14:val="75000"/>
                    </w14:srgbClr>
                  </w14:solidFill>
                </w14:textFill>
              </w:rPr>
            </w:pP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 </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Zahl der EIP-Vorhaben (Datenelement O.16).</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System zur Begleitung von Programmen zur Entwicklung des ländlichen Raums </w:t>
            </w:r>
          </w:p>
          <w:p w:rsidR="00A45935" w:rsidRPr="00385368" w:rsidRDefault="00A45935" w:rsidP="007E63EF">
            <w:pPr>
              <w:numPr>
                <w:ilvl w:val="0"/>
                <w:numId w:val="84"/>
              </w:numPr>
              <w:suppressAutoHyphens/>
              <w:spacing w:before="40" w:after="40"/>
              <w:jc w:val="left"/>
              <w:rPr>
                <w:rFonts w:cs="Arial"/>
                <w:sz w:val="18"/>
                <w:szCs w:val="18"/>
              </w:rPr>
            </w:pPr>
            <w:r>
              <w:rPr>
                <w:sz w:val="18"/>
                <w:szCs w:val="18"/>
              </w:rPr>
              <w:t>Antragsformulare der Begünstigten (Projektbeginn)</w:t>
            </w:r>
          </w:p>
          <w:p w:rsidR="00A45935" w:rsidRPr="00385368" w:rsidRDefault="00A45935" w:rsidP="007E63EF">
            <w:pPr>
              <w:numPr>
                <w:ilvl w:val="0"/>
                <w:numId w:val="84"/>
              </w:numPr>
              <w:suppressAutoHyphens/>
              <w:spacing w:before="40" w:after="40"/>
              <w:jc w:val="left"/>
              <w:rPr>
                <w:rFonts w:cs="Arial"/>
                <w:sz w:val="18"/>
                <w:szCs w:val="18"/>
              </w:rPr>
            </w:pPr>
            <w:r>
              <w:rPr>
                <w:sz w:val="18"/>
                <w:szCs w:val="18"/>
              </w:rPr>
              <w:t>Zahlungsanträge der Begünstigten (Projektende)</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Praxisbezogene Kurzfassungen (Practice Abstracts) der operationellen Gruppen</w:t>
            </w:r>
          </w:p>
        </w:tc>
      </w:tr>
      <w:tr w:rsidR="00A45935" w:rsidRPr="00E05D08" w:rsidTr="00E05D08">
        <w:tc>
          <w:tcPr>
            <w:tcW w:w="14256" w:type="dxa"/>
            <w:gridSpan w:val="4"/>
            <w:shd w:val="clear" w:color="auto" w:fill="8BAB80"/>
          </w:tcPr>
          <w:p w:rsidR="00A45935" w:rsidRPr="00406C98" w:rsidRDefault="00A45935" w:rsidP="00E05D08">
            <w:pPr>
              <w:spacing w:after="120" w:line="280" w:lineRule="atLeast"/>
              <w:rPr>
                <w:rFonts w:eastAsia="Calibri" w:cs="Arial"/>
                <w:b/>
                <w:color w:val="FFFFFF"/>
                <w:sz w:val="18"/>
                <w:szCs w:val="18"/>
                <w14:textFill>
                  <w14:solidFill>
                    <w14:srgbClr w14:val="FFFFFF">
                      <w14:lumMod w14:val="75000"/>
                      <w14:lumMod w14:val="75000"/>
                    </w14:srgbClr>
                  </w14:solidFill>
                </w14:textFill>
              </w:rPr>
            </w:pPr>
            <w:r>
              <w:rPr>
                <w:b/>
                <w:color w:val="FFFFFF" w:themeColor="background1"/>
                <w:sz w:val="18"/>
                <w:szCs w:val="18"/>
              </w:rPr>
              <w:t>Zusätzliche Bewertungselemente (optional)</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Die Zusammensetzung der operationellen Gruppen der EIP beinhaltet Innovationsakteure.</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Zusammensetzung der operationellen Gruppen der EIP (Zahl und Art der Partner), davon Innovationsakteure.</w:t>
            </w:r>
          </w:p>
        </w:tc>
        <w:tc>
          <w:tcPr>
            <w:tcW w:w="2835" w:type="dxa"/>
          </w:tcPr>
          <w:p w:rsidR="00A45935" w:rsidRPr="00E05D08" w:rsidRDefault="00A45935" w:rsidP="007E63EF">
            <w:pPr>
              <w:suppressAutoHyphens/>
              <w:spacing w:before="40" w:after="40"/>
              <w:jc w:val="left"/>
              <w:rPr>
                <w:rFonts w:cs="Arial"/>
                <w:sz w:val="18"/>
                <w:szCs w:val="18"/>
              </w:rPr>
            </w:pPr>
            <w:r>
              <w:rPr>
                <w:sz w:val="18"/>
                <w:szCs w:val="18"/>
              </w:rPr>
              <w:t>Zahl der Partner der operationellen Gruppen.</w:t>
            </w:r>
          </w:p>
          <w:p w:rsidR="00A45935" w:rsidRPr="00E05D08" w:rsidRDefault="00A45935" w:rsidP="007E63EF">
            <w:pPr>
              <w:suppressAutoHyphens/>
              <w:spacing w:before="40" w:after="40"/>
              <w:jc w:val="left"/>
              <w:rPr>
                <w:rFonts w:cs="Arial"/>
                <w:sz w:val="18"/>
                <w:szCs w:val="18"/>
              </w:rPr>
            </w:pPr>
            <w:r>
              <w:rPr>
                <w:sz w:val="18"/>
                <w:szCs w:val="18"/>
              </w:rPr>
              <w:t>Art der Partner der operationellen Gruppen.</w:t>
            </w:r>
          </w:p>
        </w:tc>
        <w:tc>
          <w:tcPr>
            <w:tcW w:w="5756" w:type="dxa"/>
          </w:tcPr>
          <w:p w:rsidR="00A45935" w:rsidRPr="00E05D08" w:rsidRDefault="00A45935" w:rsidP="007E63EF">
            <w:pPr>
              <w:suppressAutoHyphens/>
              <w:spacing w:before="40" w:after="40"/>
              <w:jc w:val="left"/>
              <w:rPr>
                <w:rFonts w:cs="Arial"/>
                <w:sz w:val="18"/>
                <w:szCs w:val="18"/>
              </w:rPr>
            </w:pPr>
            <w:r>
              <w:rPr>
                <w:sz w:val="18"/>
                <w:szCs w:val="18"/>
              </w:rPr>
              <w:t xml:space="preserve">System zur Begleitung von Programmen zur Entwicklung des ländlichen Raums </w:t>
            </w:r>
          </w:p>
          <w:p w:rsidR="00A45935" w:rsidRPr="00385368" w:rsidRDefault="00A45935" w:rsidP="007E63EF">
            <w:pPr>
              <w:numPr>
                <w:ilvl w:val="0"/>
                <w:numId w:val="85"/>
              </w:numPr>
              <w:suppressAutoHyphens/>
              <w:spacing w:before="40" w:after="40"/>
              <w:jc w:val="left"/>
              <w:rPr>
                <w:rFonts w:cs="Arial"/>
                <w:sz w:val="18"/>
                <w:szCs w:val="18"/>
              </w:rPr>
            </w:pPr>
            <w:r>
              <w:rPr>
                <w:sz w:val="18"/>
                <w:szCs w:val="18"/>
              </w:rPr>
              <w:t>Antragsformulare der Begünstigten (Projektbeginn)</w:t>
            </w:r>
          </w:p>
          <w:p w:rsidR="00A45935" w:rsidRPr="00385368" w:rsidRDefault="00A45935" w:rsidP="007E63EF">
            <w:pPr>
              <w:numPr>
                <w:ilvl w:val="0"/>
                <w:numId w:val="85"/>
              </w:numPr>
              <w:suppressAutoHyphens/>
              <w:spacing w:before="40" w:after="40"/>
              <w:jc w:val="left"/>
              <w:rPr>
                <w:rFonts w:cs="Arial"/>
                <w:sz w:val="18"/>
                <w:szCs w:val="18"/>
              </w:rPr>
            </w:pPr>
            <w:r>
              <w:rPr>
                <w:sz w:val="18"/>
                <w:szCs w:val="18"/>
              </w:rPr>
              <w:t>Zahlungsanträge der Begünstigten (Projektende)</w:t>
            </w:r>
          </w:p>
          <w:p w:rsidR="00A45935" w:rsidRPr="00385368" w:rsidRDefault="00A45935" w:rsidP="007E63EF">
            <w:pPr>
              <w:suppressAutoHyphens/>
              <w:spacing w:before="40" w:after="40"/>
              <w:jc w:val="left"/>
              <w:rPr>
                <w:rFonts w:cs="Arial"/>
                <w:sz w:val="18"/>
                <w:szCs w:val="18"/>
              </w:rPr>
            </w:pPr>
            <w:r>
              <w:rPr>
                <w:sz w:val="18"/>
                <w:szCs w:val="18"/>
              </w:rPr>
              <w:t>Umfragen unter operationellen Gruppen der EIP und LAG.</w:t>
            </w:r>
          </w:p>
          <w:p w:rsidR="00A45935" w:rsidRPr="00385368" w:rsidRDefault="00A45935" w:rsidP="007E63EF">
            <w:pPr>
              <w:suppressAutoHyphens/>
              <w:spacing w:before="40" w:after="40"/>
              <w:jc w:val="left"/>
              <w:rPr>
                <w:rFonts w:cs="Arial"/>
                <w:sz w:val="18"/>
                <w:szCs w:val="18"/>
              </w:rPr>
            </w:pPr>
            <w:r>
              <w:rPr>
                <w:sz w:val="18"/>
                <w:szCs w:val="18"/>
              </w:rPr>
              <w:t>Web-basierte Plattformen der operationellen Gruppen.</w:t>
            </w:r>
          </w:p>
          <w:p w:rsidR="00A45935" w:rsidRPr="00E05D08" w:rsidRDefault="00A45935" w:rsidP="007E63EF">
            <w:pPr>
              <w:suppressAutoHyphens/>
              <w:spacing w:before="40" w:after="40"/>
              <w:jc w:val="left"/>
              <w:rPr>
                <w:rFonts w:cs="Arial"/>
                <w:sz w:val="18"/>
                <w:szCs w:val="18"/>
              </w:rPr>
            </w:pPr>
            <w:r>
              <w:rPr>
                <w:sz w:val="18"/>
                <w:szCs w:val="18"/>
              </w:rPr>
              <w:t>Praxisbezogene Kurzfassungen (Practice Abstracts) der operationellen Gruppen</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Die Innovationsprojekte wurden von den LAG unterstützt.</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Zahl der von den LAG und deren Begünstigten umgesetzten Projekte, die als innovativ eingestuft wurden (entsprechend der Beihilfefähigkeit und den Auswahlkriterien).</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Daten hinsichtlich der Begleitung der Projekte der LAG. </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Vorhabendatenbank der LAG.</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Die Innovationsakteure wurden geschult.</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Zahl und Art der geschulten Innovationsakteure.</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Zahl und Art der geschulten Akteure.</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System zur Begleitung von Programmen zur Entwicklung des ländlichen Raums </w:t>
            </w:r>
          </w:p>
          <w:p w:rsidR="00A45935" w:rsidRPr="00385368" w:rsidRDefault="00A45935" w:rsidP="007E63EF">
            <w:pPr>
              <w:numPr>
                <w:ilvl w:val="0"/>
                <w:numId w:val="86"/>
              </w:numPr>
              <w:suppressAutoHyphens/>
              <w:spacing w:before="40" w:after="40"/>
              <w:jc w:val="left"/>
              <w:rPr>
                <w:rFonts w:cs="Arial"/>
                <w:sz w:val="18"/>
                <w:szCs w:val="18"/>
              </w:rPr>
            </w:pPr>
            <w:r>
              <w:rPr>
                <w:sz w:val="18"/>
                <w:szCs w:val="18"/>
              </w:rPr>
              <w:t>Antragsformulare der Begünstigten (Projektbeginn)</w:t>
            </w:r>
          </w:p>
          <w:p w:rsidR="00A45935" w:rsidRPr="00385368" w:rsidRDefault="00A45935" w:rsidP="007E63EF">
            <w:pPr>
              <w:numPr>
                <w:ilvl w:val="0"/>
                <w:numId w:val="86"/>
              </w:numPr>
              <w:suppressAutoHyphens/>
              <w:spacing w:before="40" w:after="40"/>
              <w:jc w:val="left"/>
              <w:rPr>
                <w:rFonts w:cs="Arial"/>
                <w:sz w:val="18"/>
                <w:szCs w:val="18"/>
              </w:rPr>
            </w:pPr>
            <w:r>
              <w:rPr>
                <w:sz w:val="18"/>
                <w:szCs w:val="18"/>
              </w:rPr>
              <w:t>Zahlungsanträge der Begünstigten (Projektende)</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Befragungen, Umfragen unter Verwaltungsbehörden und Schulungsanbietern.</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Wichtige Erfolgsfaktoren für die Innovationsförderung durch M1, M2, M16 und M19.</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Beschreibung der Schlüsselfaktoren, die zur Innovationsförderung in ländlichen Gebieten beigetragen haben.</w:t>
            </w:r>
          </w:p>
        </w:tc>
        <w:tc>
          <w:tcPr>
            <w:tcW w:w="2835"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Qualitative Informationen.</w:t>
            </w:r>
          </w:p>
        </w:tc>
        <w:tc>
          <w:tcPr>
            <w:tcW w:w="5756"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Befragungen, Umfragen und Fokusgruppen der Begünstigten der innovationsbezogenen Teilmaßnahmen der M1 und M2 sowie der operationellen Gruppen.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EIP-AGRI und LAG.</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Praxisbezogene Kurzfassungen (Practice Abstracts) der operationellen Gruppen </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Vorhabendatenbank der LAG.</w:t>
            </w:r>
          </w:p>
        </w:tc>
      </w:tr>
    </w:tbl>
    <w:p w:rsidR="00A45935" w:rsidRPr="00E05D08" w:rsidRDefault="00A45935" w:rsidP="00E05D08">
      <w:pPr>
        <w:spacing w:after="120" w:line="280" w:lineRule="atLeast"/>
        <w:mirrorIndents/>
        <w:rPr>
          <w:rFonts w:eastAsia="Times New Roman" w:cs="Times New Roman"/>
          <w:color w:val="FF0000"/>
          <w:szCs w:val="20"/>
          <w:lang w:eastAsia="de-DE"/>
        </w:rPr>
      </w:pPr>
    </w:p>
    <w:p w:rsidR="00A45935" w:rsidRPr="00E05D08" w:rsidRDefault="00A45935" w:rsidP="00541A7D">
      <w:pPr>
        <w:spacing w:before="60" w:after="0" w:line="280" w:lineRule="atLeast"/>
        <w:rPr>
          <w:rFonts w:eastAsia="Times New Roman" w:cs="Arial"/>
          <w:szCs w:val="18"/>
          <w:lang w:eastAsia="de-DE"/>
          <w14:textFill>
            <w14:solidFill>
              <w14:srgbClr w14:val="373737">
                <w14:lumMod w14:val="75000"/>
              </w14:srgbClr>
            </w14:solidFill>
          </w14:textFill>
        </w:rPr>
      </w:pP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A45935" w:rsidP="008C0B17">
      <w:pPr>
        <w:numPr>
          <w:ilvl w:val="0"/>
          <w:numId w:val="55"/>
        </w:numPr>
        <w:spacing w:before="120" w:after="120" w:line="280" w:lineRule="atLeast"/>
        <w:ind w:left="567" w:hanging="567"/>
        <w:mirrorIndents/>
        <w:rPr>
          <w:rFonts w:eastAsia="Times New Roman" w:cs="Times New Roman"/>
          <w:b/>
          <w:szCs w:val="20"/>
        </w:rPr>
      </w:pPr>
      <w:r>
        <w:rPr>
          <w:b/>
          <w:szCs w:val="20"/>
        </w:rPr>
        <w:lastRenderedPageBreak/>
        <w:t xml:space="preserve">Empfohlene Bewertungsmethode zur Beantwortung der CEQ Nr. 1 </w:t>
      </w:r>
    </w:p>
    <w:p w:rsidR="00A45935" w:rsidRPr="00E05D08" w:rsidRDefault="00A45935" w:rsidP="00E05D08">
      <w:pPr>
        <w:spacing w:after="120" w:line="280" w:lineRule="atLeast"/>
        <w:mirrorIndents/>
        <w:rPr>
          <w:rFonts w:eastAsia="Times New Roman" w:cs="Times New Roman"/>
          <w:szCs w:val="20"/>
        </w:rPr>
      </w:pPr>
      <w:r>
        <w:t>Die Berechnung der gemeinsamen Indikatoren in Bezug auf die CEQ Nr. 1 wird in Anhang 11 der Leitlinien „</w:t>
      </w:r>
      <w:hyperlink r:id="rId40" w:history="1">
        <w:r>
          <w:rPr>
            <w:color w:val="F07E31"/>
            <w:szCs w:val="20"/>
            <w:u w:val="single"/>
          </w:rPr>
          <w:t>Assessment of RDP results:</w:t>
        </w:r>
      </w:hyperlink>
      <w:hyperlink r:id="rId41" w:history="1">
        <w:r>
          <w:rPr>
            <w:color w:val="F07E31"/>
            <w:szCs w:val="20"/>
            <w:u w:val="single"/>
          </w:rPr>
          <w:t xml:space="preserve"> how to prepare for reporting on evaluation in 2017“ (Bewertung der Ergebnisse der Programme zur Entwicklung des ländlichen Raums: Vorbereitung der Berichterstattung über die Bewertung 2017)</w:t>
        </w:r>
      </w:hyperlink>
      <w:r>
        <w:t xml:space="preserve"> beschrieben. </w:t>
      </w:r>
    </w:p>
    <w:p w:rsidR="00A45935" w:rsidRPr="00E05D08" w:rsidRDefault="00A45935" w:rsidP="00E05D08">
      <w:pPr>
        <w:spacing w:after="120" w:line="280" w:lineRule="atLeast"/>
        <w:mirrorIndents/>
        <w:rPr>
          <w:rFonts w:eastAsia="Times New Roman" w:cs="Times New Roman"/>
          <w:szCs w:val="20"/>
        </w:rPr>
      </w:pPr>
      <w:r>
        <w:t>Zur Bewertung des innovationsbezogenen Teils der CEQ Nr. 1 werden folgende Schritte vorgeschlagen:</w:t>
      </w:r>
    </w:p>
    <w:p w:rsidR="00A45935" w:rsidRPr="00331223" w:rsidRDefault="00A45935" w:rsidP="00C202EC">
      <w:pPr>
        <w:pStyle w:val="Hlistbullet"/>
      </w:pPr>
      <w:r>
        <w:rPr>
          <w:b/>
        </w:rPr>
        <w:t>SCHRITT 1: Ermittlung des Innovationspotenzials der Begünstigten</w:t>
      </w:r>
      <w:r>
        <w:t xml:space="preserve"> der Maßnahmen/Teilmaßnahmen M1, M2, M16 und M19 (Begünstigte, die als innovativ eingestufte Vorhaben umgesetzt haben). </w:t>
      </w:r>
    </w:p>
    <w:p w:rsidR="00A45935" w:rsidRPr="00331223" w:rsidRDefault="00A45935" w:rsidP="00C202EC">
      <w:pPr>
        <w:pStyle w:val="Hlistbullet"/>
      </w:pPr>
      <w:r>
        <w:rPr>
          <w:b/>
        </w:rPr>
        <w:t>SCHRITT 2: Quantifizierung der Output- und Zielindikatoren</w:t>
      </w:r>
      <w:r>
        <w:t xml:space="preserve"> auf der Grundlage der Begleitungsdaten über Begünstigte (die als innovativ eingestufte Vorhaben umgesetzt haben) aus der Vorhabendatenbank des Programms zur Entwicklung des ländlichen Raums/LAG. Zur Nutzung der Vorhabendatenbank für die Bewertung von Innovation können die Verwaltungsbehörden gegebenenfalls innovationsbezogene Datenelemente hinzufügen und erfassen. </w:t>
      </w:r>
    </w:p>
    <w:p w:rsidR="00A45935" w:rsidRPr="00331223" w:rsidRDefault="00A45935" w:rsidP="00C202EC">
      <w:pPr>
        <w:pStyle w:val="Hlistbullet"/>
      </w:pPr>
      <w:r>
        <w:rPr>
          <w:b/>
        </w:rPr>
        <w:t>SCHRITT 3: Erfassen von Nachweisen zur Beantwortung der CEQ</w:t>
      </w:r>
      <w:r>
        <w:t xml:space="preserve"> </w:t>
      </w:r>
      <w:r>
        <w:rPr>
          <w:b/>
        </w:rPr>
        <w:t>mithilfe festgelegter Methoden.</w:t>
      </w:r>
      <w:r>
        <w:t xml:space="preserve"> Umfragen, Fokusgruppen und die Delphi-Methode können zum Beispiel bei der Erfassung von Daten für die vorgeschlagenen Beurteilungskriterien und für die zusätzlichen Ergebnisindikatoren helfen. Bei der Anwendung dieser Methoden sollte die Frage der Qualität und Validität der von den Begünstigten übermittelten Daten berücksichtigt werden (siehe </w:t>
      </w:r>
      <w:hyperlink w:anchor="Recommended_Methods" w:history="1">
        <w:r>
          <w:rPr>
            <w:rStyle w:val="Hyperlink"/>
            <w:sz w:val="20"/>
          </w:rPr>
          <w:t>Tabelle 2)</w:t>
        </w:r>
      </w:hyperlink>
      <w:r>
        <w:t xml:space="preserve">. </w:t>
      </w:r>
    </w:p>
    <w:p w:rsidR="00A45935" w:rsidRPr="00C202EC" w:rsidRDefault="00A45935" w:rsidP="00C202EC">
      <w:pPr>
        <w:pStyle w:val="Hlistbullet"/>
        <w:rPr>
          <w:b/>
          <w:sz w:val="16"/>
        </w:rPr>
      </w:pPr>
      <w:r>
        <w:rPr>
          <w:b/>
        </w:rPr>
        <w:t>SCHRITT 4: Analyse und Auswertung der gesammelten Nachweise</w:t>
      </w:r>
      <w:r>
        <w:t xml:space="preserve"> und deren Nutzung zur Beantwortung der CEQ Nr. 1 im Hinblick auf die Innovationsförderung. </w:t>
      </w:r>
    </w:p>
    <w:p w:rsidR="00A45935" w:rsidRPr="00FA6691" w:rsidRDefault="00A45935" w:rsidP="00FA6691">
      <w:pPr>
        <w:pStyle w:val="HHeadingtables"/>
        <w:rPr>
          <w:color w:val="6F6F6F"/>
          <w:sz w:val="18"/>
          <w:szCs w:val="18"/>
        </w:rPr>
      </w:pPr>
      <w:bookmarkStart w:id="110" w:name="Recommended_Methods"/>
      <w:bookmarkStart w:id="111" w:name="_Toc508377850"/>
      <w:bookmarkEnd w:id="110"/>
      <w:r>
        <w:rPr>
          <w:color w:val="6F6F6F"/>
          <w:sz w:val="18"/>
          <w:szCs w:val="18"/>
        </w:rPr>
        <w:t>Empfohlene Methoden für CEQ Nr. 1:</w:t>
      </w:r>
      <w:bookmarkEnd w:id="111"/>
      <w:r>
        <w:rPr>
          <w:color w:val="6F6F6F"/>
          <w:sz w:val="18"/>
          <w:szCs w:val="18"/>
        </w:rPr>
        <w:t xml:space="preserve"> </w:t>
      </w:r>
    </w:p>
    <w:tbl>
      <w:tblPr>
        <w:tblStyle w:val="TableGrid"/>
        <w:tblW w:w="8613" w:type="dxa"/>
        <w:tblInd w:w="45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34"/>
        <w:gridCol w:w="6479"/>
      </w:tblGrid>
      <w:tr w:rsidR="00A45935" w:rsidRPr="00E05D08" w:rsidTr="00E05D08">
        <w:trPr>
          <w:tblHeader/>
        </w:trPr>
        <w:tc>
          <w:tcPr>
            <w:tcW w:w="1843"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Methoden</w:t>
            </w:r>
          </w:p>
        </w:tc>
        <w:tc>
          <w:tcPr>
            <w:tcW w:w="6770"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Tipps zur Verwendung der Methoden</w:t>
            </w:r>
          </w:p>
        </w:tc>
      </w:tr>
      <w:tr w:rsidR="00A45935" w:rsidRPr="00E05D08" w:rsidTr="00E05D08">
        <w:tc>
          <w:tcPr>
            <w:tcW w:w="1843" w:type="dxa"/>
          </w:tcPr>
          <w:p w:rsidR="00A45935" w:rsidRPr="00385368" w:rsidRDefault="00A45935" w:rsidP="007E63EF">
            <w:pPr>
              <w:spacing w:after="120" w:line="280" w:lineRule="atLeast"/>
              <w:ind w:right="116"/>
              <w:mirrorIndents/>
              <w:jc w:val="left"/>
              <w:rPr>
                <w:sz w:val="18"/>
                <w:szCs w:val="18"/>
              </w:rPr>
            </w:pPr>
            <w:r>
              <w:rPr>
                <w:sz w:val="18"/>
                <w:szCs w:val="18"/>
              </w:rPr>
              <w:t xml:space="preserve">Umfragen unter Verwaltern der M1 und M2 </w:t>
            </w:r>
          </w:p>
          <w:p w:rsidR="00A45935" w:rsidRPr="00385368" w:rsidRDefault="00A45935" w:rsidP="007E63EF">
            <w:pPr>
              <w:spacing w:after="120" w:line="280" w:lineRule="atLeast"/>
              <w:ind w:right="116"/>
              <w:mirrorIndents/>
              <w:jc w:val="left"/>
              <w:rPr>
                <w:sz w:val="18"/>
                <w:szCs w:val="18"/>
              </w:rPr>
            </w:pPr>
            <w:r>
              <w:rPr>
                <w:sz w:val="18"/>
                <w:szCs w:val="18"/>
              </w:rPr>
              <w:t>Umfragen unter Begünstigten der M1 und M2</w:t>
            </w:r>
          </w:p>
          <w:p w:rsidR="00A45935" w:rsidRPr="00385368" w:rsidRDefault="00A45935" w:rsidP="007E63EF">
            <w:pPr>
              <w:spacing w:after="120" w:line="280" w:lineRule="atLeast"/>
              <w:ind w:right="116"/>
              <w:mirrorIndents/>
              <w:jc w:val="left"/>
              <w:rPr>
                <w:sz w:val="18"/>
                <w:szCs w:val="18"/>
              </w:rPr>
            </w:pPr>
            <w:r>
              <w:rPr>
                <w:sz w:val="18"/>
                <w:szCs w:val="18"/>
              </w:rPr>
              <w:t>Umfragen zu Kooperationsprojekten der operationellen Gruppen</w:t>
            </w:r>
          </w:p>
          <w:p w:rsidR="00A45935" w:rsidRPr="00385368" w:rsidRDefault="00A45935" w:rsidP="007E63EF">
            <w:pPr>
              <w:spacing w:after="120" w:line="280" w:lineRule="atLeast"/>
              <w:ind w:right="116"/>
              <w:mirrorIndents/>
              <w:jc w:val="left"/>
              <w:rPr>
                <w:sz w:val="18"/>
                <w:szCs w:val="18"/>
              </w:rPr>
            </w:pPr>
            <w:r>
              <w:rPr>
                <w:sz w:val="18"/>
                <w:szCs w:val="18"/>
              </w:rPr>
              <w:t xml:space="preserve">Umfragen unter LAG und deren Begünstigten </w:t>
            </w:r>
          </w:p>
        </w:tc>
        <w:tc>
          <w:tcPr>
            <w:tcW w:w="6770" w:type="dxa"/>
          </w:tcPr>
          <w:p w:rsidR="00A45935" w:rsidRPr="00385368" w:rsidRDefault="00A45935" w:rsidP="00C202EC">
            <w:pPr>
              <w:pStyle w:val="Hlistbullet"/>
              <w:rPr>
                <w:sz w:val="18"/>
                <w:szCs w:val="18"/>
              </w:rPr>
            </w:pPr>
            <w:r>
              <w:rPr>
                <w:sz w:val="18"/>
                <w:szCs w:val="18"/>
              </w:rPr>
              <w:t xml:space="preserve">Auswahl von Verwaltern/Begünstigten innovationsbezogener Teilmaßnahmen der M1 und M2 zur Durchführung der Umfrage. </w:t>
            </w:r>
          </w:p>
          <w:p w:rsidR="00A45935" w:rsidRPr="00385368" w:rsidRDefault="00A45935" w:rsidP="00C202EC">
            <w:pPr>
              <w:pStyle w:val="Hlistbullet"/>
              <w:rPr>
                <w:sz w:val="18"/>
                <w:szCs w:val="18"/>
              </w:rPr>
            </w:pPr>
            <w:r>
              <w:rPr>
                <w:sz w:val="18"/>
                <w:szCs w:val="18"/>
              </w:rPr>
              <w:t>Auswahl einer Stichprobe von Kooperationsprojekten (z. B. nach Wirtschaftszweig, Größe der operationellen Gruppe, Geografie usw.), um von den Begünstigten im Rahmen einer Umfrage Daten und Informationen zu den Indikatoren zu erfassen.</w:t>
            </w:r>
          </w:p>
          <w:p w:rsidR="00A45935" w:rsidRPr="00385368" w:rsidRDefault="00A45935" w:rsidP="00C202EC">
            <w:pPr>
              <w:pStyle w:val="Hlistbullet"/>
              <w:rPr>
                <w:sz w:val="18"/>
                <w:szCs w:val="18"/>
              </w:rPr>
            </w:pPr>
            <w:r>
              <w:rPr>
                <w:sz w:val="18"/>
                <w:szCs w:val="18"/>
              </w:rPr>
              <w:t>Erarbeitung der Umfragen einschließlich offener Fragen zum Beitrag der Tätigkeiten der M1 und M2 sowie der operationellen Gruppen und LAG in folgenden Bereichen: a) Austausch innovativer Ideen, b) Verbesserung der Innovationsfähigkeit, c) Schaffung eines innovationsfördernden Umfelds.</w:t>
            </w:r>
          </w:p>
          <w:p w:rsidR="00A45935" w:rsidRPr="00385368" w:rsidRDefault="00A45935" w:rsidP="00C202EC">
            <w:pPr>
              <w:pStyle w:val="Hlistbullet"/>
              <w:rPr>
                <w:sz w:val="18"/>
                <w:szCs w:val="18"/>
              </w:rPr>
            </w:pPr>
            <w:r>
              <w:rPr>
                <w:sz w:val="18"/>
                <w:szCs w:val="18"/>
              </w:rPr>
              <w:t>Nutzung der Umfrageergebnisse, um</w:t>
            </w:r>
          </w:p>
          <w:p w:rsidR="00A45935" w:rsidRPr="00385368" w:rsidRDefault="00A45935" w:rsidP="00C202EC">
            <w:pPr>
              <w:pStyle w:val="Hlistbullet2"/>
              <w:rPr>
                <w:sz w:val="18"/>
                <w:szCs w:val="18"/>
              </w:rPr>
            </w:pPr>
            <w:r>
              <w:rPr>
                <w:sz w:val="18"/>
                <w:szCs w:val="18"/>
              </w:rPr>
              <w:t>zu prüfen, inwiefern die verschiedenen Arten von Schulungs- und Informationsmaßnahmen der M1 zur Innovationsförderung beitragen;</w:t>
            </w:r>
          </w:p>
          <w:p w:rsidR="00A45935" w:rsidRPr="00385368" w:rsidRDefault="00A45935" w:rsidP="00C202EC">
            <w:pPr>
              <w:pStyle w:val="Hlistbullet2"/>
              <w:rPr>
                <w:sz w:val="18"/>
                <w:szCs w:val="18"/>
              </w:rPr>
            </w:pPr>
            <w:r>
              <w:rPr>
                <w:sz w:val="18"/>
                <w:szCs w:val="18"/>
              </w:rPr>
              <w:t>zu prüfen, inwiefern Beratungsdienste zur Innovationsförderung beitragen;</w:t>
            </w:r>
          </w:p>
          <w:p w:rsidR="00A45935" w:rsidRPr="00385368" w:rsidRDefault="00A45935" w:rsidP="00C202EC">
            <w:pPr>
              <w:pStyle w:val="Hlistbullet2"/>
              <w:rPr>
                <w:sz w:val="18"/>
                <w:szCs w:val="18"/>
              </w:rPr>
            </w:pPr>
            <w:r>
              <w:rPr>
                <w:sz w:val="18"/>
                <w:szCs w:val="18"/>
              </w:rPr>
              <w:lastRenderedPageBreak/>
              <w:t xml:space="preserve">zu prüfen, inwiefern operationelle Gruppe dazu beitragen, nützliche Ergebnisse zu erzielen; </w:t>
            </w:r>
          </w:p>
          <w:p w:rsidR="00A45935" w:rsidRPr="00385368" w:rsidRDefault="00A45935" w:rsidP="00C202EC">
            <w:pPr>
              <w:pStyle w:val="Hlistbullet2"/>
            </w:pPr>
            <w:r>
              <w:rPr>
                <w:sz w:val="18"/>
                <w:szCs w:val="18"/>
              </w:rPr>
              <w:t>zu prüfen, inwiefern LAG Innovationen fördern, indem sie Projekte durchführen, die von Strategien unterstützt werden, die unter die von der örtlichen Bevölkerung betriebenen Maßnahmen zur lokalen Entwicklung fallen (CLLD), oder indem sie Sensibilisierungsmaßnahmen durchführen.</w:t>
            </w:r>
          </w:p>
        </w:tc>
      </w:tr>
      <w:tr w:rsidR="00A45935" w:rsidRPr="00E05D08" w:rsidTr="00E05D08">
        <w:tc>
          <w:tcPr>
            <w:tcW w:w="1843" w:type="dxa"/>
          </w:tcPr>
          <w:p w:rsidR="00A45935" w:rsidRPr="00E05D08" w:rsidRDefault="00A45935" w:rsidP="007E63EF">
            <w:pPr>
              <w:spacing w:after="120" w:line="280" w:lineRule="atLeast"/>
              <w:mirrorIndents/>
              <w:jc w:val="left"/>
              <w:rPr>
                <w:sz w:val="18"/>
                <w:szCs w:val="18"/>
              </w:rPr>
            </w:pPr>
            <w:r>
              <w:rPr>
                <w:sz w:val="18"/>
                <w:szCs w:val="18"/>
              </w:rPr>
              <w:t>Fokusgruppen</w:t>
            </w:r>
          </w:p>
        </w:tc>
        <w:tc>
          <w:tcPr>
            <w:tcW w:w="6770" w:type="dxa"/>
          </w:tcPr>
          <w:p w:rsidR="00A45935" w:rsidRPr="00385368" w:rsidRDefault="00A45935" w:rsidP="00C202EC">
            <w:pPr>
              <w:pStyle w:val="Hlistbullet"/>
              <w:rPr>
                <w:sz w:val="18"/>
                <w:szCs w:val="18"/>
              </w:rPr>
            </w:pPr>
            <w:r>
              <w:rPr>
                <w:sz w:val="18"/>
                <w:szCs w:val="18"/>
              </w:rPr>
              <w:t>Einbeziehung von Innovationsakteuren in die Fokusgruppen (z. B. Dienste zur Innovationsförderung, als Innovationsvermittler handelnde Berater, Forschungs- und Innovationszentren usw.).</w:t>
            </w:r>
          </w:p>
          <w:p w:rsidR="00A45935" w:rsidRPr="00385368" w:rsidRDefault="00A45935" w:rsidP="00C202EC">
            <w:pPr>
              <w:pStyle w:val="Hlistbullet"/>
              <w:rPr>
                <w:sz w:val="18"/>
                <w:szCs w:val="18"/>
              </w:rPr>
            </w:pPr>
            <w:r>
              <w:rPr>
                <w:sz w:val="18"/>
                <w:szCs w:val="18"/>
              </w:rPr>
              <w:t>Analyse, inwieweit die Teilmaßnahmen der M1 und M2 sowie die operationellen Gruppen und LAG die Innovationsfähigkeit und die Schaffung eines innovationsfördernden Umfelds beeinflussen.</w:t>
            </w:r>
          </w:p>
          <w:p w:rsidR="00A45935" w:rsidRPr="00385368" w:rsidRDefault="00A45935" w:rsidP="00C202EC">
            <w:pPr>
              <w:pStyle w:val="Hlistbullet"/>
              <w:rPr>
                <w:sz w:val="18"/>
                <w:szCs w:val="18"/>
              </w:rPr>
            </w:pPr>
            <w:r>
              <w:rPr>
                <w:sz w:val="18"/>
                <w:szCs w:val="18"/>
              </w:rPr>
              <w:t>Erwägung der Möglichkeit, thematische Fokusgruppen aufzubauen (z. B. eine Fokusgruppe zum Thema Innovationsvermittlung).</w:t>
            </w:r>
          </w:p>
        </w:tc>
      </w:tr>
      <w:tr w:rsidR="00A45935" w:rsidRPr="00E05D08" w:rsidTr="00E05D08">
        <w:tc>
          <w:tcPr>
            <w:tcW w:w="1843" w:type="dxa"/>
          </w:tcPr>
          <w:p w:rsidR="00A45935" w:rsidRPr="00E05D08" w:rsidRDefault="00A45935" w:rsidP="00E05D08">
            <w:pPr>
              <w:spacing w:after="120" w:line="280" w:lineRule="atLeast"/>
              <w:ind w:right="399"/>
              <w:mirrorIndents/>
              <w:rPr>
                <w:sz w:val="18"/>
                <w:szCs w:val="18"/>
              </w:rPr>
            </w:pPr>
            <w:r>
              <w:rPr>
                <w:sz w:val="18"/>
                <w:szCs w:val="18"/>
              </w:rPr>
              <w:t>Delphi-Methode</w:t>
            </w:r>
          </w:p>
        </w:tc>
        <w:tc>
          <w:tcPr>
            <w:tcW w:w="6770" w:type="dxa"/>
          </w:tcPr>
          <w:p w:rsidR="00A45935" w:rsidRPr="00385368" w:rsidRDefault="00A45935" w:rsidP="00C202EC">
            <w:pPr>
              <w:pStyle w:val="Hlistbullet"/>
              <w:rPr>
                <w:sz w:val="18"/>
                <w:szCs w:val="18"/>
              </w:rPr>
            </w:pPr>
            <w:r>
              <w:rPr>
                <w:sz w:val="18"/>
                <w:szCs w:val="18"/>
              </w:rPr>
              <w:t>Einbeziehung von Innovationsexperten (z. B. von Innovationsexperten, die an Maßnahmen und Kooperationsprojekten beteiligt sind, aber auch von anderen Innovationsexperten wie etwa Wissenschaftlern).</w:t>
            </w:r>
          </w:p>
        </w:tc>
      </w:tr>
    </w:tbl>
    <w:p w:rsidR="0075316B" w:rsidRDefault="0075316B" w:rsidP="00EF1B0F">
      <w:pPr>
        <w:spacing w:before="240" w:after="120" w:line="280" w:lineRule="atLeast"/>
        <w:mirrorIndents/>
        <w:rPr>
          <w:b/>
          <w:i/>
          <w:sz w:val="18"/>
          <w:szCs w:val="18"/>
        </w:rPr>
      </w:pPr>
    </w:p>
    <w:p w:rsidR="0075316B" w:rsidRDefault="0075316B">
      <w:pPr>
        <w:jc w:val="left"/>
        <w:rPr>
          <w:b/>
          <w:i/>
          <w:sz w:val="18"/>
          <w:szCs w:val="18"/>
        </w:rPr>
      </w:pPr>
      <w:r>
        <w:rPr>
          <w:b/>
          <w:i/>
          <w:sz w:val="18"/>
          <w:szCs w:val="18"/>
        </w:rPr>
        <w:br w:type="page"/>
      </w:r>
    </w:p>
    <w:p w:rsidR="00EF1B0F" w:rsidRPr="00E05D08" w:rsidRDefault="00EF1B0F" w:rsidP="00EF1B0F">
      <w:pPr>
        <w:spacing w:before="240" w:after="120" w:line="280" w:lineRule="atLeast"/>
        <w:mirrorIndents/>
        <w:rPr>
          <w:rFonts w:eastAsia="Times New Roman" w:cs="Times New Roman"/>
          <w:b/>
          <w:i/>
          <w:sz w:val="18"/>
          <w:szCs w:val="18"/>
        </w:rPr>
      </w:pPr>
      <w:r>
        <w:rPr>
          <w:b/>
          <w:i/>
          <w:sz w:val="18"/>
          <w:szCs w:val="18"/>
        </w:rPr>
        <w:lastRenderedPageBreak/>
        <w:t>In den jährlichen Durchführungsberichten 2017 angegebene Bewertungsverfahren</w:t>
      </w:r>
    </w:p>
    <w:p w:rsidR="00C202EC" w:rsidRDefault="006F1601" w:rsidP="00E05D08">
      <w:pPr>
        <w:spacing w:after="120" w:line="280" w:lineRule="atLeast"/>
        <w:mirrorIndents/>
        <w:rPr>
          <w:rFonts w:eastAsia="Times New Roman" w:cs="Times New Roman"/>
          <w:b/>
          <w:i/>
          <w:sz w:val="18"/>
          <w:szCs w:val="18"/>
        </w:rPr>
      </w:pPr>
      <w:r w:rsidRPr="00E05D08">
        <w:rPr>
          <w:rFonts w:eastAsia="Times New Roman" w:cs="Times New Roman"/>
          <w:noProof/>
          <w:sz w:val="18"/>
          <w:szCs w:val="24"/>
          <w:lang w:val="en-GB" w:eastAsia="en-GB"/>
        </w:rPr>
        <mc:AlternateContent>
          <mc:Choice Requires="wps">
            <w:drawing>
              <wp:inline distT="0" distB="0" distL="0" distR="0" wp14:anchorId="20F3C8D0" wp14:editId="436B895C">
                <wp:extent cx="5878195" cy="6257925"/>
                <wp:effectExtent l="0" t="0" r="27305" b="28575"/>
                <wp:docPr id="60" name="Rectangle: Diagonal Corners Rounded 60"/>
                <wp:cNvGraphicFramePr/>
                <a:graphic xmlns:a="http://schemas.openxmlformats.org/drawingml/2006/main">
                  <a:graphicData uri="http://schemas.microsoft.com/office/word/2010/wordprocessingShape">
                    <wps:wsp>
                      <wps:cNvSpPr/>
                      <wps:spPr>
                        <a:xfrm>
                          <a:off x="0" y="0"/>
                          <a:ext cx="5878195" cy="6257925"/>
                        </a:xfrm>
                        <a:prstGeom prst="round2DiagRect">
                          <a:avLst>
                            <a:gd name="adj1" fmla="val 5521"/>
                            <a:gd name="adj2" fmla="val 0"/>
                          </a:avLst>
                        </a:prstGeom>
                        <a:noFill/>
                        <a:ln w="25400" cap="flat" cmpd="sng" algn="ctr">
                          <a:solidFill>
                            <a:srgbClr val="F07E31"/>
                          </a:solidFill>
                          <a:prstDash val="solid"/>
                        </a:ln>
                        <a:effectLst/>
                      </wps:spPr>
                      <wps:txbx>
                        <w:txbxContent>
                          <w:p w:rsidR="00533F8C" w:rsidRPr="00C202EC" w:rsidRDefault="00533F8C" w:rsidP="00E05D08">
                            <w:pPr>
                              <w:pStyle w:val="Normal12PTcouleurgris"/>
                              <w:ind w:left="567" w:hanging="567"/>
                              <w:rPr>
                                <w:b/>
                                <w:color w:val="F07E31"/>
                                <w:sz w:val="18"/>
                              </w:rPr>
                            </w:pPr>
                            <w:r w:rsidRPr="00AC75B9">
                              <w:rPr>
                                <w:noProof/>
                                <w:color w:val="F07E31"/>
                                <w:lang w:val="en-GB" w:eastAsia="en-GB"/>
                              </w:rPr>
                              <w:drawing>
                                <wp:inline distT="0" distB="0" distL="0" distR="0" wp14:anchorId="10F1BDD8" wp14:editId="250CBB65">
                                  <wp:extent cx="353060" cy="359410"/>
                                  <wp:effectExtent l="0" t="0" r="8890" b="2540"/>
                                  <wp:docPr id="74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533F8C" w:rsidRPr="00C202EC" w:rsidRDefault="00533F8C" w:rsidP="00C202EC">
                            <w:pPr>
                              <w:pStyle w:val="Normal12PTcouleurgris"/>
                              <w:spacing w:after="120"/>
                              <w:ind w:left="567" w:hanging="567"/>
                              <w:rPr>
                                <w:b/>
                                <w:color w:val="F07E31"/>
                                <w:sz w:val="18"/>
                              </w:rPr>
                            </w:pPr>
                            <w:r>
                              <w:rPr>
                                <w:b/>
                                <w:color w:val="F07E31"/>
                                <w:sz w:val="18"/>
                              </w:rPr>
                              <w:t>Beispiele für die Ermittlung des Innovationspotenzials</w:t>
                            </w:r>
                          </w:p>
                          <w:p w:rsidR="00533F8C" w:rsidRPr="00C202EC" w:rsidRDefault="00533F8C" w:rsidP="00C202EC">
                            <w:pPr>
                              <w:pStyle w:val="Hlistbullet"/>
                              <w:rPr>
                                <w:sz w:val="18"/>
                                <w:szCs w:val="18"/>
                              </w:rPr>
                            </w:pPr>
                            <w:r>
                              <w:rPr>
                                <w:b/>
                                <w:sz w:val="18"/>
                                <w:szCs w:val="18"/>
                              </w:rPr>
                              <w:t>Castilla y León (ES)</w:t>
                            </w:r>
                            <w:r>
                              <w:rPr>
                                <w:sz w:val="18"/>
                                <w:szCs w:val="18"/>
                              </w:rPr>
                              <w:t xml:space="preserve"> – unterstreicht das Innovationspotenzial von LAG und empfiehlt, die lokalen Entwicklungsstrategien zu analysieren, um die Arten von Vorhaben auszuweisen, die unter Strategien umgesetzt werden, die den Beitrag der LAG zur Verwirklichung der innovationsbezogenen Ziele des Schwerpunktbereichs 1A fördern.</w:t>
                            </w:r>
                            <w:r>
                              <w:rPr>
                                <w:b/>
                                <w:sz w:val="18"/>
                                <w:szCs w:val="18"/>
                              </w:rPr>
                              <w:t xml:space="preserve"> </w:t>
                            </w:r>
                          </w:p>
                          <w:p w:rsidR="00533F8C" w:rsidRPr="00C202EC" w:rsidRDefault="00533F8C" w:rsidP="00C202EC">
                            <w:pPr>
                              <w:pStyle w:val="Hlistbullet"/>
                              <w:rPr>
                                <w:sz w:val="18"/>
                                <w:szCs w:val="18"/>
                              </w:rPr>
                            </w:pPr>
                            <w:r>
                              <w:rPr>
                                <w:b/>
                                <w:sz w:val="18"/>
                                <w:szCs w:val="18"/>
                              </w:rPr>
                              <w:t>Canarias (ES)</w:t>
                            </w:r>
                            <w:r>
                              <w:rPr>
                                <w:sz w:val="18"/>
                                <w:szCs w:val="18"/>
                              </w:rPr>
                              <w:t xml:space="preserve"> – unterstreicht ebenfalls das Innovationspotenzial der LAG und empfiehlt, im Begleitungs- und Bewertungssystem eine Variable einzuführen, die Aufschluss darüber gibt, ob die Vorhaben, die von den LAG im Rahmen der M19 in Verbindung mit den lokalen Entwicklungsstrategien umgesetzt werden, innovativ sind.</w:t>
                            </w:r>
                          </w:p>
                          <w:p w:rsidR="00533F8C" w:rsidRPr="00C202EC" w:rsidRDefault="00533F8C" w:rsidP="003F6478">
                            <w:pPr>
                              <w:pStyle w:val="HStandard"/>
                              <w:ind w:left="567" w:hanging="567"/>
                              <w:rPr>
                                <w:b/>
                                <w:color w:val="F07E31"/>
                                <w:sz w:val="18"/>
                                <w:szCs w:val="18"/>
                              </w:rPr>
                            </w:pPr>
                            <w:r>
                              <w:rPr>
                                <w:b/>
                                <w:color w:val="F07E31"/>
                                <w:sz w:val="18"/>
                                <w:szCs w:val="18"/>
                              </w:rPr>
                              <w:t xml:space="preserve">Beispiele zusätzlicher Bewertungselemente </w:t>
                            </w:r>
                          </w:p>
                          <w:p w:rsidR="00533F8C" w:rsidRPr="00C202EC" w:rsidRDefault="00533F8C" w:rsidP="00C202EC">
                            <w:pPr>
                              <w:pStyle w:val="Hlistbullet"/>
                              <w:rPr>
                                <w:sz w:val="18"/>
                                <w:szCs w:val="18"/>
                              </w:rPr>
                            </w:pPr>
                            <w:r>
                              <w:rPr>
                                <w:b/>
                                <w:sz w:val="18"/>
                                <w:szCs w:val="18"/>
                              </w:rPr>
                              <w:t>Bayern (DE)</w:t>
                            </w:r>
                            <w:r>
                              <w:rPr>
                                <w:sz w:val="18"/>
                                <w:szCs w:val="18"/>
                              </w:rPr>
                              <w:t xml:space="preserve"> – verweist auf die Verwendung zusätzlicher innovationsbezogener Beurteilungskriterien auf der Ebene der LAG (z. B. neue sektorübergreifende Projekte, die von den LAG genutzt wurden, Prüfung neuer Prozesse/Techniken). Es wurde ein zusätzlicher Ergebnisindikator eingesetzt (neue Ideen/Lösungen, Innovationen – M19). Der Indikator wurde quantifiziert und die Erfassung der Informationen erfolgte über (a) eine Online-Umfrage unter den Verwaltern der LAG; (b) halbstrukturierte Interviews mit ausgewählten Verwaltern der LAG. </w:t>
                            </w:r>
                          </w:p>
                          <w:p w:rsidR="00533F8C" w:rsidRPr="00C202EC" w:rsidRDefault="00533F8C" w:rsidP="00C202EC">
                            <w:pPr>
                              <w:pStyle w:val="Hlistbullet"/>
                              <w:rPr>
                                <w:sz w:val="18"/>
                                <w:szCs w:val="18"/>
                              </w:rPr>
                            </w:pPr>
                            <w:r>
                              <w:rPr>
                                <w:b/>
                                <w:sz w:val="18"/>
                                <w:szCs w:val="18"/>
                              </w:rPr>
                              <w:t>Tschechische Republik</w:t>
                            </w:r>
                            <w:r>
                              <w:rPr>
                                <w:sz w:val="18"/>
                                <w:szCs w:val="18"/>
                              </w:rPr>
                              <w:t xml:space="preserve"> – beschreibt die Erfassung von Daten für den zusätzlichen Ergebnisindikator „Zahl der Teilnehmer, die Tätigkeiten mit Innovationsschwerpunkt abschließen“ über die Vorhabendatenbank. Außerdem wird zum Zwecke der Beschaffung innovationsbezogener Informationen auf eine Umfrage unter den Begünstigten der unterstützten Projekte verwiesen.</w:t>
                            </w:r>
                          </w:p>
                          <w:p w:rsidR="00533F8C" w:rsidRPr="00C202EC" w:rsidRDefault="00533F8C" w:rsidP="00142A64">
                            <w:pPr>
                              <w:pStyle w:val="HStandard"/>
                              <w:rPr>
                                <w:b/>
                                <w:sz w:val="18"/>
                                <w:szCs w:val="18"/>
                              </w:rPr>
                            </w:pPr>
                            <w:r>
                              <w:rPr>
                                <w:b/>
                                <w:color w:val="F07E31"/>
                                <w:sz w:val="18"/>
                                <w:szCs w:val="18"/>
                              </w:rPr>
                              <w:t>Beispiele für Methoden</w:t>
                            </w:r>
                          </w:p>
                          <w:p w:rsidR="00533F8C" w:rsidRPr="00C202EC" w:rsidRDefault="00533F8C" w:rsidP="00C202EC">
                            <w:pPr>
                              <w:pStyle w:val="Hlistbullet"/>
                              <w:rPr>
                                <w:sz w:val="18"/>
                                <w:szCs w:val="18"/>
                              </w:rPr>
                            </w:pPr>
                            <w:r>
                              <w:rPr>
                                <w:b/>
                                <w:sz w:val="18"/>
                                <w:szCs w:val="18"/>
                              </w:rPr>
                              <w:t>Castilla y León (ES)</w:t>
                            </w:r>
                            <w:r>
                              <w:rPr>
                                <w:sz w:val="18"/>
                                <w:szCs w:val="18"/>
                              </w:rPr>
                              <w:t xml:space="preserve"> – empfiehlt Einzelinterviews mit den Verwaltern der Maßnahmen sowie die Einführung zusätzlicher Datenelemente in das Begleitsystem, um zu bewerten, wie die einzelnen Vorhaben innovative Elemente einbeziehen und zur Verwirklichung der Innovationsziele beitragen.</w:t>
                            </w:r>
                          </w:p>
                          <w:p w:rsidR="00533F8C" w:rsidRPr="00C202EC" w:rsidRDefault="00533F8C" w:rsidP="00C202EC">
                            <w:pPr>
                              <w:pStyle w:val="Hlistbullet"/>
                            </w:pPr>
                            <w:r>
                              <w:rPr>
                                <w:b/>
                                <w:sz w:val="18"/>
                                <w:szCs w:val="18"/>
                              </w:rPr>
                              <w:t>Castilla la Mancha (ES)</w:t>
                            </w:r>
                            <w:r>
                              <w:rPr>
                                <w:sz w:val="18"/>
                                <w:szCs w:val="18"/>
                              </w:rPr>
                              <w:t xml:space="preserve"> – sendete eine Umfrage an alle Schulungsteilnehmer, um unter anderem den Beitrag von Wissenstransfer und Informationsmaßnahmen zu Innovation zu bewerten. Im Rahmen der Umfragen konnten innovative Schulungseinheiten bewertet werden.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F3C8D0" id="Rectangle: Diagonal Corners Rounded 60" o:spid="_x0000_s1044" style="width:462.85pt;height:492.75pt;visibility:visible;mso-wrap-style:square;mso-left-percent:-10001;mso-top-percent:-10001;mso-position-horizontal:absolute;mso-position-horizontal-relative:char;mso-position-vertical:absolute;mso-position-vertical-relative:line;mso-left-percent:-10001;mso-top-percent:-10001;v-text-anchor:middle" coordsize="5878195,6257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" adj="-11796480,,5400" path="m324535,l5878195,r,l5878195,5933390v,179236,-145299,324535,-324535,324535l,6257925r,l,324535c,145299,145299,,324535,xe" filled="f" strokecolor="#f07e31" strokeweight="2pt">
                <v:stroke joinstyle="miter"/>
                <v:formulas/>
                <v:path arrowok="t" o:connecttype="custom" o:connectlocs="324535,0;5878195,0;5878195,0;5878195,5933390;5553660,6257925;0,6257925;0,6257925;0,324535;324535,0" o:connectangles="0,0,0,0,0,0,0,0,0" textboxrect="0,0,5878195,6257925"/>
                <v:textbox>
                  <w:txbxContent>
                    <w:p w:rsidR="00533F8C" w:rsidRPr="00C202EC" w:rsidRDefault="00533F8C" w:rsidP="00E05D08">
                      <w:pPr>
                        <w:pStyle w:val="Normal12PTcouleurgris"/>
                        <w:ind w:left="567" w:hanging="567"/>
                        <w:rPr>
                          <w:b/>
                          <w:color w:val="F07E31"/>
                          <w:sz w:val="18"/>
                        </w:rPr>
                      </w:pPr>
                      <w:r w:rsidRPr="00AC75B9">
                        <w:rPr>
                          <w:noProof/>
                          <w:color w:val="F07E31"/>
                          <w:lang w:val="en-GB" w:eastAsia="en-GB"/>
                        </w:rPr>
                        <w:drawing>
                          <wp:inline distT="0" distB="0" distL="0" distR="0" wp14:anchorId="10F1BDD8" wp14:editId="250CBB65">
                            <wp:extent cx="353060" cy="359410"/>
                            <wp:effectExtent l="0" t="0" r="8890" b="2540"/>
                            <wp:docPr id="74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533F8C" w:rsidRPr="00C202EC" w:rsidRDefault="00533F8C" w:rsidP="00C202EC">
                      <w:pPr>
                        <w:pStyle w:val="Normal12PTcouleurgris"/>
                        <w:spacing w:after="120"/>
                        <w:ind w:left="567" w:hanging="567"/>
                        <w:rPr>
                          <w:b/>
                          <w:color w:val="F07E31"/>
                          <w:sz w:val="18"/>
                        </w:rPr>
                      </w:pPr>
                      <w:r>
                        <w:rPr>
                          <w:b/>
                          <w:color w:val="F07E31"/>
                          <w:sz w:val="18"/>
                        </w:rPr>
                        <w:t>Beispiele für die Ermittlung des Innovationspotenzials</w:t>
                      </w:r>
                    </w:p>
                    <w:p w:rsidR="00533F8C" w:rsidRPr="00C202EC" w:rsidRDefault="00533F8C" w:rsidP="00C202EC">
                      <w:pPr>
                        <w:pStyle w:val="Hlistbullet"/>
                        <w:rPr>
                          <w:sz w:val="18"/>
                          <w:szCs w:val="18"/>
                        </w:rPr>
                      </w:pPr>
                      <w:r>
                        <w:rPr>
                          <w:b/>
                          <w:sz w:val="18"/>
                          <w:szCs w:val="18"/>
                        </w:rPr>
                        <w:t>Castilla y León (ES)</w:t>
                      </w:r>
                      <w:r>
                        <w:rPr>
                          <w:sz w:val="18"/>
                          <w:szCs w:val="18"/>
                        </w:rPr>
                        <w:t xml:space="preserve"> – unterstreicht das Innovationspotenzial von LAG und empfiehlt, die lokalen Entwicklungsstrategien zu analysieren, um die Arten von Vorhaben auszuweisen, die unter Strategien umgesetzt werden, die den Beitrag der LAG zur Verwirklichung der innovationsbezogenen Ziele des Schwerpunktbereichs 1A fördern.</w:t>
                      </w:r>
                      <w:r>
                        <w:rPr>
                          <w:b/>
                          <w:sz w:val="18"/>
                          <w:szCs w:val="18"/>
                        </w:rPr>
                        <w:t xml:space="preserve"> </w:t>
                      </w:r>
                    </w:p>
                    <w:p w:rsidR="00533F8C" w:rsidRPr="00C202EC" w:rsidRDefault="00533F8C" w:rsidP="00C202EC">
                      <w:pPr>
                        <w:pStyle w:val="Hlistbullet"/>
                        <w:rPr>
                          <w:sz w:val="18"/>
                          <w:szCs w:val="18"/>
                        </w:rPr>
                      </w:pPr>
                      <w:r>
                        <w:rPr>
                          <w:b/>
                          <w:sz w:val="18"/>
                          <w:szCs w:val="18"/>
                        </w:rPr>
                        <w:t>Canarias (ES)</w:t>
                      </w:r>
                      <w:r>
                        <w:rPr>
                          <w:sz w:val="18"/>
                          <w:szCs w:val="18"/>
                        </w:rPr>
                        <w:t xml:space="preserve"> – unterstreicht ebenfalls das Innovationspotenzial der LAG und empfiehlt, im Begleitungs- und Bewertungssystem eine Variable einzuführen, die Aufschluss darüber gibt, ob die Vorhaben, die von den LAG im Rahmen der M19 in Verbindung mit den lokalen Entwicklungsstrategien umgesetzt werden, innovativ sind.</w:t>
                      </w:r>
                    </w:p>
                    <w:p w:rsidR="00533F8C" w:rsidRPr="00C202EC" w:rsidRDefault="00533F8C" w:rsidP="003F6478">
                      <w:pPr>
                        <w:pStyle w:val="HStandard"/>
                        <w:ind w:left="567" w:hanging="567"/>
                        <w:rPr>
                          <w:b/>
                          <w:color w:val="F07E31"/>
                          <w:sz w:val="18"/>
                          <w:szCs w:val="18"/>
                        </w:rPr>
                      </w:pPr>
                      <w:r>
                        <w:rPr>
                          <w:b/>
                          <w:color w:val="F07E31"/>
                          <w:sz w:val="18"/>
                          <w:szCs w:val="18"/>
                        </w:rPr>
                        <w:t xml:space="preserve">Beispiele zusätzlicher Bewertungselemente </w:t>
                      </w:r>
                    </w:p>
                    <w:p w:rsidR="00533F8C" w:rsidRPr="00C202EC" w:rsidRDefault="00533F8C" w:rsidP="00C202EC">
                      <w:pPr>
                        <w:pStyle w:val="Hlistbullet"/>
                        <w:rPr>
                          <w:sz w:val="18"/>
                          <w:szCs w:val="18"/>
                        </w:rPr>
                      </w:pPr>
                      <w:r>
                        <w:rPr>
                          <w:b/>
                          <w:sz w:val="18"/>
                          <w:szCs w:val="18"/>
                        </w:rPr>
                        <w:t>Bayern (DE)</w:t>
                      </w:r>
                      <w:r>
                        <w:rPr>
                          <w:sz w:val="18"/>
                          <w:szCs w:val="18"/>
                        </w:rPr>
                        <w:t xml:space="preserve"> – verweist auf die Verwendung zusätzlicher innovationsbezogener Beurteilungskriterien auf der Ebene der LAG (z. B. neue sektorübergreifende Projekte, die von den LAG genutzt wurden, Prüfung neuer Prozesse/Techniken). Es wurde ein zusätzlicher Ergebnisindikator eingesetzt (neue Ideen/Lösungen, Innovationen – M19). Der Indikator wurde quantifiziert und die Erfassung der Informationen erfolgte über (a) eine Online-Umfrage unter den Verwaltern der LAG; (b) halbstrukturierte Interviews mit ausgewählten Verwaltern der LAG. </w:t>
                      </w:r>
                    </w:p>
                    <w:p w:rsidR="00533F8C" w:rsidRPr="00C202EC" w:rsidRDefault="00533F8C" w:rsidP="00C202EC">
                      <w:pPr>
                        <w:pStyle w:val="Hlistbullet"/>
                        <w:rPr>
                          <w:sz w:val="18"/>
                          <w:szCs w:val="18"/>
                        </w:rPr>
                      </w:pPr>
                      <w:r>
                        <w:rPr>
                          <w:b/>
                          <w:sz w:val="18"/>
                          <w:szCs w:val="18"/>
                        </w:rPr>
                        <w:t>Tschechische Republik</w:t>
                      </w:r>
                      <w:r>
                        <w:rPr>
                          <w:sz w:val="18"/>
                          <w:szCs w:val="18"/>
                        </w:rPr>
                        <w:t xml:space="preserve"> – beschreibt die Erfassung von Daten für den zusätzlichen Ergebnisindikator „Zahl der Teilnehmer, die Tätigkeiten mit Innovationsschwerpunkt abschließen“ über die Vorhabendatenbank. Außerdem wird zum Zwecke der Beschaffung innovationsbezogener Informationen auf eine Umfrage unter den Begünstigten der unterstützten Projekte verwiesen.</w:t>
                      </w:r>
                    </w:p>
                    <w:p w:rsidR="00533F8C" w:rsidRPr="00C202EC" w:rsidRDefault="00533F8C" w:rsidP="00142A64">
                      <w:pPr>
                        <w:pStyle w:val="HStandard"/>
                        <w:rPr>
                          <w:b/>
                          <w:sz w:val="18"/>
                          <w:szCs w:val="18"/>
                        </w:rPr>
                      </w:pPr>
                      <w:r>
                        <w:rPr>
                          <w:b/>
                          <w:color w:val="F07E31"/>
                          <w:sz w:val="18"/>
                          <w:szCs w:val="18"/>
                        </w:rPr>
                        <w:t>Beispiele für Methoden</w:t>
                      </w:r>
                    </w:p>
                    <w:p w:rsidR="00533F8C" w:rsidRPr="00C202EC" w:rsidRDefault="00533F8C" w:rsidP="00C202EC">
                      <w:pPr>
                        <w:pStyle w:val="Hlistbullet"/>
                        <w:rPr>
                          <w:sz w:val="18"/>
                          <w:szCs w:val="18"/>
                        </w:rPr>
                      </w:pPr>
                      <w:r>
                        <w:rPr>
                          <w:b/>
                          <w:sz w:val="18"/>
                          <w:szCs w:val="18"/>
                        </w:rPr>
                        <w:t>Castilla y León (ES)</w:t>
                      </w:r>
                      <w:r>
                        <w:rPr>
                          <w:sz w:val="18"/>
                          <w:szCs w:val="18"/>
                        </w:rPr>
                        <w:t xml:space="preserve"> – empfiehlt Einzelinterviews mit den Verwaltern der Maßnahmen sowie die Einführung zusätzlicher Datenelemente in das Begleitsystem, um zu bewerten, wie die einzelnen Vorhaben innovative Elemente einbeziehen und zur Verwirklichung der Innovationsziele beitragen.</w:t>
                      </w:r>
                    </w:p>
                    <w:p w:rsidR="00533F8C" w:rsidRPr="00C202EC" w:rsidRDefault="00533F8C" w:rsidP="00C202EC">
                      <w:pPr>
                        <w:pStyle w:val="Hlistbullet"/>
                      </w:pPr>
                      <w:r>
                        <w:rPr>
                          <w:b/>
                          <w:sz w:val="18"/>
                          <w:szCs w:val="18"/>
                        </w:rPr>
                        <w:t>Castilla la Mancha (ES)</w:t>
                      </w:r>
                      <w:r>
                        <w:rPr>
                          <w:sz w:val="18"/>
                          <w:szCs w:val="18"/>
                        </w:rPr>
                        <w:t xml:space="preserve"> – sendete eine Umfrage an alle Schulungsteilnehmer, um unter anderem den Beitrag von Wissenstransfer und Informationsmaßnahmen zu Innovation zu bewerten. Im Rahmen der Umfragen konnten innovative Schulungseinheiten bewertet werden.</w:t>
                      </w:r>
                    </w:p>
                  </w:txbxContent>
                </v:textbox>
                <w10:anchorlock/>
              </v:shape>
            </w:pict>
          </mc:Fallback>
        </mc:AlternateContent>
      </w:r>
    </w:p>
    <w:p w:rsidR="00C202EC" w:rsidRDefault="00C202EC">
      <w:pPr>
        <w:jc w:val="left"/>
        <w:rPr>
          <w:rFonts w:eastAsia="Times New Roman" w:cs="Times New Roman"/>
          <w:b/>
          <w:i/>
          <w:sz w:val="18"/>
          <w:szCs w:val="18"/>
        </w:rPr>
      </w:pPr>
      <w:r>
        <w:br w:type="page"/>
      </w:r>
    </w:p>
    <w:p w:rsidR="00A45935" w:rsidRPr="00AB16BB" w:rsidRDefault="00A45935" w:rsidP="00AB16BB">
      <w:pPr>
        <w:pStyle w:val="ListParagraph"/>
        <w:numPr>
          <w:ilvl w:val="0"/>
          <w:numId w:val="55"/>
        </w:numPr>
        <w:spacing w:after="120" w:line="280" w:lineRule="atLeast"/>
        <w:ind w:left="567" w:hanging="567"/>
        <w:rPr>
          <w:rFonts w:eastAsia="Times New Roman" w:cs="Times New Roman"/>
          <w:b/>
          <w:szCs w:val="20"/>
        </w:rPr>
      </w:pPr>
      <w:r>
        <w:rPr>
          <w:b/>
          <w:szCs w:val="20"/>
        </w:rPr>
        <w:lastRenderedPageBreak/>
        <w:t xml:space="preserve">Risiken und Lösungen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33"/>
        <w:gridCol w:w="5097"/>
      </w:tblGrid>
      <w:tr w:rsidR="00A45935" w:rsidRPr="00E05D08" w:rsidTr="00E05D08">
        <w:tc>
          <w:tcPr>
            <w:tcW w:w="3833" w:type="dxa"/>
            <w:shd w:val="clear" w:color="auto" w:fill="F07E31"/>
            <w:hideMark/>
          </w:tcPr>
          <w:p w:rsidR="00A45935" w:rsidRPr="00AB16BB" w:rsidRDefault="00A45935" w:rsidP="00E05D08">
            <w:pPr>
              <w:tabs>
                <w:tab w:val="left" w:pos="2070"/>
              </w:tabs>
              <w:spacing w:after="120" w:line="280" w:lineRule="atLeast"/>
              <w:mirrorIndents/>
              <w:jc w:val="center"/>
              <w:rPr>
                <w:b/>
                <w:color w:val="FFFFFF" w:themeColor="background1"/>
                <w:sz w:val="18"/>
                <w:szCs w:val="18"/>
              </w:rPr>
            </w:pPr>
            <w:r>
              <w:rPr>
                <w:b/>
                <w:color w:val="FFFFFF" w:themeColor="background1"/>
                <w:sz w:val="18"/>
                <w:szCs w:val="18"/>
              </w:rPr>
              <w:t>Risiken</w:t>
            </w:r>
          </w:p>
        </w:tc>
        <w:tc>
          <w:tcPr>
            <w:tcW w:w="5097" w:type="dxa"/>
            <w:shd w:val="clear" w:color="auto" w:fill="F07E31"/>
            <w:hideMark/>
          </w:tcPr>
          <w:p w:rsidR="00A45935" w:rsidRPr="00AB16BB" w:rsidRDefault="00A45935" w:rsidP="00E05D08">
            <w:pPr>
              <w:spacing w:after="120" w:line="280" w:lineRule="atLeast"/>
              <w:mirrorIndents/>
              <w:jc w:val="center"/>
              <w:rPr>
                <w:b/>
                <w:color w:val="FFFFFF" w:themeColor="background1"/>
                <w:sz w:val="18"/>
                <w:szCs w:val="18"/>
              </w:rPr>
            </w:pPr>
            <w:r>
              <w:rPr>
                <w:b/>
                <w:color w:val="FFFFFF" w:themeColor="background1"/>
                <w:sz w:val="18"/>
                <w:szCs w:val="18"/>
              </w:rPr>
              <w:t>Lösungen</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Bestimmte Datenelemente (z. B. die endgültige Zahl der Kooperationsprojekte) sind möglicherweise erst nach Ende des Programmplanungszeitraums verfügbar.</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Als Ersatz für die endgültige Zahl der Kooperationsstrukturen kann im Rahmen einer qualitativen Bewertung die Art der aufgebauten Kooperationsstrukturen/operationellen Gruppen (Rechtsform, Zusammensetzung, Verpflichtungserklärung der Partner usw.) analysiert werden.</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Informationen über die Zusammensetzung und Art der Partner eines Kooperationsprojekts oder über die Innovationsakteure der M1 und M2 sind in den Begleitungsdaten möglicherweise nicht enthalten.</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Die Zusammensetzung und Art der Partner kann mittels Umfragen oder Befragungen zu den unterstützten Vorhaben ermittelt werden. Alternativ können auch die Antragsformulare im Rahmen der geförderten Vorhaben nützliche Daten enthalten.</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Informationen über die Art der geschaffenen Innovation und deren Einsatz sind in den Begleitungstabellen nicht unbedingt enthalten.</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 xml:space="preserve">Welche Arten von Innovation hervorgebracht wurden, kann gegebenenfalls mittels Umfragen, Fokusgruppen und Befragungen der operationellen Gruppen erfasst werden. </w:t>
            </w:r>
          </w:p>
        </w:tc>
      </w:tr>
    </w:tbl>
    <w:p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b/>
          <w:szCs w:val="20"/>
        </w:rPr>
        <w:t>Schlussfolgerungen und Empfehlungen</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Mit den Schlussfolgerungen und Empfehlungen sollten mindestens die folgenden Politikfragen behandelt werden:</w:t>
      </w:r>
    </w:p>
    <w:p w:rsidR="00A45935" w:rsidRPr="00B41573" w:rsidRDefault="00A45935" w:rsidP="00AB16BB">
      <w:pPr>
        <w:pStyle w:val="Hlistbullet"/>
        <w:rPr>
          <w:rFonts w:eastAsia="Calibri"/>
          <w:shd w:val="clear" w:color="auto" w:fill="FFFFFF"/>
        </w:rPr>
      </w:pPr>
      <w:r>
        <w:rPr>
          <w:b/>
          <w:shd w:val="clear" w:color="auto" w:fill="FFFFFF"/>
        </w:rPr>
        <w:t>Die Verwirklichung des Innovationspotenzials</w:t>
      </w:r>
      <w:r>
        <w:rPr>
          <w:shd w:val="clear" w:color="auto" w:fill="FFFFFF"/>
        </w:rPr>
        <w:t xml:space="preserve"> (über die drei Pfade) der Maßnahmen M1, M2, M16 und M19 und deren ausgewiesenen Teilmaßnahmen.</w:t>
      </w:r>
    </w:p>
    <w:p w:rsidR="00A45935" w:rsidRPr="00B41573" w:rsidRDefault="00A45935" w:rsidP="00AB16BB">
      <w:pPr>
        <w:pStyle w:val="Hlistbullet"/>
        <w:rPr>
          <w:rFonts w:eastAsia="Calibri"/>
          <w:shd w:val="clear" w:color="auto" w:fill="FFFFFF"/>
        </w:rPr>
      </w:pPr>
      <w:r>
        <w:rPr>
          <w:b/>
          <w:shd w:val="clear" w:color="auto" w:fill="FFFFFF"/>
        </w:rPr>
        <w:t>Die Wirkung der Schulungs- und Informationsmaßnahmen</w:t>
      </w:r>
      <w:r>
        <w:rPr>
          <w:shd w:val="clear" w:color="auto" w:fill="FFFFFF"/>
        </w:rPr>
        <w:t xml:space="preserve"> der M1 und der Beratungsdienste der M2 über die Verbesserung der Innovationsfähigkeit.</w:t>
      </w:r>
    </w:p>
    <w:p w:rsidR="00A45935" w:rsidRPr="00B41573" w:rsidRDefault="00A45935" w:rsidP="00AB16BB">
      <w:pPr>
        <w:pStyle w:val="Hlistbullet"/>
        <w:rPr>
          <w:rFonts w:eastAsia="Calibri"/>
          <w:shd w:val="clear" w:color="auto" w:fill="FFFFFF"/>
        </w:rPr>
      </w:pPr>
      <w:r>
        <w:rPr>
          <w:b/>
          <w:shd w:val="clear" w:color="auto" w:fill="FFFFFF"/>
        </w:rPr>
        <w:t>Die Wirkung von Kooperationsprojekten</w:t>
      </w:r>
      <w:r>
        <w:rPr>
          <w:shd w:val="clear" w:color="auto" w:fill="FFFFFF"/>
        </w:rPr>
        <w:t>, insbesondere von operationellen Gruppen, die sich der Innovationsförderung verschrieben haben;</w:t>
      </w:r>
    </w:p>
    <w:p w:rsidR="00A45935" w:rsidRPr="00E05D08" w:rsidRDefault="00A45935" w:rsidP="00AB16BB">
      <w:pPr>
        <w:pStyle w:val="Hlistbullet2"/>
        <w:rPr>
          <w:rFonts w:eastAsia="Calibri"/>
          <w:shd w:val="clear" w:color="auto" w:fill="FFFFFF"/>
        </w:rPr>
      </w:pPr>
      <w:r>
        <w:rPr>
          <w:shd w:val="clear" w:color="auto" w:fill="FFFFFF"/>
        </w:rPr>
        <w:t>Die Zahl, der Umfang, der Inhalt und die Dauer der Projekte der operationellen Gruppen ermöglichen unter Umständen hilfreiche Schlussfolgerung darüber, welche innovativen Ideen in die Praxis umgesetzt werden sollten.</w:t>
      </w:r>
    </w:p>
    <w:p w:rsidR="00A45935" w:rsidRPr="00E05D08" w:rsidRDefault="00A45935" w:rsidP="00AB16BB">
      <w:pPr>
        <w:pStyle w:val="Hlistbullet2"/>
        <w:rPr>
          <w:rFonts w:eastAsia="Calibri"/>
          <w:shd w:val="clear" w:color="auto" w:fill="FFFFFF"/>
        </w:rPr>
      </w:pPr>
      <w:r>
        <w:rPr>
          <w:shd w:val="clear" w:color="auto" w:fill="FFFFFF"/>
        </w:rPr>
        <w:t>Die Zahl und Art der Projekte der operationellen Gruppen sowie die Beteiligung von Innovationsakteuren ermöglichen unter Umständen eine relevante Schlussfolgerung über die Ergebnisse, die mit der Maßnahme „Zusammenarbeit“ in Bezug auf die Innovationsfähigkeit in ländlichen Gebieten erreicht wurden.</w:t>
      </w:r>
    </w:p>
    <w:p w:rsidR="00A45935" w:rsidRPr="00E05D08" w:rsidRDefault="00A45935" w:rsidP="00AB16BB">
      <w:pPr>
        <w:pStyle w:val="Hlistbullet2"/>
        <w:rPr>
          <w:rFonts w:eastAsia="Calibri"/>
          <w:shd w:val="clear" w:color="auto" w:fill="FFFFFF"/>
        </w:rPr>
      </w:pPr>
      <w:r>
        <w:rPr>
          <w:shd w:val="clear" w:color="auto" w:fill="FFFFFF"/>
        </w:rPr>
        <w:t xml:space="preserve">Schlussfolgerungen darüber, inwieweit die Projekte der operationellen Gruppen zu innovationsfördernden Strukturen und Verfahren geführt haben. </w:t>
      </w:r>
    </w:p>
    <w:p w:rsidR="00A45935" w:rsidRPr="000A1399" w:rsidRDefault="00A45935" w:rsidP="008C0B17">
      <w:pPr>
        <w:numPr>
          <w:ilvl w:val="0"/>
          <w:numId w:val="88"/>
        </w:numPr>
        <w:tabs>
          <w:tab w:val="left" w:pos="426"/>
        </w:tabs>
        <w:ind w:left="426" w:hanging="284"/>
        <w:mirrorIndents/>
        <w:rPr>
          <w:rFonts w:eastAsia="Calibri"/>
          <w:szCs w:val="20"/>
          <w:shd w:val="clear" w:color="auto" w:fill="FFFFFF"/>
        </w:rPr>
      </w:pPr>
      <w:r>
        <w:rPr>
          <w:b/>
          <w:szCs w:val="20"/>
          <w:shd w:val="clear" w:color="auto" w:fill="FFFFFF"/>
        </w:rPr>
        <w:t>Die Wirkung von Tätigkeiten der LAG</w:t>
      </w:r>
      <w:r>
        <w:rPr>
          <w:szCs w:val="20"/>
          <w:shd w:val="clear" w:color="auto" w:fill="FFFFFF"/>
        </w:rPr>
        <w:t xml:space="preserve"> (einschließlich der Zusammenarbeit zwischen den einzelnen LAG) und von Projekten, die im Rahmen von Strategien durchgeführt werden, die unter die von der örtlichen Bevölkerung betriebenen Maßnahmen zur lokalen Entwicklung fallen (CLLD).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Weiterführende Literatur</w:t>
      </w:r>
    </w:p>
    <w:p w:rsidR="00A45935" w:rsidRPr="00E05D08" w:rsidRDefault="00A45935" w:rsidP="00E05D08">
      <w:pPr>
        <w:spacing w:after="120" w:line="280" w:lineRule="atLeast"/>
        <w:mirrorIndents/>
        <w:rPr>
          <w:rFonts w:eastAsia="Calibri" w:cs="Times New Roman"/>
          <w:szCs w:val="20"/>
        </w:rPr>
      </w:pPr>
      <w:r w:rsidRPr="00E05D08">
        <w:rPr>
          <w:rFonts w:eastAsia="Times New Roman" w:cs="Times New Roman"/>
          <w:noProof/>
          <w:sz w:val="18"/>
          <w:szCs w:val="24"/>
          <w:lang w:val="en-GB" w:eastAsia="en-GB"/>
        </w:rPr>
        <mc:AlternateContent>
          <mc:Choice Requires="wps">
            <w:drawing>
              <wp:inline distT="0" distB="0" distL="0" distR="0" wp14:anchorId="0F81784D" wp14:editId="74F0C855">
                <wp:extent cx="5633634" cy="2295525"/>
                <wp:effectExtent l="0" t="0" r="24765" b="28575"/>
                <wp:docPr id="5" name="Rectangle: Diagonal Corners Rounded 5"/>
                <wp:cNvGraphicFramePr/>
                <a:graphic xmlns:a="http://schemas.openxmlformats.org/drawingml/2006/main">
                  <a:graphicData uri="http://schemas.microsoft.com/office/word/2010/wordprocessingShape">
                    <wps:wsp>
                      <wps:cNvSpPr/>
                      <wps:spPr>
                        <a:xfrm>
                          <a:off x="0" y="0"/>
                          <a:ext cx="5633634" cy="2295525"/>
                        </a:xfrm>
                        <a:prstGeom prst="round2DiagRect">
                          <a:avLst>
                            <a:gd name="adj1" fmla="val 11556"/>
                            <a:gd name="adj2" fmla="val 0"/>
                          </a:avLst>
                        </a:prstGeom>
                        <a:noFill/>
                        <a:ln w="25400" cap="flat" cmpd="sng" algn="ctr">
                          <a:solidFill>
                            <a:srgbClr val="59638E"/>
                          </a:solidFill>
                          <a:prstDash val="solid"/>
                        </a:ln>
                        <a:effectLst/>
                      </wps:spPr>
                      <wps:txbx>
                        <w:txbxContent>
                          <w:p w:rsidR="00533F8C" w:rsidRDefault="00533F8C" w:rsidP="00E05D08">
                            <w:pPr>
                              <w:pStyle w:val="HStandard"/>
                              <w:rPr>
                                <w:color w:val="000000"/>
                                <w:sz w:val="18"/>
                              </w:rPr>
                            </w:pPr>
                            <w:r>
                              <w:rPr>
                                <w:noProof/>
                                <w:lang w:val="en-GB" w:eastAsia="en-GB"/>
                              </w:rPr>
                              <w:drawing>
                                <wp:inline distT="0" distB="0" distL="0" distR="0" wp14:anchorId="4E63CB17" wp14:editId="657317EE">
                                  <wp:extent cx="360465" cy="360000"/>
                                  <wp:effectExtent l="0" t="0" r="1905" b="2540"/>
                                  <wp:docPr id="74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33F8C" w:rsidRPr="00EB3015" w:rsidRDefault="00533F8C" w:rsidP="00E05D08">
                            <w:pPr>
                              <w:pStyle w:val="HStandard"/>
                              <w:rPr>
                                <w:color w:val="000000"/>
                                <w:sz w:val="18"/>
                              </w:rPr>
                            </w:pPr>
                            <w:r>
                              <w:rPr>
                                <w:sz w:val="18"/>
                              </w:rPr>
                              <w:t>Leitlinien</w:t>
                            </w:r>
                            <w:r>
                              <w:rPr>
                                <w:color w:val="000000"/>
                                <w:sz w:val="18"/>
                              </w:rPr>
                              <w:t xml:space="preserve"> </w:t>
                            </w:r>
                            <w:hyperlink r:id="rId43" w:history="1">
                              <w:r>
                                <w:rPr>
                                  <w:rStyle w:val="Hyperlink"/>
                                  <w:sz w:val="18"/>
                                </w:rPr>
                                <w:t>„Assessment of RDP Results:</w:t>
                              </w:r>
                            </w:hyperlink>
                            <w:r>
                              <w:rPr>
                                <w:rStyle w:val="Hyperlink"/>
                                <w:sz w:val="18"/>
                              </w:rPr>
                              <w:t xml:space="preserve"> </w:t>
                            </w:r>
                            <w:hyperlink r:id="rId44" w:history="1">
                              <w:r>
                                <w:rPr>
                                  <w:rStyle w:val="Hyperlink"/>
                                  <w:sz w:val="18"/>
                                </w:rPr>
                                <w:t>How to Prepare for Reporting on Evaluation in 2017” (Bewertung der Ergebnisse der Programme zur Entwicklung des ländlichen Raums: Vorbereitung der Berichterstattung über die Bewertung 2017)</w:t>
                              </w:r>
                            </w:hyperlink>
                            <w:r>
                              <w:rPr>
                                <w:sz w:val="18"/>
                              </w:rPr>
                              <w:t>, Anhang 11;</w:t>
                            </w:r>
                            <w:r>
                              <w:rPr>
                                <w:color w:val="000000"/>
                                <w:sz w:val="18"/>
                              </w:rPr>
                              <w:t xml:space="preserve"> </w:t>
                            </w:r>
                          </w:p>
                          <w:p w:rsidR="00533F8C" w:rsidRPr="00730192" w:rsidRDefault="00533F8C" w:rsidP="00E05D08">
                            <w:pPr>
                              <w:pStyle w:val="HStandard"/>
                              <w:rPr>
                                <w:sz w:val="18"/>
                              </w:rPr>
                            </w:pPr>
                            <w:r>
                              <w:rPr>
                                <w:sz w:val="18"/>
                              </w:rPr>
                              <w:t>Leitlinien „</w:t>
                            </w:r>
                            <w:hyperlink r:id="rId45" w:history="1">
                              <w:r>
                                <w:rPr>
                                  <w:rStyle w:val="Hyperlink"/>
                                  <w:sz w:val="18"/>
                                </w:rPr>
                                <w:t>‚Co-operation‘ measure</w:t>
                              </w:r>
                            </w:hyperlink>
                            <w:r>
                              <w:rPr>
                                <w:sz w:val="18"/>
                              </w:rPr>
                              <w:t xml:space="preserve"> – Article 35 of Regulation (EU) No 1305/2013“ (Die Maßnahme „Zusammenarbeit“ – Artikel 35 der Verordnung (EU) Nr. 1305/2013), November 2014.</w:t>
                            </w:r>
                          </w:p>
                          <w:p w:rsidR="00533F8C" w:rsidRPr="009D62F4" w:rsidRDefault="00533F8C" w:rsidP="00E05D08">
                            <w:pPr>
                              <w:pStyle w:val="HStandard"/>
                              <w:rPr>
                                <w:sz w:val="18"/>
                                <w:szCs w:val="18"/>
                              </w:rPr>
                            </w:pPr>
                            <w:r>
                              <w:rPr>
                                <w:sz w:val="18"/>
                              </w:rPr>
                              <w:t xml:space="preserve">Dokumente der ENRD-Arbeitstagung zur Maßnahme 16 „Kooperation“, Juni 2016, Brüssel: </w:t>
                            </w:r>
                            <w:hyperlink r:id="rId46" w:history="1">
                              <w:r>
                                <w:rPr>
                                  <w:rStyle w:val="Hyperlink"/>
                                  <w:sz w:val="18"/>
                                </w:rPr>
                                <w:t>http://enrd.ec.europa.eu/news-events/events/enrd-workshop-measure-16-cooperation_de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81784D" id="Rectangle: Diagonal Corners Rounded 5" o:spid="_x0000_s1045" style="width:443.6pt;height:180.75pt;visibility:visible;mso-wrap-style:square;mso-left-percent:-10001;mso-top-percent:-10001;mso-position-horizontal:absolute;mso-position-horizontal-relative:char;mso-position-vertical:absolute;mso-position-vertical-relative:line;mso-left-percent:-10001;mso-top-percent:-10001;v-text-anchor:middle" coordsize="5633634,2295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" adj="-11796480,,5400" path="m265271,l5633634,r,l5633634,2030254v,146505,-118766,265271,-265271,265271l,2295525r,l,265271c,118766,118766,,265271,xe" filled="f" strokecolor="#59638e" strokeweight="2pt">
                <v:stroke joinstyle="miter"/>
                <v:formulas/>
                <v:path arrowok="t" o:connecttype="custom" o:connectlocs="265271,0;5633634,0;5633634,0;5633634,2030254;5368363,2295525;0,2295525;0,2295525;0,265271;265271,0" o:connectangles="0,0,0,0,0,0,0,0,0" textboxrect="0,0,5633634,2295525"/>
                <v:textbox>
                  <w:txbxContent>
                    <w:p w:rsidR="00533F8C" w:rsidRDefault="00533F8C" w:rsidP="00E05D08">
                      <w:pPr>
                        <w:pStyle w:val="HStandard"/>
                        <w:rPr>
                          <w:color w:val="000000"/>
                          <w:sz w:val="18"/>
                        </w:rPr>
                      </w:pPr>
                      <w:r>
                        <w:rPr>
                          <w:noProof/>
                          <w:lang w:val="en-GB" w:eastAsia="en-GB"/>
                        </w:rPr>
                        <w:drawing>
                          <wp:inline distT="0" distB="0" distL="0" distR="0" wp14:anchorId="4E63CB17" wp14:editId="657317EE">
                            <wp:extent cx="360465" cy="360000"/>
                            <wp:effectExtent l="0" t="0" r="1905" b="2540"/>
                            <wp:docPr id="74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33F8C" w:rsidRPr="00EB3015" w:rsidRDefault="00533F8C" w:rsidP="00E05D08">
                      <w:pPr>
                        <w:pStyle w:val="HStandard"/>
                        <w:rPr>
                          <w:color w:val="000000"/>
                          <w:sz w:val="18"/>
                        </w:rPr>
                      </w:pPr>
                      <w:r>
                        <w:rPr>
                          <w:sz w:val="18"/>
                        </w:rPr>
                        <w:t>Leitlinien</w:t>
                      </w:r>
                      <w:r>
                        <w:rPr>
                          <w:color w:val="000000"/>
                          <w:sz w:val="18"/>
                        </w:rPr>
                        <w:t xml:space="preserve"> </w:t>
                      </w:r>
                      <w:hyperlink r:id="rId47" w:history="1">
                        <w:r>
                          <w:rPr>
                            <w:rStyle w:val="Hyperlink"/>
                            <w:sz w:val="18"/>
                          </w:rPr>
                          <w:t>„Assessment of RDP Results:</w:t>
                        </w:r>
                      </w:hyperlink>
                      <w:r>
                        <w:rPr>
                          <w:rStyle w:val="Hyperlink"/>
                          <w:sz w:val="18"/>
                        </w:rPr>
                        <w:t xml:space="preserve"> </w:t>
                      </w:r>
                      <w:hyperlink r:id="rId48" w:history="1">
                        <w:r>
                          <w:rPr>
                            <w:rStyle w:val="Hyperlink"/>
                            <w:sz w:val="18"/>
                          </w:rPr>
                          <w:t>How to Prepare for Reporting on Evaluation in 2017” (Bewertung der Ergebnisse der Programme zur Entwicklung des ländlichen Raums: Vorbereitung der Berichterstattung über die Bewertung 2017)</w:t>
                        </w:r>
                      </w:hyperlink>
                      <w:r>
                        <w:rPr>
                          <w:sz w:val="18"/>
                        </w:rPr>
                        <w:t>, Anhang 11;</w:t>
                      </w:r>
                      <w:r>
                        <w:rPr>
                          <w:color w:val="000000"/>
                          <w:sz w:val="18"/>
                        </w:rPr>
                        <w:t xml:space="preserve"> </w:t>
                      </w:r>
                    </w:p>
                    <w:p w:rsidR="00533F8C" w:rsidRPr="00730192" w:rsidRDefault="00533F8C" w:rsidP="00E05D08">
                      <w:pPr>
                        <w:pStyle w:val="HStandard"/>
                        <w:rPr>
                          <w:sz w:val="18"/>
                        </w:rPr>
                      </w:pPr>
                      <w:r>
                        <w:rPr>
                          <w:sz w:val="18"/>
                        </w:rPr>
                        <w:t>Leitlinien „</w:t>
                      </w:r>
                      <w:hyperlink r:id="rId49" w:history="1">
                        <w:r>
                          <w:rPr>
                            <w:rStyle w:val="Hyperlink"/>
                            <w:sz w:val="18"/>
                          </w:rPr>
                          <w:t>‚Co-operation‘ measure</w:t>
                        </w:r>
                      </w:hyperlink>
                      <w:r>
                        <w:rPr>
                          <w:sz w:val="18"/>
                        </w:rPr>
                        <w:t xml:space="preserve"> – Article 35 of Regulation (EU) No 1305/2013“ (Die Maßnahme „Zusammenarbeit“ – Artikel 35 der Verordnung (EU) Nr. 1305/2013), November 2014.</w:t>
                      </w:r>
                    </w:p>
                    <w:p w:rsidR="00533F8C" w:rsidRPr="009D62F4" w:rsidRDefault="00533F8C" w:rsidP="00E05D08">
                      <w:pPr>
                        <w:pStyle w:val="HStandard"/>
                        <w:rPr>
                          <w:sz w:val="18"/>
                          <w:szCs w:val="18"/>
                        </w:rPr>
                      </w:pPr>
                      <w:r>
                        <w:rPr>
                          <w:sz w:val="18"/>
                        </w:rPr>
                        <w:t xml:space="preserve">Dokumente der ENRD-Arbeitstagung zur Maßnahme 16 „Kooperation“, Juni 2016, Brüssel: </w:t>
                      </w:r>
                      <w:hyperlink r:id="rId50" w:history="1">
                        <w:r>
                          <w:rPr>
                            <w:rStyle w:val="Hyperlink"/>
                            <w:sz w:val="18"/>
                          </w:rPr>
                          <w:t>http://enrd.ec.europa.eu/news-events/events/enrd-workshop-measure-16-cooperation_de</w:t>
                        </w:r>
                      </w:hyperlink>
                    </w:p>
                  </w:txbxContent>
                </v:textbox>
                <w10:anchorlock/>
              </v:shape>
            </w:pict>
          </mc:Fallback>
        </mc:AlternateContent>
      </w:r>
    </w:p>
    <w:p w:rsidR="00A45935" w:rsidRPr="00BB551B" w:rsidRDefault="00A45935" w:rsidP="009B603C">
      <w:pPr>
        <w:pStyle w:val="HHeading3"/>
        <w:numPr>
          <w:ilvl w:val="2"/>
          <w:numId w:val="119"/>
        </w:numPr>
        <w:tabs>
          <w:tab w:val="clear" w:pos="567"/>
        </w:tabs>
        <w:spacing w:line="280" w:lineRule="exact"/>
        <w:ind w:left="567" w:hanging="567"/>
      </w:pPr>
      <w:bookmarkStart w:id="112" w:name="_Toc501382132"/>
      <w:bookmarkStart w:id="113" w:name="_Toc508377842"/>
      <w:r>
        <w:t>CEQ Nr. 2 „In welchem Umfang wurden durch die Interventionen im Rahmen des Programms zur Entwicklung des ländlichen Raums die Verbindungen zwischen Landwirtschaft, Nahrungsmittelerzeugung und Forstwirtschaft sowie Forschung und Innovation, unter anderem mit Blick auf ein besseres Umweltmanagement und eine bessere Umweltleistung, gestärkt?“</w:t>
      </w:r>
      <w:bookmarkEnd w:id="112"/>
      <w:bookmarkEnd w:id="113"/>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Wie ist die CEQ zu verstehen?</w:t>
      </w:r>
    </w:p>
    <w:p w:rsidR="00A45935" w:rsidRPr="00E05D08" w:rsidRDefault="00A45935" w:rsidP="00E05D08">
      <w:pPr>
        <w:spacing w:after="120" w:line="280" w:lineRule="atLeast"/>
        <w:mirrorIndents/>
        <w:rPr>
          <w:rFonts w:eastAsia="Times New Roman" w:cs="Times New Roman"/>
          <w:szCs w:val="20"/>
        </w:rPr>
      </w:pPr>
      <w:r>
        <w:t>Die CEQ Nr. 2 ist vorrangig mit M16 und ihren zehn Teilmaßnahmen aus Artikel 35, Zusammenarbeit, verbunden.</w:t>
      </w:r>
      <w:r w:rsidRPr="00EF1B0F">
        <w:rPr>
          <w:rFonts w:eastAsia="Times New Roman" w:cs="Arial"/>
          <w:szCs w:val="20"/>
          <w:vertAlign w:val="superscript"/>
          <w:lang w:eastAsia="de-DE"/>
        </w:rPr>
        <w:footnoteReference w:id="52"/>
      </w:r>
      <w:r>
        <w:t xml:space="preserve"> Die </w:t>
      </w:r>
      <w:r>
        <w:rPr>
          <w:b/>
          <w:szCs w:val="20"/>
        </w:rPr>
        <w:t>Verbindungen zwischen Landwirtschaft, Nahrungsmittelerzeugung, Forstwirtschaft sowie Forschung und Innovation</w:t>
      </w:r>
      <w:r>
        <w:t xml:space="preserve"> können auf dreierlei Weise gefördert werden:</w:t>
      </w:r>
      <w:r w:rsidRPr="00E05D08">
        <w:rPr>
          <w:rFonts w:eastAsia="Times New Roman" w:cs="Times New Roman"/>
          <w:szCs w:val="20"/>
          <w:vertAlign w:val="superscript"/>
          <w:lang w:eastAsia="de-DE"/>
        </w:rPr>
        <w:footnoteReference w:id="53"/>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durch die Zusammenarbeit zwischen einer Vielfalt an Akteuren im Agrar- und Forstsektor, in der Nahrungsmittelkette und anderen Bereichen, die dazu beitragen, die Ziele der Politik zur Entwicklung des ländlichen Raums zu verwirklichen, einschließlich Erzeugergemeinschaften, Genossenschaften und Branchenverbänden;</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durch die Einrichtung von Clustern und Netzwerken, die spezifischere, aber wichtige Formen der Zusammenarbeit darstellen;</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durch die Einrichtung operationeller Gruppen der EIP-AGRI, einer neuen Komponente der Politik zur Entwicklung des ländlichen Raums, mit der Forschung und Praxis angenähert werden sollen.</w:t>
      </w:r>
    </w:p>
    <w:p w:rsidR="00A45935" w:rsidRPr="00E05D08" w:rsidRDefault="00A45935" w:rsidP="00E05D08">
      <w:pPr>
        <w:spacing w:after="120" w:line="280" w:lineRule="atLeast"/>
        <w:mirrorIndents/>
        <w:rPr>
          <w:rFonts w:eastAsia="Times New Roman" w:cs="Times New Roman"/>
          <w:szCs w:val="20"/>
        </w:rPr>
      </w:pPr>
      <w:r>
        <w:t xml:space="preserve">Die Unterstützung für diese Formen der Zusammenarbeit durch die Politik zur Entwicklung des ländlichen Raums hat sich im Laufe der Zeit verändert. Im vorangegangenen Programmplanungszeitraum wurden sehr spezielle Formen der Zusammenarbeit (Lebensmittelqualitätsregelungen und Erzeugergemeinschaften) und die Zusammenarbeit auf lokaler Ebene (im Rahmen von LEADER) unterstützt. Die derzeitige Politik fördert Verbindungen zwischen einer größeren Bandbreite an Akteuren und ermöglicht im Hinblick auf den Umfang und die Zusammensetzung der Kooperationstätigkeiten mehr Flexibilität. Indem eine Verbindung zwischen Landwirtschaft, Forstwirtschaft und der Nahrungsmittelkette auf der einen und Akteuren aus Forschung und Innovation auf der anderen Seite geschaffen wird, legt die Politik zur Entwicklung des ländlichen </w:t>
      </w:r>
      <w:r>
        <w:lastRenderedPageBreak/>
        <w:t>Raums besonderes Gewicht auf Innovation als eine Möglichkeit, die Ziele der Programme zur Entwicklung des ländlichen Raums zu verwirklichen. Beispiel:</w:t>
      </w:r>
    </w:p>
    <w:p w:rsidR="00A45935" w:rsidRPr="00D35751" w:rsidRDefault="00A45935" w:rsidP="00AB16BB">
      <w:pPr>
        <w:pStyle w:val="Hlistbullet"/>
      </w:pPr>
      <w:r>
        <w:t>Die Verknüpfung von Forschung und Praxis bietet die Chance, Innovationen zu erkennen, mit denen die Programmumsetzung verbessert und so zu den Zielen der Programme zur Entwicklung des ländlichen Raums beigetragen werden kann.</w:t>
      </w:r>
    </w:p>
    <w:p w:rsidR="00EF1B0F" w:rsidRPr="00EF1B0F" w:rsidRDefault="00A45935" w:rsidP="00734B11">
      <w:pPr>
        <w:pStyle w:val="Hlistbullet"/>
      </w:pPr>
      <w:r>
        <w:t xml:space="preserve">Mit dem Schwerpunkt auf der Unterstützung von Kooperationsprojekten durch Berater und Dienste zur Innovationsförderung (einschließlich der Unterstützung durch NRN) kann dazu beigetragen werden, die Innovationsfähigkeit, die Wettbewerbsfähigkeit und/oder die Umwelt zu verbessern. </w:t>
      </w:r>
    </w:p>
    <w:p w:rsidR="00EF1B0F" w:rsidRDefault="00A45935" w:rsidP="00734B11">
      <w:pPr>
        <w:pStyle w:val="Hlistbullet"/>
      </w:pPr>
      <w:r>
        <w:t xml:space="preserve">Die </w:t>
      </w:r>
      <w:r>
        <w:rPr>
          <w:b/>
        </w:rPr>
        <w:t>Zusammenarbeit zum Zweck eines besseren Umweltmanagements und einer besseren Umweltleistung</w:t>
      </w:r>
      <w:r>
        <w:t xml:space="preserve"> ist ein weiterer Schwerpunkt der CEQ Nr. 2. Der Anwendungsbereich der Kooperationsprojekte umfasst den Schutz und die Verbesserung von Ressourcen (Wasser, Boden, Luft), der biologischen Vielfalt und natürlichen Umgebung sowie die Eindämmung des Klimawandels und Anpassung an seine Auswirkungen. Das Umweltmanagement zu Klimaschutzzwecken kann Maßnahmen in Zusammenhang mit Wasser- und Energieeffizienz sowie entsprechenden Einsparungen einschließen.</w:t>
      </w:r>
    </w:p>
    <w:p w:rsidR="00A45935" w:rsidRPr="00A66638" w:rsidRDefault="00A66638" w:rsidP="00EF1B0F">
      <w:pPr>
        <w:pStyle w:val="Hlistbullet"/>
        <w:numPr>
          <w:ilvl w:val="0"/>
          <w:numId w:val="0"/>
        </w:numPr>
        <w:rPr>
          <w:color w:val="FFFFFF" w:themeColor="background1"/>
        </w:rPr>
      </w:pPr>
      <w:r w:rsidRPr="00A66638">
        <w:rPr>
          <w:noProof/>
          <w:color w:val="auto"/>
          <w:sz w:val="18"/>
          <w:lang w:val="en-GB" w:eastAsia="en-GB"/>
        </w:rPr>
        <w:lastRenderedPageBreak/>
        <mc:AlternateContent>
          <mc:Choice Requires="wps">
            <w:drawing>
              <wp:anchor distT="0" distB="0" distL="114300" distR="114300" simplePos="0" relativeHeight="251723776" behindDoc="0" locked="0" layoutInCell="1" allowOverlap="1" wp14:anchorId="54426515" wp14:editId="122CA861">
                <wp:simplePos x="0" y="0"/>
                <wp:positionH relativeFrom="column">
                  <wp:posOffset>95250</wp:posOffset>
                </wp:positionH>
                <wp:positionV relativeFrom="page">
                  <wp:posOffset>762000</wp:posOffset>
                </wp:positionV>
                <wp:extent cx="5763260" cy="7400925"/>
                <wp:effectExtent l="0" t="0" r="27940" b="28575"/>
                <wp:wrapSquare wrapText="bothSides"/>
                <wp:docPr id="24" name="Rectangle: Diagonal Corners Rounded 24"/>
                <wp:cNvGraphicFramePr/>
                <a:graphic xmlns:a="http://schemas.openxmlformats.org/drawingml/2006/main">
                  <a:graphicData uri="http://schemas.microsoft.com/office/word/2010/wordprocessingShape">
                    <wps:wsp>
                      <wps:cNvSpPr/>
                      <wps:spPr>
                        <a:xfrm>
                          <a:off x="0" y="0"/>
                          <a:ext cx="5763260" cy="7400925"/>
                        </a:xfrm>
                        <a:prstGeom prst="round2DiagRect">
                          <a:avLst>
                            <a:gd name="adj1" fmla="val 5422"/>
                            <a:gd name="adj2" fmla="val 0"/>
                          </a:avLst>
                        </a:prstGeom>
                        <a:noFill/>
                        <a:ln w="25400" cap="flat" cmpd="sng" algn="ctr">
                          <a:solidFill>
                            <a:srgbClr val="F07E31"/>
                          </a:solidFill>
                          <a:prstDash val="solid"/>
                        </a:ln>
                        <a:effectLst/>
                      </wps:spPr>
                      <wps:txbx>
                        <w:txbxContent>
                          <w:p w:rsidR="00533F8C" w:rsidRPr="007B4A6D" w:rsidRDefault="00533F8C" w:rsidP="00E05D08">
                            <w:pPr>
                              <w:pStyle w:val="HStandard"/>
                              <w:ind w:left="567" w:hanging="567"/>
                              <w:rPr>
                                <w:b/>
                                <w:color w:val="648659"/>
                                <w:sz w:val="18"/>
                                <w:szCs w:val="18"/>
                              </w:rPr>
                            </w:pPr>
                            <w:r w:rsidRPr="00AB16BB">
                              <w:rPr>
                                <w:noProof/>
                                <w:sz w:val="18"/>
                                <w:szCs w:val="18"/>
                                <w:lang w:val="en-GB" w:eastAsia="en-GB"/>
                              </w:rPr>
                              <w:drawing>
                                <wp:inline distT="0" distB="0" distL="0" distR="0" wp14:anchorId="5300392F" wp14:editId="4A9EAAFF">
                                  <wp:extent cx="353060" cy="359410"/>
                                  <wp:effectExtent l="0" t="0" r="8890" b="2540"/>
                                  <wp:docPr id="1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Beispiel: Maßnahmen für die Zusammenarbeit zum Zweck eines besseren Umweltmanagements</w:t>
                            </w:r>
                          </w:p>
                          <w:p w:rsidR="00533F8C" w:rsidRPr="007B4A6D" w:rsidRDefault="00533F8C" w:rsidP="00E05D08">
                            <w:pPr>
                              <w:pStyle w:val="HStandard"/>
                              <w:rPr>
                                <w:sz w:val="18"/>
                                <w:szCs w:val="18"/>
                              </w:rPr>
                            </w:pPr>
                            <w:r>
                              <w:rPr>
                                <w:b/>
                                <w:sz w:val="18"/>
                                <w:szCs w:val="18"/>
                              </w:rPr>
                              <w:t>Finnland</w:t>
                            </w:r>
                            <w:r>
                              <w:rPr>
                                <w:sz w:val="18"/>
                                <w:szCs w:val="18"/>
                              </w:rPr>
                              <w:t xml:space="preserve"> – M16 ergänzt andere Maßnahmen des Programms zur Entwicklung des ländlichen Raums, mit denen die Ziele der Prioritäten P4 und P5 verwirklicht werden sollen:</w:t>
                            </w:r>
                          </w:p>
                          <w:p w:rsidR="00533F8C" w:rsidRPr="00055039" w:rsidRDefault="00533F8C" w:rsidP="008C0B17">
                            <w:pPr>
                              <w:pStyle w:val="HStandard"/>
                              <w:numPr>
                                <w:ilvl w:val="0"/>
                                <w:numId w:val="24"/>
                              </w:numPr>
                              <w:ind w:left="567" w:hanging="567"/>
                              <w:rPr>
                                <w:sz w:val="18"/>
                                <w:szCs w:val="18"/>
                              </w:rPr>
                            </w:pPr>
                            <w:r>
                              <w:rPr>
                                <w:sz w:val="18"/>
                                <w:szCs w:val="18"/>
                              </w:rPr>
                              <w:t>58 % von M16 sowie Teile von M1 und M2 werden zur Förderung der Energieeffizienz verwendet;</w:t>
                            </w:r>
                          </w:p>
                          <w:p w:rsidR="00533F8C" w:rsidRPr="00D66182" w:rsidRDefault="00533F8C" w:rsidP="008C0B17">
                            <w:pPr>
                              <w:pStyle w:val="HStandard"/>
                              <w:numPr>
                                <w:ilvl w:val="0"/>
                                <w:numId w:val="24"/>
                              </w:numPr>
                              <w:ind w:left="567" w:hanging="567"/>
                              <w:rPr>
                                <w:sz w:val="18"/>
                                <w:szCs w:val="18"/>
                              </w:rPr>
                            </w:pPr>
                            <w:r>
                              <w:rPr>
                                <w:sz w:val="18"/>
                                <w:szCs w:val="18"/>
                              </w:rPr>
                              <w:t>49 % von M16 sowie Teile von M1 und M2 werden für die Kohlenstoffbindung und -speicherung verwendet;</w:t>
                            </w:r>
                          </w:p>
                          <w:p w:rsidR="00533F8C" w:rsidRPr="000E1D4B" w:rsidRDefault="00533F8C" w:rsidP="008C0B17">
                            <w:pPr>
                              <w:pStyle w:val="HStandard"/>
                              <w:numPr>
                                <w:ilvl w:val="0"/>
                                <w:numId w:val="24"/>
                              </w:numPr>
                              <w:ind w:left="567" w:hanging="567"/>
                              <w:rPr>
                                <w:sz w:val="18"/>
                                <w:szCs w:val="18"/>
                              </w:rPr>
                            </w:pPr>
                            <w:r>
                              <w:rPr>
                                <w:sz w:val="18"/>
                                <w:szCs w:val="18"/>
                              </w:rPr>
                              <w:t>10 % von M16, 84 % von M4 sowie Teile von M1 und M2 werden für erneuerbaren Energiequellen und Abfallbewirtschaftung verwendet;</w:t>
                            </w:r>
                          </w:p>
                          <w:p w:rsidR="00533F8C" w:rsidRPr="000E1D4B" w:rsidRDefault="00533F8C" w:rsidP="008C0B17">
                            <w:pPr>
                              <w:pStyle w:val="HStandard"/>
                              <w:numPr>
                                <w:ilvl w:val="0"/>
                                <w:numId w:val="24"/>
                              </w:numPr>
                              <w:ind w:left="567" w:hanging="567"/>
                              <w:rPr>
                                <w:sz w:val="18"/>
                                <w:szCs w:val="18"/>
                              </w:rPr>
                            </w:pPr>
                            <w:r>
                              <w:rPr>
                                <w:sz w:val="18"/>
                                <w:szCs w:val="18"/>
                              </w:rPr>
                              <w:t>5,5 % von M16, 89 % von M4 sowie Teile von M1 und M2 werden für die Senkung von Treibhausgas- und Ammoniakemissionen verwendet.</w:t>
                            </w:r>
                          </w:p>
                          <w:p w:rsidR="00533F8C" w:rsidRPr="000E1D4B" w:rsidRDefault="00533F8C" w:rsidP="00E05D08">
                            <w:pPr>
                              <w:pStyle w:val="HStandard"/>
                              <w:rPr>
                                <w:sz w:val="18"/>
                                <w:szCs w:val="18"/>
                              </w:rPr>
                            </w:pPr>
                            <w:r>
                              <w:rPr>
                                <w:sz w:val="18"/>
                                <w:szCs w:val="18"/>
                              </w:rPr>
                              <w:t>Teilmaßnahmen für Zusammenarbeit (z. B. Förderung von Pilotprojekten – M16.2, Förderung für gemeinsames Handeln im Hinblick auf die Eindämmung des Klimawandels oder die Anpassung an dessen Auswirkungen und für gemeinsame Konzepte für Umweltprojekte und die gegenwärtig angewendeten ökologischen Verfahren – M16.5) wirken sich vorrangig auf die Schwerpunktbereiche 4A-C und 5A-E aus.</w:t>
                            </w:r>
                          </w:p>
                          <w:p w:rsidR="00533F8C" w:rsidRPr="00AB16BB" w:rsidRDefault="00533F8C" w:rsidP="00AB16BB">
                            <w:pPr>
                              <w:pStyle w:val="HSource"/>
                              <w:ind w:right="8"/>
                              <w:jc w:val="right"/>
                              <w:rPr>
                                <w:rFonts w:eastAsia="Calibri"/>
                                <w:sz w:val="14"/>
                                <w:szCs w:val="14"/>
                              </w:rPr>
                            </w:pPr>
                            <w:r>
                              <w:rPr>
                                <w:sz w:val="14"/>
                                <w:szCs w:val="14"/>
                              </w:rPr>
                              <w:t>Quelle: ENRD (2016). Arbeitstagung zu Maßnahme 16 „Kooperation“.</w:t>
                            </w:r>
                            <w:r>
                              <w:rPr>
                                <w:sz w:val="14"/>
                                <w:szCs w:val="14"/>
                                <w:vertAlign w:val="superscript"/>
                              </w:rPr>
                              <w:t>54</w:t>
                            </w:r>
                          </w:p>
                          <w:p w:rsidR="00533F8C" w:rsidRPr="007B4A6D" w:rsidRDefault="00533F8C" w:rsidP="00235D46">
                            <w:pPr>
                              <w:pStyle w:val="HStandard"/>
                              <w:spacing w:after="0"/>
                              <w:ind w:left="567" w:hanging="567"/>
                              <w:rPr>
                                <w:b/>
                                <w:sz w:val="18"/>
                                <w:szCs w:val="18"/>
                              </w:rPr>
                            </w:pPr>
                            <w:r>
                              <w:rPr>
                                <w:b/>
                                <w:color w:val="F07E31"/>
                                <w:sz w:val="18"/>
                                <w:szCs w:val="18"/>
                              </w:rPr>
                              <w:t>Beispiel:</w:t>
                            </w:r>
                            <w:r>
                              <w:rPr>
                                <w:color w:val="F07E31"/>
                                <w:sz w:val="18"/>
                                <w:szCs w:val="18"/>
                              </w:rPr>
                              <w:t xml:space="preserve"> </w:t>
                            </w:r>
                            <w:r>
                              <w:rPr>
                                <w:b/>
                                <w:color w:val="F07E31"/>
                                <w:sz w:val="18"/>
                                <w:szCs w:val="18"/>
                              </w:rPr>
                              <w:t>Zusammenbringen von Forschern und Landwirten</w:t>
                            </w:r>
                            <w:r>
                              <w:rPr>
                                <w:color w:val="F07E31"/>
                                <w:sz w:val="18"/>
                                <w:szCs w:val="18"/>
                              </w:rPr>
                              <w:t xml:space="preserve"> </w:t>
                            </w:r>
                          </w:p>
                          <w:p w:rsidR="00533F8C" w:rsidRPr="00D66182" w:rsidRDefault="00533F8C" w:rsidP="00235D46">
                            <w:pPr>
                              <w:pStyle w:val="HStandard"/>
                              <w:rPr>
                                <w:sz w:val="18"/>
                                <w:szCs w:val="18"/>
                              </w:rPr>
                            </w:pPr>
                            <w:r>
                              <w:rPr>
                                <w:b/>
                                <w:sz w:val="18"/>
                                <w:szCs w:val="18"/>
                              </w:rPr>
                              <w:t>Belgien</w:t>
                            </w:r>
                            <w:r>
                              <w:rPr>
                                <w:sz w:val="18"/>
                                <w:szCs w:val="18"/>
                              </w:rPr>
                              <w:t xml:space="preserve"> – ein innovativer Schweinestall hilft, Ammoniakemissionen zu verringern. Dass Forscher und Landwirte durch Dienste zur Innovationsförderung zusammengebracht wurden, war grundlegend für die Entwicklung und Prüfung ammoniaksenkender Techniken, bei denen der Schweingülle spezielle Bakterien zugesetzt werden. Dadurch wird auch zur Verwirklichung der Umweltziele der Programme zur Entwicklung des ländlichen Raums beigetragen. </w:t>
                            </w:r>
                          </w:p>
                          <w:p w:rsidR="00533F8C" w:rsidRPr="00AB16BB" w:rsidRDefault="00533F8C" w:rsidP="00AB16BB">
                            <w:pPr>
                              <w:pStyle w:val="HStandard"/>
                              <w:jc w:val="right"/>
                              <w:rPr>
                                <w:sz w:val="14"/>
                                <w:szCs w:val="14"/>
                                <w:vertAlign w:val="superscript"/>
                              </w:rPr>
                            </w:pPr>
                            <w:r>
                              <w:rPr>
                                <w:i/>
                                <w:sz w:val="14"/>
                                <w:szCs w:val="14"/>
                              </w:rPr>
                              <w:t>Quelle: EIP-Dienststelle</w:t>
                            </w:r>
                            <w:r>
                              <w:rPr>
                                <w:i/>
                                <w:sz w:val="14"/>
                                <w:szCs w:val="14"/>
                                <w:vertAlign w:val="superscript"/>
                              </w:rPr>
                              <w:t>55</w:t>
                            </w:r>
                            <w:r>
                              <w:rPr>
                                <w:i/>
                                <w:sz w:val="14"/>
                                <w:szCs w:val="14"/>
                              </w:rPr>
                              <w:t>.</w:t>
                            </w:r>
                          </w:p>
                          <w:p w:rsidR="00533F8C" w:rsidRPr="007B4A6D" w:rsidRDefault="00533F8C" w:rsidP="00235D46">
                            <w:pPr>
                              <w:pStyle w:val="HStandard"/>
                              <w:rPr>
                                <w:b/>
                                <w:color w:val="F07E31"/>
                                <w:sz w:val="18"/>
                                <w:szCs w:val="18"/>
                              </w:rPr>
                            </w:pPr>
                            <w:r>
                              <w:rPr>
                                <w:b/>
                                <w:color w:val="F07E31"/>
                                <w:sz w:val="18"/>
                                <w:szCs w:val="18"/>
                              </w:rPr>
                              <w:t xml:space="preserve">Beispiel: Dienste zur Innovationsförderung </w:t>
                            </w:r>
                          </w:p>
                          <w:p w:rsidR="00533F8C" w:rsidRPr="007B4A6D" w:rsidRDefault="00533F8C" w:rsidP="00235D46">
                            <w:pPr>
                              <w:pStyle w:val="HStandard"/>
                              <w:spacing w:after="0"/>
                              <w:rPr>
                                <w:b/>
                                <w:sz w:val="18"/>
                                <w:szCs w:val="18"/>
                              </w:rPr>
                            </w:pPr>
                            <w:r>
                              <w:rPr>
                                <w:b/>
                                <w:sz w:val="18"/>
                                <w:szCs w:val="18"/>
                              </w:rPr>
                              <w:t>Hessen (DE)</w:t>
                            </w:r>
                            <w:r>
                              <w:rPr>
                                <w:sz w:val="18"/>
                                <w:szCs w:val="18"/>
                              </w:rPr>
                              <w:t xml:space="preserve"> – Dienste zur Innovationsförderung haben wie folgt zur Verbesserung der Innovationsfähigkeit beigetragen:</w:t>
                            </w:r>
                          </w:p>
                          <w:p w:rsidR="00533F8C" w:rsidRPr="00055039" w:rsidRDefault="00533F8C" w:rsidP="00235D46">
                            <w:pPr>
                              <w:pStyle w:val="HStandard"/>
                              <w:numPr>
                                <w:ilvl w:val="0"/>
                                <w:numId w:val="24"/>
                              </w:numPr>
                              <w:ind w:left="567" w:hanging="567"/>
                              <w:rPr>
                                <w:sz w:val="18"/>
                                <w:szCs w:val="18"/>
                              </w:rPr>
                            </w:pPr>
                            <w:r>
                              <w:rPr>
                                <w:sz w:val="18"/>
                                <w:szCs w:val="18"/>
                              </w:rPr>
                              <w:t>Unterstützung der Umsetzung von M16,</w:t>
                            </w:r>
                          </w:p>
                          <w:p w:rsidR="00533F8C" w:rsidRPr="00D66182" w:rsidRDefault="00533F8C" w:rsidP="00235D46">
                            <w:pPr>
                              <w:pStyle w:val="HStandard"/>
                              <w:numPr>
                                <w:ilvl w:val="0"/>
                                <w:numId w:val="24"/>
                              </w:numPr>
                              <w:ind w:left="567" w:hanging="567"/>
                              <w:rPr>
                                <w:sz w:val="18"/>
                                <w:szCs w:val="18"/>
                              </w:rPr>
                            </w:pPr>
                            <w:r>
                              <w:rPr>
                                <w:sz w:val="18"/>
                                <w:szCs w:val="18"/>
                              </w:rPr>
                              <w:t>Informationsbereitstellung und Öffentlichkeitsarbeit in der Region,</w:t>
                            </w:r>
                          </w:p>
                          <w:p w:rsidR="00533F8C" w:rsidRPr="000E1D4B" w:rsidRDefault="00533F8C" w:rsidP="00235D46">
                            <w:pPr>
                              <w:pStyle w:val="HStandard"/>
                              <w:numPr>
                                <w:ilvl w:val="0"/>
                                <w:numId w:val="24"/>
                              </w:numPr>
                              <w:ind w:left="567" w:hanging="567"/>
                              <w:rPr>
                                <w:sz w:val="18"/>
                                <w:szCs w:val="18"/>
                              </w:rPr>
                            </w:pPr>
                            <w:r>
                              <w:rPr>
                                <w:sz w:val="18"/>
                                <w:szCs w:val="18"/>
                              </w:rPr>
                              <w:t>Vernetzung zwischen Kooperationsmaßnahmen in Hessen und Deutschland,</w:t>
                            </w:r>
                          </w:p>
                          <w:p w:rsidR="00533F8C" w:rsidRPr="000E1D4B" w:rsidRDefault="00533F8C" w:rsidP="00235D46">
                            <w:pPr>
                              <w:pStyle w:val="HStandard"/>
                              <w:numPr>
                                <w:ilvl w:val="0"/>
                                <w:numId w:val="24"/>
                              </w:numPr>
                              <w:ind w:left="567" w:hanging="567"/>
                              <w:rPr>
                                <w:sz w:val="18"/>
                                <w:szCs w:val="18"/>
                              </w:rPr>
                            </w:pPr>
                            <w:r>
                              <w:rPr>
                                <w:sz w:val="18"/>
                                <w:szCs w:val="18"/>
                              </w:rPr>
                              <w:t>Förderung von Kooperationsmaßnahmen in den Phasen der Vorbereitung und Umsetzung.</w:t>
                            </w:r>
                          </w:p>
                          <w:p w:rsidR="00533F8C" w:rsidRPr="00AB16BB" w:rsidRDefault="00533F8C" w:rsidP="00AB16BB">
                            <w:pPr>
                              <w:pStyle w:val="HSource"/>
                              <w:spacing w:before="0" w:after="0"/>
                              <w:ind w:right="11"/>
                              <w:jc w:val="right"/>
                              <w:rPr>
                                <w:rFonts w:eastAsia="Calibri"/>
                                <w:sz w:val="14"/>
                                <w:szCs w:val="14"/>
                              </w:rPr>
                            </w:pPr>
                            <w:r>
                              <w:rPr>
                                <w:sz w:val="14"/>
                                <w:szCs w:val="14"/>
                              </w:rPr>
                              <w:t xml:space="preserve">Quelle: ENRD (2016). </w:t>
                            </w:r>
                          </w:p>
                          <w:p w:rsidR="00533F8C" w:rsidRPr="00AB16BB" w:rsidRDefault="00533F8C" w:rsidP="00AB16BB">
                            <w:pPr>
                              <w:pStyle w:val="HSource"/>
                              <w:spacing w:before="0" w:after="0"/>
                              <w:ind w:right="11"/>
                              <w:jc w:val="right"/>
                              <w:rPr>
                                <w:sz w:val="14"/>
                                <w:szCs w:val="14"/>
                              </w:rPr>
                            </w:pPr>
                            <w:r>
                              <w:rPr>
                                <w:sz w:val="14"/>
                                <w:szCs w:val="14"/>
                              </w:rPr>
                              <w:t>Arbeitstagung zu Maßnahme 16 „Kooperation“.</w:t>
                            </w:r>
                            <w:r>
                              <w:rPr>
                                <w:sz w:val="14"/>
                                <w:szCs w:val="14"/>
                                <w:vertAlign w:val="superscript"/>
                              </w:rPr>
                              <w:t>56</w:t>
                            </w:r>
                            <w:r>
                              <w:rPr>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26515" id="Rectangle: Diagonal Corners Rounded 24" o:spid="_x0000_s1046" style="position:absolute;left:0;text-align:left;margin-left:7.5pt;margin-top:60pt;width:453.8pt;height:582.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763260,7400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" adj="-11796480,,5400" path="m312484,l5763260,r,l5763260,7088441v,172580,-139904,312484,-312484,312484l,7400925r,l,312484c,139904,139904,,312484,xe" filled="f" strokecolor="#f07e31" strokeweight="2pt">
                <v:stroke joinstyle="miter"/>
                <v:formulas/>
                <v:path arrowok="t" o:connecttype="custom" o:connectlocs="312484,0;5763260,0;5763260,0;5763260,7088441;5450776,7400925;0,7400925;0,7400925;0,312484;312484,0" o:connectangles="0,0,0,0,0,0,0,0,0" textboxrect="0,0,5763260,7400925"/>
                <v:textbox>
                  <w:txbxContent>
                    <w:p w:rsidR="00533F8C" w:rsidRPr="007B4A6D" w:rsidRDefault="00533F8C" w:rsidP="00E05D08">
                      <w:pPr>
                        <w:pStyle w:val="HStandard"/>
                        <w:ind w:left="567" w:hanging="567"/>
                        <w:rPr>
                          <w:b/>
                          <w:color w:val="648659"/>
                          <w:sz w:val="18"/>
                          <w:szCs w:val="18"/>
                        </w:rPr>
                      </w:pPr>
                      <w:r w:rsidRPr="00AB16BB">
                        <w:rPr>
                          <w:noProof/>
                          <w:sz w:val="18"/>
                          <w:szCs w:val="18"/>
                          <w:lang w:val="en-GB" w:eastAsia="en-GB"/>
                        </w:rPr>
                        <w:drawing>
                          <wp:inline distT="0" distB="0" distL="0" distR="0" wp14:anchorId="5300392F" wp14:editId="4A9EAAFF">
                            <wp:extent cx="353060" cy="359410"/>
                            <wp:effectExtent l="0" t="0" r="8890" b="2540"/>
                            <wp:docPr id="1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Beispiel: Maßnahmen für die Zusammenarbeit zum Zweck eines besseren Umweltmanagements</w:t>
                      </w:r>
                    </w:p>
                    <w:p w:rsidR="00533F8C" w:rsidRPr="007B4A6D" w:rsidRDefault="00533F8C" w:rsidP="00E05D08">
                      <w:pPr>
                        <w:pStyle w:val="HStandard"/>
                        <w:rPr>
                          <w:sz w:val="18"/>
                          <w:szCs w:val="18"/>
                        </w:rPr>
                      </w:pPr>
                      <w:r>
                        <w:rPr>
                          <w:b/>
                          <w:sz w:val="18"/>
                          <w:szCs w:val="18"/>
                        </w:rPr>
                        <w:t>Finnland</w:t>
                      </w:r>
                      <w:r>
                        <w:rPr>
                          <w:sz w:val="18"/>
                          <w:szCs w:val="18"/>
                        </w:rPr>
                        <w:t xml:space="preserve"> – M16 ergänzt andere Maßnahmen des Programms zur Entwicklung des ländlichen Raums, mit denen die Ziele der Prioritäten P4 und P5 verwirklicht werden sollen:</w:t>
                      </w:r>
                    </w:p>
                    <w:p w:rsidR="00533F8C" w:rsidRPr="00055039" w:rsidRDefault="00533F8C" w:rsidP="008C0B17">
                      <w:pPr>
                        <w:pStyle w:val="HStandard"/>
                        <w:numPr>
                          <w:ilvl w:val="0"/>
                          <w:numId w:val="24"/>
                        </w:numPr>
                        <w:ind w:left="567" w:hanging="567"/>
                        <w:rPr>
                          <w:sz w:val="18"/>
                          <w:szCs w:val="18"/>
                        </w:rPr>
                      </w:pPr>
                      <w:r>
                        <w:rPr>
                          <w:sz w:val="18"/>
                          <w:szCs w:val="18"/>
                        </w:rPr>
                        <w:t>58 % von M16 sowie Teile von M1 und M2 werden zur Förderung der Energieeffizienz verwendet;</w:t>
                      </w:r>
                    </w:p>
                    <w:p w:rsidR="00533F8C" w:rsidRPr="00D66182" w:rsidRDefault="00533F8C" w:rsidP="008C0B17">
                      <w:pPr>
                        <w:pStyle w:val="HStandard"/>
                        <w:numPr>
                          <w:ilvl w:val="0"/>
                          <w:numId w:val="24"/>
                        </w:numPr>
                        <w:ind w:left="567" w:hanging="567"/>
                        <w:rPr>
                          <w:sz w:val="18"/>
                          <w:szCs w:val="18"/>
                        </w:rPr>
                      </w:pPr>
                      <w:r>
                        <w:rPr>
                          <w:sz w:val="18"/>
                          <w:szCs w:val="18"/>
                        </w:rPr>
                        <w:t>49 % von M16 sowie Teile von M1 und M2 werden für die Kohlenstoffbindung und -speicherung verwendet;</w:t>
                      </w:r>
                    </w:p>
                    <w:p w:rsidR="00533F8C" w:rsidRPr="000E1D4B" w:rsidRDefault="00533F8C" w:rsidP="008C0B17">
                      <w:pPr>
                        <w:pStyle w:val="HStandard"/>
                        <w:numPr>
                          <w:ilvl w:val="0"/>
                          <w:numId w:val="24"/>
                        </w:numPr>
                        <w:ind w:left="567" w:hanging="567"/>
                        <w:rPr>
                          <w:sz w:val="18"/>
                          <w:szCs w:val="18"/>
                        </w:rPr>
                      </w:pPr>
                      <w:r>
                        <w:rPr>
                          <w:sz w:val="18"/>
                          <w:szCs w:val="18"/>
                        </w:rPr>
                        <w:t>10 % von M16, 84 % von M4 sowie Teile von M1 und M2 werden für erneuerbaren Energiequellen und Abfallbewirtschaftung verwendet;</w:t>
                      </w:r>
                    </w:p>
                    <w:p w:rsidR="00533F8C" w:rsidRPr="000E1D4B" w:rsidRDefault="00533F8C" w:rsidP="008C0B17">
                      <w:pPr>
                        <w:pStyle w:val="HStandard"/>
                        <w:numPr>
                          <w:ilvl w:val="0"/>
                          <w:numId w:val="24"/>
                        </w:numPr>
                        <w:ind w:left="567" w:hanging="567"/>
                        <w:rPr>
                          <w:sz w:val="18"/>
                          <w:szCs w:val="18"/>
                        </w:rPr>
                      </w:pPr>
                      <w:r>
                        <w:rPr>
                          <w:sz w:val="18"/>
                          <w:szCs w:val="18"/>
                        </w:rPr>
                        <w:t>5,5 % von M16, 89 % von M4 sowie Teile von M1 und M2 werden für die Senkung von Treibhausgas- und Ammoniakemissionen verwendet.</w:t>
                      </w:r>
                    </w:p>
                    <w:p w:rsidR="00533F8C" w:rsidRPr="000E1D4B" w:rsidRDefault="00533F8C" w:rsidP="00E05D08">
                      <w:pPr>
                        <w:pStyle w:val="HStandard"/>
                        <w:rPr>
                          <w:sz w:val="18"/>
                          <w:szCs w:val="18"/>
                        </w:rPr>
                      </w:pPr>
                      <w:r>
                        <w:rPr>
                          <w:sz w:val="18"/>
                          <w:szCs w:val="18"/>
                        </w:rPr>
                        <w:t>Teilmaßnahmen für Zusammenarbeit (z. B. Förderung von Pilotprojekten – M16.2, Förderung für gemeinsames Handeln im Hinblick auf die Eindämmung des Klimawandels oder die Anpassung an dessen Auswirkungen und für gemeinsame Konzepte für Umweltprojekte und die gegenwärtig angewendeten ökologischen Verfahren – M16.5) wirken sich vorrangig auf die Schwerpunktbereiche 4A-C und 5A-E aus.</w:t>
                      </w:r>
                    </w:p>
                    <w:p w:rsidR="00533F8C" w:rsidRPr="00AB16BB" w:rsidRDefault="00533F8C" w:rsidP="00AB16BB">
                      <w:pPr>
                        <w:pStyle w:val="HSource"/>
                        <w:ind w:right="8"/>
                        <w:jc w:val="right"/>
                        <w:rPr>
                          <w:rFonts w:eastAsia="Calibri"/>
                          <w:sz w:val="14"/>
                          <w:szCs w:val="14"/>
                        </w:rPr>
                      </w:pPr>
                      <w:r>
                        <w:rPr>
                          <w:sz w:val="14"/>
                          <w:szCs w:val="14"/>
                        </w:rPr>
                        <w:t>Quelle: ENRD (2016). Arbeitstagung zu Maßnahme 16 „Kooperation“.</w:t>
                      </w:r>
                      <w:r>
                        <w:rPr>
                          <w:sz w:val="14"/>
                          <w:szCs w:val="14"/>
                          <w:vertAlign w:val="superscript"/>
                        </w:rPr>
                        <w:t>54</w:t>
                      </w:r>
                    </w:p>
                    <w:p w:rsidR="00533F8C" w:rsidRPr="007B4A6D" w:rsidRDefault="00533F8C" w:rsidP="00235D46">
                      <w:pPr>
                        <w:pStyle w:val="HStandard"/>
                        <w:spacing w:after="0"/>
                        <w:ind w:left="567" w:hanging="567"/>
                        <w:rPr>
                          <w:b/>
                          <w:sz w:val="18"/>
                          <w:szCs w:val="18"/>
                        </w:rPr>
                      </w:pPr>
                      <w:r>
                        <w:rPr>
                          <w:b/>
                          <w:color w:val="F07E31"/>
                          <w:sz w:val="18"/>
                          <w:szCs w:val="18"/>
                        </w:rPr>
                        <w:t>Beispiel:</w:t>
                      </w:r>
                      <w:r>
                        <w:rPr>
                          <w:color w:val="F07E31"/>
                          <w:sz w:val="18"/>
                          <w:szCs w:val="18"/>
                        </w:rPr>
                        <w:t xml:space="preserve"> </w:t>
                      </w:r>
                      <w:r>
                        <w:rPr>
                          <w:b/>
                          <w:color w:val="F07E31"/>
                          <w:sz w:val="18"/>
                          <w:szCs w:val="18"/>
                        </w:rPr>
                        <w:t>Zusammenbringen von Forschern und Landwirten</w:t>
                      </w:r>
                      <w:r>
                        <w:rPr>
                          <w:color w:val="F07E31"/>
                          <w:sz w:val="18"/>
                          <w:szCs w:val="18"/>
                        </w:rPr>
                        <w:t xml:space="preserve"> </w:t>
                      </w:r>
                    </w:p>
                    <w:p w:rsidR="00533F8C" w:rsidRPr="00D66182" w:rsidRDefault="00533F8C" w:rsidP="00235D46">
                      <w:pPr>
                        <w:pStyle w:val="HStandard"/>
                        <w:rPr>
                          <w:sz w:val="18"/>
                          <w:szCs w:val="18"/>
                        </w:rPr>
                      </w:pPr>
                      <w:r>
                        <w:rPr>
                          <w:b/>
                          <w:sz w:val="18"/>
                          <w:szCs w:val="18"/>
                        </w:rPr>
                        <w:t>Belgien</w:t>
                      </w:r>
                      <w:r>
                        <w:rPr>
                          <w:sz w:val="18"/>
                          <w:szCs w:val="18"/>
                        </w:rPr>
                        <w:t xml:space="preserve"> – ein innovativer Schweinestall hilft, Ammoniakemissionen zu verringern. Dass Forscher und Landwirte durch Dienste zur Innovationsförderung zusammengebracht wurden, war grundlegend für die Entwicklung und Prüfung ammoniaksenkender Techniken, bei denen der Schweingülle spezielle Bakterien zugesetzt werden. Dadurch wird auch zur Verwirklichung der Umweltziele der Programme zur Entwicklung des ländlichen Raums beigetragen. </w:t>
                      </w:r>
                    </w:p>
                    <w:p w:rsidR="00533F8C" w:rsidRPr="00AB16BB" w:rsidRDefault="00533F8C" w:rsidP="00AB16BB">
                      <w:pPr>
                        <w:pStyle w:val="HStandard"/>
                        <w:jc w:val="right"/>
                        <w:rPr>
                          <w:sz w:val="14"/>
                          <w:szCs w:val="14"/>
                          <w:vertAlign w:val="superscript"/>
                        </w:rPr>
                      </w:pPr>
                      <w:r>
                        <w:rPr>
                          <w:i/>
                          <w:sz w:val="14"/>
                          <w:szCs w:val="14"/>
                        </w:rPr>
                        <w:t>Quelle: EIP-Dienststelle</w:t>
                      </w:r>
                      <w:r>
                        <w:rPr>
                          <w:i/>
                          <w:sz w:val="14"/>
                          <w:szCs w:val="14"/>
                          <w:vertAlign w:val="superscript"/>
                        </w:rPr>
                        <w:t>55</w:t>
                      </w:r>
                      <w:r>
                        <w:rPr>
                          <w:i/>
                          <w:sz w:val="14"/>
                          <w:szCs w:val="14"/>
                        </w:rPr>
                        <w:t>.</w:t>
                      </w:r>
                    </w:p>
                    <w:p w:rsidR="00533F8C" w:rsidRPr="007B4A6D" w:rsidRDefault="00533F8C" w:rsidP="00235D46">
                      <w:pPr>
                        <w:pStyle w:val="HStandard"/>
                        <w:rPr>
                          <w:b/>
                          <w:color w:val="F07E31"/>
                          <w:sz w:val="18"/>
                          <w:szCs w:val="18"/>
                        </w:rPr>
                      </w:pPr>
                      <w:r>
                        <w:rPr>
                          <w:b/>
                          <w:color w:val="F07E31"/>
                          <w:sz w:val="18"/>
                          <w:szCs w:val="18"/>
                        </w:rPr>
                        <w:t xml:space="preserve">Beispiel: Dienste zur Innovationsförderung </w:t>
                      </w:r>
                    </w:p>
                    <w:p w:rsidR="00533F8C" w:rsidRPr="007B4A6D" w:rsidRDefault="00533F8C" w:rsidP="00235D46">
                      <w:pPr>
                        <w:pStyle w:val="HStandard"/>
                        <w:spacing w:after="0"/>
                        <w:rPr>
                          <w:b/>
                          <w:sz w:val="18"/>
                          <w:szCs w:val="18"/>
                        </w:rPr>
                      </w:pPr>
                      <w:r>
                        <w:rPr>
                          <w:b/>
                          <w:sz w:val="18"/>
                          <w:szCs w:val="18"/>
                        </w:rPr>
                        <w:t>Hessen (DE)</w:t>
                      </w:r>
                      <w:r>
                        <w:rPr>
                          <w:sz w:val="18"/>
                          <w:szCs w:val="18"/>
                        </w:rPr>
                        <w:t xml:space="preserve"> – Dienste zur Innovationsförderung haben wie folgt zur Verbesserung der Innovationsfähigkeit beigetragen:</w:t>
                      </w:r>
                    </w:p>
                    <w:p w:rsidR="00533F8C" w:rsidRPr="00055039" w:rsidRDefault="00533F8C" w:rsidP="00235D46">
                      <w:pPr>
                        <w:pStyle w:val="HStandard"/>
                        <w:numPr>
                          <w:ilvl w:val="0"/>
                          <w:numId w:val="24"/>
                        </w:numPr>
                        <w:ind w:left="567" w:hanging="567"/>
                        <w:rPr>
                          <w:sz w:val="18"/>
                          <w:szCs w:val="18"/>
                        </w:rPr>
                      </w:pPr>
                      <w:r>
                        <w:rPr>
                          <w:sz w:val="18"/>
                          <w:szCs w:val="18"/>
                        </w:rPr>
                        <w:t>Unterstützung der Umsetzung von M16,</w:t>
                      </w:r>
                    </w:p>
                    <w:p w:rsidR="00533F8C" w:rsidRPr="00D66182" w:rsidRDefault="00533F8C" w:rsidP="00235D46">
                      <w:pPr>
                        <w:pStyle w:val="HStandard"/>
                        <w:numPr>
                          <w:ilvl w:val="0"/>
                          <w:numId w:val="24"/>
                        </w:numPr>
                        <w:ind w:left="567" w:hanging="567"/>
                        <w:rPr>
                          <w:sz w:val="18"/>
                          <w:szCs w:val="18"/>
                        </w:rPr>
                      </w:pPr>
                      <w:r>
                        <w:rPr>
                          <w:sz w:val="18"/>
                          <w:szCs w:val="18"/>
                        </w:rPr>
                        <w:t>Informationsbereitstellung und Öffentlichkeitsarbeit in der Region,</w:t>
                      </w:r>
                    </w:p>
                    <w:p w:rsidR="00533F8C" w:rsidRPr="000E1D4B" w:rsidRDefault="00533F8C" w:rsidP="00235D46">
                      <w:pPr>
                        <w:pStyle w:val="HStandard"/>
                        <w:numPr>
                          <w:ilvl w:val="0"/>
                          <w:numId w:val="24"/>
                        </w:numPr>
                        <w:ind w:left="567" w:hanging="567"/>
                        <w:rPr>
                          <w:sz w:val="18"/>
                          <w:szCs w:val="18"/>
                        </w:rPr>
                      </w:pPr>
                      <w:r>
                        <w:rPr>
                          <w:sz w:val="18"/>
                          <w:szCs w:val="18"/>
                        </w:rPr>
                        <w:t>Vernetzung zwischen Kooperationsmaßnahmen in Hessen und Deutschland,</w:t>
                      </w:r>
                    </w:p>
                    <w:p w:rsidR="00533F8C" w:rsidRPr="000E1D4B" w:rsidRDefault="00533F8C" w:rsidP="00235D46">
                      <w:pPr>
                        <w:pStyle w:val="HStandard"/>
                        <w:numPr>
                          <w:ilvl w:val="0"/>
                          <w:numId w:val="24"/>
                        </w:numPr>
                        <w:ind w:left="567" w:hanging="567"/>
                        <w:rPr>
                          <w:sz w:val="18"/>
                          <w:szCs w:val="18"/>
                        </w:rPr>
                      </w:pPr>
                      <w:r>
                        <w:rPr>
                          <w:sz w:val="18"/>
                          <w:szCs w:val="18"/>
                        </w:rPr>
                        <w:t>Förderung von Kooperationsmaßnahmen in den Phasen der Vorbereitung und Umsetzung.</w:t>
                      </w:r>
                    </w:p>
                    <w:p w:rsidR="00533F8C" w:rsidRPr="00AB16BB" w:rsidRDefault="00533F8C" w:rsidP="00AB16BB">
                      <w:pPr>
                        <w:pStyle w:val="HSource"/>
                        <w:spacing w:before="0" w:after="0"/>
                        <w:ind w:right="11"/>
                        <w:jc w:val="right"/>
                        <w:rPr>
                          <w:rFonts w:eastAsia="Calibri"/>
                          <w:sz w:val="14"/>
                          <w:szCs w:val="14"/>
                        </w:rPr>
                      </w:pPr>
                      <w:r>
                        <w:rPr>
                          <w:sz w:val="14"/>
                          <w:szCs w:val="14"/>
                        </w:rPr>
                        <w:t xml:space="preserve">Quelle: ENRD (2016). </w:t>
                      </w:r>
                    </w:p>
                    <w:p w:rsidR="00533F8C" w:rsidRPr="00AB16BB" w:rsidRDefault="00533F8C" w:rsidP="00AB16BB">
                      <w:pPr>
                        <w:pStyle w:val="HSource"/>
                        <w:spacing w:before="0" w:after="0"/>
                        <w:ind w:right="11"/>
                        <w:jc w:val="right"/>
                        <w:rPr>
                          <w:sz w:val="14"/>
                          <w:szCs w:val="14"/>
                        </w:rPr>
                      </w:pPr>
                      <w:r>
                        <w:rPr>
                          <w:sz w:val="14"/>
                          <w:szCs w:val="14"/>
                        </w:rPr>
                        <w:t>Arbeitstagung zu Maßnahme 16 „Kooperation“.</w:t>
                      </w:r>
                      <w:r>
                        <w:rPr>
                          <w:sz w:val="14"/>
                          <w:szCs w:val="14"/>
                          <w:vertAlign w:val="superscript"/>
                        </w:rPr>
                        <w:t>56</w:t>
                      </w:r>
                      <w:r>
                        <w:rPr>
                          <w:sz w:val="14"/>
                          <w:szCs w:val="14"/>
                        </w:rPr>
                        <w:t xml:space="preserve"> </w:t>
                      </w:r>
                    </w:p>
                  </w:txbxContent>
                </v:textbox>
                <w10:wrap type="square" anchory="page"/>
              </v:shape>
            </w:pict>
          </mc:Fallback>
        </mc:AlternateContent>
      </w:r>
      <w:r w:rsidR="00A45935" w:rsidRPr="00A66638">
        <w:rPr>
          <w:rStyle w:val="FootnoteReference"/>
          <w:color w:val="FFFFFF" w:themeColor="background1"/>
        </w:rPr>
        <w:footnoteReference w:id="54"/>
      </w:r>
      <w:r>
        <w:rPr>
          <w:color w:val="FFFFFF" w:themeColor="background1"/>
        </w:rPr>
        <w:t xml:space="preserve"> </w:t>
      </w:r>
      <w:r w:rsidR="00A45935" w:rsidRPr="00A66638">
        <w:rPr>
          <w:rStyle w:val="FootnoteReference"/>
          <w:color w:val="FFFFFF" w:themeColor="background1"/>
        </w:rPr>
        <w:footnoteReference w:id="55"/>
      </w:r>
      <w:r w:rsidR="00A45935" w:rsidRPr="00A66638">
        <w:rPr>
          <w:rStyle w:val="FootnoteReference"/>
          <w:color w:val="FFFFFF" w:themeColor="background1"/>
        </w:rPr>
        <w:footnoteReference w:id="56"/>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shd w:val="clear" w:color="auto" w:fill="FFFFFF"/>
        </w:rPr>
        <w:lastRenderedPageBreak/>
        <w:t xml:space="preserve">Besondere Herausforderungen </w:t>
      </w:r>
    </w:p>
    <w:p w:rsidR="00A45935" w:rsidRPr="00183E9B" w:rsidRDefault="00A45935" w:rsidP="00AB16BB">
      <w:pPr>
        <w:pStyle w:val="Hlistbullet"/>
      </w:pPr>
      <w:r>
        <w:rPr>
          <w:b/>
          <w:shd w:val="clear" w:color="auto" w:fill="FFFFFF"/>
        </w:rPr>
        <w:t>Entwicklung zusätzlicher und programmspezifischer Bewertungselemente:</w:t>
      </w:r>
      <w:r>
        <w:rPr>
          <w:shd w:val="clear" w:color="auto" w:fill="FFFFFF"/>
        </w:rPr>
        <w:t xml:space="preserve"> </w:t>
      </w:r>
      <w:r>
        <w:rPr>
          <w:color w:val="545454"/>
          <w:shd w:val="clear" w:color="auto" w:fill="FFFFFF"/>
        </w:rPr>
        <w:t xml:space="preserve">CEQ Nr. 2 ist nur mit einem gemeinsamen Zielindikator verknüpft (T2: </w:t>
      </w:r>
      <w:r>
        <w:t xml:space="preserve">Gesamtzahl der Kooperationsvorhaben, die im Rahmen der Maßnahme „Zusammenarbeit“ unterstützt werden), </w:t>
      </w:r>
      <w:r>
        <w:rPr>
          <w:color w:val="545454"/>
          <w:shd w:val="clear" w:color="auto" w:fill="FFFFFF"/>
        </w:rPr>
        <w:t>was zur Beantwortung der CEQ unter Umständen nicht ausreicht.</w:t>
      </w:r>
    </w:p>
    <w:p w:rsidR="00A45935" w:rsidRPr="00183E9B" w:rsidRDefault="00A45935" w:rsidP="00AB16BB">
      <w:pPr>
        <w:pStyle w:val="Hlistbullet"/>
        <w:rPr>
          <w:rFonts w:eastAsia="Calibri"/>
          <w:shd w:val="clear" w:color="auto" w:fill="FFFFFF"/>
        </w:rPr>
      </w:pPr>
      <w:r>
        <w:rPr>
          <w:b/>
          <w:shd w:val="clear" w:color="auto" w:fill="FFFFFF"/>
        </w:rPr>
        <w:t>Zuschreibung beobachteter Veränderungen</w:t>
      </w:r>
      <w:r>
        <w:rPr>
          <w:shd w:val="clear" w:color="auto" w:fill="FFFFFF"/>
        </w:rPr>
        <w:t xml:space="preserve"> zu </w:t>
      </w:r>
      <w:r>
        <w:rPr>
          <w:b/>
          <w:shd w:val="clear" w:color="auto" w:fill="FFFFFF"/>
        </w:rPr>
        <w:t>Verbindungen</w:t>
      </w:r>
      <w:r>
        <w:rPr>
          <w:shd w:val="clear" w:color="auto" w:fill="FFFFFF"/>
        </w:rPr>
        <w:t xml:space="preserve"> zwischen Landwirtschaft, Forstwirtschaft und Forschung und Innovation. Dies betrifft Veränderungen in Verbindung mit Umweltmanagement und Umweltleistung, mit der Maßnahme M16 „Zusammenarbeit“ und ihrem Beitrag zur Verwirklichung der Ziele der Programme zur Entwicklung des ländlichen Raums. </w:t>
      </w:r>
    </w:p>
    <w:p w:rsidR="00A45935" w:rsidRPr="00183E9B" w:rsidRDefault="00A45935" w:rsidP="00AB16BB">
      <w:pPr>
        <w:pStyle w:val="Hlistbullet"/>
        <w:rPr>
          <w:rFonts w:eastAsia="Calibri"/>
          <w:shd w:val="clear" w:color="auto" w:fill="FFFFFF"/>
        </w:rPr>
      </w:pPr>
      <w:r>
        <w:rPr>
          <w:b/>
          <w:shd w:val="clear" w:color="auto" w:fill="FFFFFF"/>
        </w:rPr>
        <w:t>Erfassung der Beiträge der Maßnahmen, die unter andere Schwerpunktbereiche fallen als B1</w:t>
      </w:r>
      <w:r>
        <w:rPr>
          <w:shd w:val="clear" w:color="auto" w:fill="FFFFFF"/>
        </w:rPr>
        <w:t xml:space="preserve"> (einschließlich Teilmaßnahmen von M16) und mit denen die Verbindungen zwischen Landwirtschaft, Forstwirtschaft, Forschung und Innovation, insbesondere im Zusammenhang mit Umweltmanagement und Umweltleistung, gestärkt werden sollen.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Empfohlenes Vorgehen bei der Beantwortung der CEQ Nr. 2</w:t>
      </w: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 xml:space="preserve">Interventionslogik </w:t>
      </w:r>
    </w:p>
    <w:p w:rsidR="00A45935" w:rsidRPr="00E05D08" w:rsidRDefault="00A45935" w:rsidP="00E05D08">
      <w:pPr>
        <w:spacing w:after="120" w:line="280" w:lineRule="atLeast"/>
        <w:mirrorIndents/>
        <w:rPr>
          <w:rFonts w:eastAsia="Times New Roman" w:cs="Times New Roman"/>
          <w:szCs w:val="20"/>
        </w:rPr>
      </w:pPr>
      <w:r>
        <w:t xml:space="preserve">Im nachstehenden Beispiel setzt sich die Interventionslogik für die CEQ Nr. 2 aus Teilmaßnahmen von M16 zusammen, die in der Programmplanung für den Schwerpunktbereich 1B oder für andere Schwerpunktbereiche, die zu den Zielen von Schwerpunktbereich 1B beitragen, vorgesehen sind. </w:t>
      </w:r>
    </w:p>
    <w:p w:rsidR="00A45935" w:rsidRPr="00E05D08" w:rsidRDefault="00A45935" w:rsidP="00E05D08">
      <w:pPr>
        <w:spacing w:after="120" w:line="280" w:lineRule="atLeast"/>
        <w:mirrorIndents/>
        <w:rPr>
          <w:rFonts w:eastAsia="Times New Roman" w:cs="Times New Roman"/>
          <w:szCs w:val="20"/>
        </w:rPr>
      </w:pPr>
      <w:r>
        <w:t xml:space="preserve">Ein möglicher Ausgangspunkt für die Prüfung der Interventionslogik besteht darin, das Potenzial der Teilmaßnahmen von M16 zur Innovationsförderung über die drei beschriebenen Pfade zu untersuchen. </w:t>
      </w:r>
    </w:p>
    <w:p w:rsidR="00A45935" w:rsidRPr="00BC5B1D" w:rsidRDefault="00BE1F31" w:rsidP="00547012">
      <w:pPr>
        <w:pStyle w:val="HHeadingfigures"/>
      </w:pPr>
      <w:bookmarkStart w:id="114" w:name="_Toc508377965"/>
      <w:r>
        <w:t>Beispiel für das Innovationspotenzial der einzelnen Teilmaßnahmen von M16</w:t>
      </w:r>
      <w:bookmarkEnd w:id="114"/>
    </w:p>
    <w:p w:rsidR="00A45935" w:rsidRPr="00E05D08" w:rsidRDefault="004F1EC2" w:rsidP="002C2C15">
      <w:pPr>
        <w:spacing w:after="120" w:line="280" w:lineRule="atLeast"/>
        <w:mirrorIndents/>
        <w:jc w:val="center"/>
        <w:rPr>
          <w:rFonts w:eastAsia="Times New Roman" w:cs="Times New Roman"/>
          <w:szCs w:val="20"/>
          <w:lang w:eastAsia="de-DE"/>
        </w:rPr>
      </w:pPr>
      <w:r w:rsidRPr="004F1EC2">
        <w:rPr>
          <w:noProof/>
          <w:lang w:val="en-GB" w:eastAsia="en-GB"/>
        </w:rPr>
        <w:drawing>
          <wp:inline distT="0" distB="0" distL="0" distR="0" wp14:anchorId="6EF0FCAE" wp14:editId="2E1A8D0F">
            <wp:extent cx="5731510" cy="322136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3221360"/>
                    </a:xfrm>
                    <a:prstGeom prst="rect">
                      <a:avLst/>
                    </a:prstGeom>
                    <a:noFill/>
                    <a:ln>
                      <a:noFill/>
                    </a:ln>
                  </pic:spPr>
                </pic:pic>
              </a:graphicData>
            </a:graphic>
          </wp:inline>
        </w:drawing>
      </w:r>
    </w:p>
    <w:p w:rsidR="00A45935" w:rsidRPr="00E05D08" w:rsidRDefault="00A45935" w:rsidP="00BD7227">
      <w:pPr>
        <w:suppressAutoHyphens/>
        <w:spacing w:before="60" w:after="140" w:line="240" w:lineRule="auto"/>
        <w:mirrorIndents/>
        <w:jc w:val="center"/>
        <w:rPr>
          <w:rFonts w:eastAsia="Times New Roman" w:cs="Times New Roman"/>
          <w:i/>
          <w:sz w:val="16"/>
          <w:szCs w:val="20"/>
        </w:rPr>
      </w:pPr>
      <w:r>
        <w:rPr>
          <w:i/>
          <w:sz w:val="16"/>
          <w:szCs w:val="20"/>
        </w:rPr>
        <w:t>Quelle: Europäischer Evaluierungs-Helpdesk für ländliche Entwicklung, 2017.</w:t>
      </w:r>
    </w:p>
    <w:p w:rsidR="00A45935" w:rsidRPr="00E05D08" w:rsidRDefault="00647766" w:rsidP="00E05D08">
      <w:pPr>
        <w:spacing w:after="120" w:line="280" w:lineRule="atLeast"/>
        <w:mirrorIndents/>
        <w:rPr>
          <w:rFonts w:eastAsia="Times New Roman" w:cs="Times New Roman"/>
          <w:szCs w:val="20"/>
        </w:rPr>
      </w:pPr>
      <w:r w:rsidRPr="00E05D08">
        <w:rPr>
          <w:rFonts w:eastAsia="Times New Roman" w:cs="Times New Roman"/>
          <w:noProof/>
          <w:sz w:val="18"/>
          <w:szCs w:val="24"/>
          <w:lang w:val="en-GB" w:eastAsia="en-GB"/>
        </w:rPr>
        <w:lastRenderedPageBreak/>
        <mc:AlternateContent>
          <mc:Choice Requires="wps">
            <w:drawing>
              <wp:anchor distT="0" distB="0" distL="114300" distR="114300" simplePos="0" relativeHeight="251724800" behindDoc="0" locked="0" layoutInCell="1" allowOverlap="1" wp14:anchorId="49A0980B" wp14:editId="30F5CCD1">
                <wp:simplePos x="0" y="0"/>
                <wp:positionH relativeFrom="column">
                  <wp:posOffset>-47625</wp:posOffset>
                </wp:positionH>
                <wp:positionV relativeFrom="paragraph">
                  <wp:posOffset>1079500</wp:posOffset>
                </wp:positionV>
                <wp:extent cx="5733415" cy="2143125"/>
                <wp:effectExtent l="0" t="0" r="19685" b="28575"/>
                <wp:wrapSquare wrapText="bothSides"/>
                <wp:docPr id="83" name="Rectangle: Diagonal Corners Rounded 83"/>
                <wp:cNvGraphicFramePr/>
                <a:graphic xmlns:a="http://schemas.openxmlformats.org/drawingml/2006/main">
                  <a:graphicData uri="http://schemas.microsoft.com/office/word/2010/wordprocessingShape">
                    <wps:wsp>
                      <wps:cNvSpPr/>
                      <wps:spPr>
                        <a:xfrm>
                          <a:off x="0" y="0"/>
                          <a:ext cx="5733415" cy="2143125"/>
                        </a:xfrm>
                        <a:prstGeom prst="round2DiagRect">
                          <a:avLst>
                            <a:gd name="adj1" fmla="val 11556"/>
                            <a:gd name="adj2" fmla="val 0"/>
                          </a:avLst>
                        </a:prstGeom>
                        <a:noFill/>
                        <a:ln w="25400" cap="flat" cmpd="sng" algn="ctr">
                          <a:solidFill>
                            <a:srgbClr val="F07E31"/>
                          </a:solidFill>
                          <a:prstDash val="solid"/>
                        </a:ln>
                        <a:effectLst/>
                      </wps:spPr>
                      <wps:txbx>
                        <w:txbxContent>
                          <w:p w:rsidR="00533F8C" w:rsidRPr="00A10ACC" w:rsidRDefault="00533F8C" w:rsidP="00E05D08">
                            <w:pPr>
                              <w:pStyle w:val="HStandard"/>
                              <w:rPr>
                                <w:sz w:val="18"/>
                              </w:rPr>
                            </w:pPr>
                            <w:r>
                              <w:rPr>
                                <w:noProof/>
                                <w:lang w:val="en-GB" w:eastAsia="en-GB"/>
                              </w:rPr>
                              <w:drawing>
                                <wp:inline distT="0" distB="0" distL="0" distR="0" wp14:anchorId="775A7B66" wp14:editId="653CECDE">
                                  <wp:extent cx="353060" cy="359410"/>
                                  <wp:effectExtent l="0" t="0" r="8890" b="2540"/>
                                  <wp:docPr id="2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Das Beispiel verdeutlicht das Innovationspotenzial der Teilmaßnahmen von M16 (entsprechend ihrer möglichen Zuteilung zu jedem Schwerpunktbereich für ländliche Entwicklung), die zum politischen Ziel des Schwerpunktbereichs 1B beitragen. Während alle zehn Teilmaßnahmen von M16 zur Stärkung der Verbindungen zwischen Landwirtschaft, Nahrungsmittelerzeugung, Forstwirtschaft sowie Forschung und Innovation beitragen, weisen nur die Teilmaßnahmen 5, 6, 8 und 9 das Potenzial auf, diese Verbindungen im Bereich Umweltmanagement und Umweltleistung zu stärken. Im Hinblick auf die drei Innovationspfade unterstützen die Teilmaßnahmen 1, 5, 6, 7 und 8 die Förderung innovativer Ideen (Pfad 1). Mit der Teilmaßnahme 1 werden auch die Verbesserung der Innovationsfähigkeit und die Schaffung eines innovationsfördernden Umfelds (Pfade 2 und 3) gefördert.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0980B" id="Rectangle: Diagonal Corners Rounded 83" o:spid="_x0000_s1047" style="position:absolute;left:0;text-align:left;margin-left:-3.75pt;margin-top:85pt;width:451.45pt;height:16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3415,2143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" adj="-11796480,,5400" path="m247660,l5733415,r,l5733415,1895465v,136779,-110881,247660,-247660,247660l,2143125r,l,247660c,110881,110881,,247660,xe" filled="f" strokecolor="#f07e31" strokeweight="2pt">
                <v:stroke joinstyle="miter"/>
                <v:formulas/>
                <v:path arrowok="t" o:connecttype="custom" o:connectlocs="247660,0;5733415,0;5733415,0;5733415,1895465;5485755,2143125;0,2143125;0,2143125;0,247660;247660,0" o:connectangles="0,0,0,0,0,0,0,0,0" textboxrect="0,0,5733415,2143125"/>
                <v:textbox>
                  <w:txbxContent>
                    <w:p w:rsidR="00533F8C" w:rsidRPr="00A10ACC" w:rsidRDefault="00533F8C" w:rsidP="00E05D08">
                      <w:pPr>
                        <w:pStyle w:val="HStandard"/>
                        <w:rPr>
                          <w:sz w:val="18"/>
                        </w:rPr>
                      </w:pPr>
                      <w:r>
                        <w:rPr>
                          <w:noProof/>
                          <w:lang w:val="en-GB" w:eastAsia="en-GB"/>
                        </w:rPr>
                        <w:drawing>
                          <wp:inline distT="0" distB="0" distL="0" distR="0" wp14:anchorId="775A7B66" wp14:editId="653CECDE">
                            <wp:extent cx="353060" cy="359410"/>
                            <wp:effectExtent l="0" t="0" r="8890" b="2540"/>
                            <wp:docPr id="2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Das Beispiel verdeutlicht das Innovationspotenzial der Teilmaßnahmen von M16 (entsprechend ihrer möglichen Zuteilung zu jedem Schwerpunktbereich für ländliche Entwicklung), die zum politischen Ziel des Schwerpunktbereichs 1B beitragen. Während alle zehn Teilmaßnahmen von M16 zur Stärkung der Verbindungen zwischen Landwirtschaft, Nahrungsmittelerzeugung, Forstwirtschaft sowie Forschung und Innovation beitragen, weisen nur die Teilmaßnahmen 5, 6, 8 und 9 das Potenzial auf, diese Verbindungen im Bereich Umweltmanagement und Umweltleistung zu stärken. Im Hinblick auf die drei Innovationspfade unterstützen die Teilmaßnahmen 1, 5, 6, 7 und 8 die Förderung innovativer Ideen (Pfad 1). Mit der Teilmaßnahme 1 werden auch die Verbesserung der Innovationsfähigkeit und die Schaffung eines innovationsfördernden Umfelds (Pfade 2 und 3) gefördert.</w:t>
                      </w:r>
                    </w:p>
                  </w:txbxContent>
                </v:textbox>
                <w10:wrap type="square"/>
              </v:shape>
            </w:pict>
          </mc:Fallback>
        </mc:AlternateContent>
      </w:r>
      <w:r>
        <w:t>Darüber hinaus sollten alle Teilmaßnahmen von M16, die in der Programmplanung für andere Schwerpunktbereiche als 1B vorgesehen sind, in die Bewertung der Verwirklichung innovationsbezogener Aspekte der CEQ Nr. 2 einbezogen werden. Ist beispielsweise M16.1 für den Schwerpunktbereich 2A geplant, können die Beiträge zu Verknüpfungen zwischen Landwirten, Forschern und Innovationsberatern in die Bewertung der CEQ Nr. 2 einfließen.</w:t>
      </w: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 xml:space="preserve">Bewertungselemente </w:t>
      </w:r>
    </w:p>
    <w:p w:rsidR="00A45935" w:rsidRPr="00E05D08" w:rsidRDefault="00734B11" w:rsidP="00E05D08">
      <w:pPr>
        <w:spacing w:after="120" w:line="280" w:lineRule="atLeast"/>
        <w:mirrorIndents/>
        <w:rPr>
          <w:rFonts w:eastAsia="Times New Roman" w:cs="Times New Roman"/>
          <w:szCs w:val="20"/>
        </w:rPr>
        <w:sectPr w:rsidR="00A45935" w:rsidRPr="00E05D08" w:rsidSect="00055039">
          <w:endnotePr>
            <w:numFmt w:val="decimal"/>
          </w:endnotePr>
          <w:type w:val="continuous"/>
          <w:pgSz w:w="11906" w:h="16838" w:code="9"/>
          <w:pgMar w:top="1134" w:right="1440" w:bottom="1440" w:left="1440" w:header="567" w:footer="1021" w:gutter="0"/>
          <w:cols w:space="708"/>
          <w:noEndnote/>
          <w:docGrid w:linePitch="360"/>
        </w:sectPr>
      </w:pPr>
      <w:r>
        <w:t>Die gemeinsamen Beurteilungskriterien und Indikatoren für CEQ Nr. 2 sind auf den Output der Vorhaben im Rahmen der Maßnahme „Zusammenarbeit“ beschränkt. Unter Umständen ist es erforderlich, weitere Beurteilungskriterien und Indikatoren zu entwickeln, mit denen sich die Ergebnisse dieser Maßnahmen beurteilen lassen. In der nachstehenden Tabelle sind die Beurteilungskriterien, Indikatoren und Datenanforderungen für die Beantwortung der CEQ Nr. 2 aufgeführt.</w:t>
      </w:r>
    </w:p>
    <w:p w:rsidR="00A45935" w:rsidRPr="009A2DAD" w:rsidRDefault="00A45935" w:rsidP="009A2DAD">
      <w:pPr>
        <w:pStyle w:val="HHeadingtables"/>
        <w:rPr>
          <w:color w:val="6F6F6F"/>
          <w:sz w:val="18"/>
          <w:szCs w:val="18"/>
        </w:rPr>
      </w:pPr>
      <w:bookmarkStart w:id="115" w:name="_Toc508377851"/>
      <w:r>
        <w:rPr>
          <w:color w:val="6F6F6F"/>
          <w:sz w:val="18"/>
          <w:szCs w:val="18"/>
        </w:rPr>
        <w:lastRenderedPageBreak/>
        <w:t>Beurteilungskriterien, Indikatoren und Datenbedarf und -quellen</w:t>
      </w:r>
      <w:bookmarkEnd w:id="115"/>
    </w:p>
    <w:tbl>
      <w:tblPr>
        <w:tblStyle w:val="TableGrid"/>
        <w:tblW w:w="143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78"/>
        <w:gridCol w:w="3578"/>
        <w:gridCol w:w="3578"/>
        <w:gridCol w:w="3578"/>
      </w:tblGrid>
      <w:tr w:rsidR="00A45935" w:rsidRPr="00E05D08" w:rsidTr="00E05D08">
        <w:trPr>
          <w:tblHeader/>
        </w:trPr>
        <w:tc>
          <w:tcPr>
            <w:tcW w:w="3578" w:type="dxa"/>
            <w:shd w:val="clear" w:color="auto" w:fill="F07E31"/>
          </w:tcPr>
          <w:p w:rsidR="00A45935" w:rsidRPr="00E05D08" w:rsidRDefault="00A45935" w:rsidP="00E05D08">
            <w:pPr>
              <w:spacing w:after="120" w:line="280" w:lineRule="atLeast"/>
              <w:ind w:left="29" w:right="110"/>
              <w:mirrorIndents/>
              <w:jc w:val="center"/>
              <w:rPr>
                <w:rFonts w:cs="Arial"/>
                <w:b/>
                <w:color w:val="FFFFFF"/>
                <w:sz w:val="18"/>
                <w:szCs w:val="18"/>
              </w:rPr>
            </w:pPr>
            <w:r>
              <w:rPr>
                <w:b/>
                <w:color w:val="FFFFFF"/>
                <w:sz w:val="18"/>
                <w:szCs w:val="18"/>
              </w:rPr>
              <w:t>Beurteilungskriterien</w:t>
            </w:r>
          </w:p>
        </w:tc>
        <w:tc>
          <w:tcPr>
            <w:tcW w:w="3578" w:type="dxa"/>
            <w:shd w:val="clear" w:color="auto" w:fill="F07E31"/>
          </w:tcPr>
          <w:p w:rsidR="00A45935" w:rsidRPr="00E05D08" w:rsidRDefault="00A45935" w:rsidP="00E05D08">
            <w:pPr>
              <w:spacing w:after="120" w:line="280" w:lineRule="atLeast"/>
              <w:ind w:left="75" w:right="61"/>
              <w:mirrorIndents/>
              <w:jc w:val="center"/>
              <w:rPr>
                <w:rFonts w:cs="Arial"/>
                <w:b/>
                <w:color w:val="FFFFFF"/>
                <w:sz w:val="18"/>
                <w:szCs w:val="18"/>
              </w:rPr>
            </w:pPr>
            <w:r>
              <w:rPr>
                <w:b/>
                <w:color w:val="FFFFFF"/>
                <w:sz w:val="18"/>
                <w:szCs w:val="18"/>
              </w:rPr>
              <w:t>Indikatoren</w:t>
            </w:r>
          </w:p>
        </w:tc>
        <w:tc>
          <w:tcPr>
            <w:tcW w:w="3578" w:type="dxa"/>
            <w:shd w:val="clear" w:color="auto" w:fill="F07E31"/>
          </w:tcPr>
          <w:p w:rsidR="00A45935" w:rsidRPr="00E05D08" w:rsidRDefault="00A45935" w:rsidP="00E05D08">
            <w:pPr>
              <w:spacing w:after="120" w:line="280" w:lineRule="atLeast"/>
              <w:ind w:left="11" w:right="12"/>
              <w:mirrorIndents/>
              <w:jc w:val="center"/>
              <w:rPr>
                <w:rFonts w:cs="Arial"/>
                <w:b/>
                <w:color w:val="FFFFFF"/>
                <w:sz w:val="18"/>
                <w:szCs w:val="18"/>
              </w:rPr>
            </w:pPr>
            <w:r>
              <w:rPr>
                <w:b/>
                <w:color w:val="FFFFFF"/>
                <w:sz w:val="18"/>
                <w:szCs w:val="18"/>
              </w:rPr>
              <w:t>Datenbedarf</w:t>
            </w:r>
          </w:p>
        </w:tc>
        <w:tc>
          <w:tcPr>
            <w:tcW w:w="3578" w:type="dxa"/>
            <w:shd w:val="clear" w:color="auto" w:fill="F07E31"/>
          </w:tcPr>
          <w:p w:rsidR="00A45935" w:rsidRPr="00E05D08" w:rsidRDefault="00A45935" w:rsidP="00E05D08">
            <w:pPr>
              <w:spacing w:after="120" w:line="280" w:lineRule="atLeast"/>
              <w:ind w:left="355" w:right="31"/>
              <w:mirrorIndents/>
              <w:jc w:val="center"/>
              <w:rPr>
                <w:rFonts w:cs="Arial"/>
                <w:b/>
                <w:color w:val="FFFFFF"/>
                <w:sz w:val="18"/>
                <w:szCs w:val="18"/>
              </w:rPr>
            </w:pPr>
            <w:r>
              <w:rPr>
                <w:b/>
                <w:color w:val="FFFFFF"/>
                <w:sz w:val="18"/>
                <w:szCs w:val="18"/>
              </w:rPr>
              <w:t>Datenquellen</w:t>
            </w:r>
          </w:p>
        </w:tc>
      </w:tr>
      <w:tr w:rsidR="00A45935" w:rsidRPr="00E05D08" w:rsidTr="00406C98">
        <w:tc>
          <w:tcPr>
            <w:tcW w:w="14312" w:type="dxa"/>
            <w:gridSpan w:val="4"/>
            <w:tcBorders>
              <w:bottom w:val="single" w:sz="4" w:space="0" w:color="808080"/>
            </w:tcBorders>
            <w:shd w:val="clear" w:color="auto" w:fill="8BAB80"/>
          </w:tcPr>
          <w:p w:rsidR="00A45935" w:rsidRPr="005474FA" w:rsidRDefault="00A45935" w:rsidP="00E05D08">
            <w:pPr>
              <w:spacing w:after="120" w:line="280" w:lineRule="atLeast"/>
              <w:ind w:left="355" w:right="31"/>
              <w:mirrorIndents/>
              <w:rPr>
                <w:rFonts w:cs="Arial"/>
                <w:b/>
                <w:color w:val="FFFFFF"/>
                <w:sz w:val="18"/>
                <w:szCs w:val="18"/>
              </w:rPr>
            </w:pPr>
            <w:r>
              <w:rPr>
                <w:b/>
                <w:color w:val="FFFFFF"/>
                <w:sz w:val="18"/>
                <w:szCs w:val="18"/>
              </w:rPr>
              <w:t>Gemeinsame Bewertungselemente (CMES und entsprechend den Vorschlägen in der Arbeitsunterlage „Common Evaluation Questions for Rural Development Programmes 2014-2020“)</w:t>
            </w:r>
          </w:p>
        </w:tc>
      </w:tr>
      <w:tr w:rsidR="00A45935" w:rsidRPr="00E05D08" w:rsidTr="00406C98">
        <w:tc>
          <w:tcPr>
            <w:tcW w:w="3578" w:type="dxa"/>
            <w:tcBorders>
              <w:bottom w:val="nil"/>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Es wurde eine langfristige Zusammenarbeit zwischen Unternehmen der Bereiche Landwirtschaft, Nahrungsmittelerzeugung und Forstwirtschaft sowie Einrichtungen für Forschung und Innovation etabliert.</w:t>
            </w:r>
          </w:p>
        </w:tc>
        <w:tc>
          <w:tcPr>
            <w:tcW w:w="3578" w:type="dxa"/>
            <w:tcBorders>
              <w:bottom w:val="nil"/>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T2: Gesamtzahl der Kooperationsvorhaben, die im Rahmen der Maßnahme „Zusammenarbeit“ unterstützt werden (Artikel 35 der Verordnung (EU) Nr. 1305/2013) (Gruppen, Netzwerke/Cluster, Pilotprojekte).</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t>Zusätzlicher Indikator:</w:t>
            </w:r>
            <w:r>
              <w:rPr>
                <w:color w:val="57825E"/>
                <w:sz w:val="18"/>
                <w:szCs w:val="18"/>
              </w:rPr>
              <w:t xml:space="preserve"> Zahl und Art der an den Kooperationsprojekten beteiligten Partner, einschließlich ihrer Rollen und Zuständigkeiten.</w:t>
            </w:r>
          </w:p>
        </w:tc>
        <w:tc>
          <w:tcPr>
            <w:tcW w:w="3578" w:type="dxa"/>
            <w:tcBorders>
              <w:bottom w:val="nil"/>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Zahl der EIP-Vorhaben (Datenelement O.16).</w:t>
            </w:r>
          </w:p>
          <w:p w:rsidR="00A45935" w:rsidRPr="00385368" w:rsidRDefault="00A45935" w:rsidP="007E63EF">
            <w:pPr>
              <w:spacing w:after="120" w:line="280" w:lineRule="atLeast"/>
              <w:ind w:left="11" w:right="12"/>
              <w:mirrorIndents/>
              <w:jc w:val="left"/>
              <w:rPr>
                <w:rFonts w:cs="Arial"/>
                <w:sz w:val="18"/>
                <w:szCs w:val="18"/>
              </w:rPr>
            </w:pPr>
            <w:r>
              <w:rPr>
                <w:sz w:val="18"/>
                <w:szCs w:val="18"/>
              </w:rPr>
              <w:t>Zahl der sonstigen Kooperationsvorhaben (Gruppen, Netzwerke/Cluster, Pilotprojekte), die im Rahmen der Maßnahme M16 „Zusammenarbeit“ unterstützt werden (Datenelement O.17).</w:t>
            </w:r>
          </w:p>
          <w:p w:rsidR="00A45935" w:rsidRPr="00385368" w:rsidRDefault="00A45935" w:rsidP="007E63EF">
            <w:pPr>
              <w:spacing w:after="120" w:line="280" w:lineRule="atLeast"/>
              <w:ind w:left="11" w:right="12"/>
              <w:mirrorIndents/>
              <w:jc w:val="left"/>
              <w:rPr>
                <w:rFonts w:cs="Arial"/>
                <w:sz w:val="18"/>
                <w:szCs w:val="18"/>
              </w:rPr>
            </w:pPr>
            <w:r>
              <w:rPr>
                <w:sz w:val="18"/>
                <w:szCs w:val="18"/>
              </w:rPr>
              <w:t xml:space="preserve">Zahl und Art der beteiligten Partner. </w:t>
            </w:r>
          </w:p>
        </w:tc>
        <w:tc>
          <w:tcPr>
            <w:tcW w:w="3578" w:type="dxa"/>
            <w:tcBorders>
              <w:bottom w:val="nil"/>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System zur Begleitung von Programmen zur Entwicklung des ländlichen Raums</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Antragsformulare der Begünstigten (Projektbeginn)</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Zahlungsanträge der Begünstigten (Projektende)</w:t>
            </w:r>
          </w:p>
        </w:tc>
      </w:tr>
      <w:tr w:rsidR="00A45935" w:rsidRPr="00E05D08" w:rsidTr="005520BA">
        <w:tc>
          <w:tcPr>
            <w:tcW w:w="3578" w:type="dxa"/>
            <w:tcBorders>
              <w:top w:val="nil"/>
              <w:bottom w:val="single" w:sz="4" w:space="0" w:color="808080"/>
            </w:tcBorders>
          </w:tcPr>
          <w:p w:rsidR="00A45935" w:rsidRPr="00385368" w:rsidRDefault="00A45935" w:rsidP="007E63EF">
            <w:pPr>
              <w:spacing w:after="120" w:line="280" w:lineRule="atLeast"/>
              <w:ind w:left="29" w:right="110"/>
              <w:mirrorIndents/>
              <w:jc w:val="left"/>
              <w:rPr>
                <w:rFonts w:cs="Arial"/>
                <w:sz w:val="18"/>
                <w:szCs w:val="18"/>
                <w:lang w:val="en-GB"/>
              </w:rPr>
            </w:pPr>
          </w:p>
        </w:tc>
        <w:tc>
          <w:tcPr>
            <w:tcW w:w="3578" w:type="dxa"/>
            <w:tcBorders>
              <w:top w:val="nil"/>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O.3 Anzahl der geförderten Maßnahmen/Vorhaben.</w:t>
            </w:r>
          </w:p>
        </w:tc>
        <w:tc>
          <w:tcPr>
            <w:tcW w:w="3578" w:type="dxa"/>
            <w:tcBorders>
              <w:top w:val="nil"/>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Gesamtanzahl der geförderten Maßnahmen/Vorhaben.</w:t>
            </w:r>
          </w:p>
          <w:p w:rsidR="00A45935" w:rsidRPr="00385368" w:rsidRDefault="00A45935" w:rsidP="007E63EF">
            <w:pPr>
              <w:spacing w:after="120" w:line="280" w:lineRule="atLeast"/>
              <w:ind w:left="11" w:right="12"/>
              <w:mirrorIndents/>
              <w:jc w:val="left"/>
              <w:rPr>
                <w:rFonts w:cs="Arial"/>
                <w:sz w:val="18"/>
                <w:szCs w:val="18"/>
              </w:rPr>
            </w:pPr>
            <w:r>
              <w:rPr>
                <w:sz w:val="18"/>
                <w:szCs w:val="18"/>
              </w:rPr>
              <w:t>Anzahl der unterstützten Kooperationsvorhaben (O.16 + O.17).</w:t>
            </w:r>
          </w:p>
        </w:tc>
        <w:tc>
          <w:tcPr>
            <w:tcW w:w="3578" w:type="dxa"/>
            <w:tcBorders>
              <w:top w:val="nil"/>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 xml:space="preserve">System zur Begleitung von Programmen zur Entwicklung des ländlichen Raums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Antragsformulare der Begünstigten (Projektbeginn)</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Zahlungsanträge der Begünstigten (Projektende)</w:t>
            </w:r>
          </w:p>
        </w:tc>
      </w:tr>
      <w:tr w:rsidR="00A45935" w:rsidRPr="00E05D08" w:rsidTr="005520BA">
        <w:trPr>
          <w:trHeight w:val="1003"/>
        </w:trPr>
        <w:tc>
          <w:tcPr>
            <w:tcW w:w="3578" w:type="dxa"/>
            <w:tcBorders>
              <w:bottom w:val="single" w:sz="4" w:space="0" w:color="808080"/>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 xml:space="preserve">Es wurden Kooperationsvorhaben zur Verbindung von Landwirtschaft, Nahrungsmittelerzeugung, Forstwirtschaft, Forschung und Innovation zum Zweck eines besseren </w:t>
            </w:r>
            <w:r>
              <w:rPr>
                <w:sz w:val="18"/>
                <w:szCs w:val="18"/>
              </w:rPr>
              <w:lastRenderedPageBreak/>
              <w:t>Umweltmanagements und einer besseren Umweltleistung umgesetzt.</w:t>
            </w:r>
          </w:p>
        </w:tc>
        <w:tc>
          <w:tcPr>
            <w:tcW w:w="3578" w:type="dxa"/>
            <w:tcBorders>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lastRenderedPageBreak/>
              <w:t xml:space="preserve">T2: Gesamtzahl der Kooperationsvorhaben, die im Rahmen der Maßnahme „Zusammenarbeit“ unterstützt werden (Artikel 35 der Verordnung (EU) Nr. 1305/2013) </w:t>
            </w:r>
            <w:r>
              <w:rPr>
                <w:sz w:val="18"/>
                <w:szCs w:val="18"/>
              </w:rPr>
              <w:lastRenderedPageBreak/>
              <w:t xml:space="preserve">(Gruppen, Netzwerke/Cluster, Pilotprojekte). </w:t>
            </w:r>
          </w:p>
          <w:p w:rsidR="00A45935" w:rsidRPr="00385368" w:rsidRDefault="00A45935" w:rsidP="007E63EF">
            <w:pPr>
              <w:spacing w:after="120" w:line="280" w:lineRule="atLeast"/>
              <w:ind w:left="75" w:right="61"/>
              <w:mirrorIndents/>
              <w:jc w:val="left"/>
              <w:rPr>
                <w:rFonts w:cs="Arial"/>
                <w:color w:val="57825E"/>
                <w:sz w:val="18"/>
                <w:szCs w:val="18"/>
              </w:rPr>
            </w:pPr>
            <w:r>
              <w:rPr>
                <w:color w:val="57825E"/>
                <w:sz w:val="18"/>
                <w:szCs w:val="18"/>
                <w:u w:val="single"/>
              </w:rPr>
              <w:t>Zusätzlicher Indikator:</w:t>
            </w:r>
            <w:r>
              <w:rPr>
                <w:color w:val="57825E"/>
                <w:sz w:val="18"/>
                <w:szCs w:val="18"/>
              </w:rPr>
              <w:t xml:space="preserve"> Prozentsatz der Kooperationsvorhaben, unter anderem zum Zweck eines besseren Umweltmanagements und einer besseren Umweltleistung, die nach der Förderung im Rahmen des Programms zur Entwicklung des ländlichen Raums fortgeführt werden.</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t>Zusätzlicher Indikator:</w:t>
            </w:r>
            <w:r>
              <w:rPr>
                <w:color w:val="57825E"/>
                <w:sz w:val="18"/>
                <w:szCs w:val="18"/>
              </w:rPr>
              <w:t xml:space="preserve"> Zahl und Art der an den Kooperationsprojekten beteiligten Partner, einschließlich ihrer Rollen und Zuständigkeiten.</w:t>
            </w:r>
          </w:p>
        </w:tc>
        <w:tc>
          <w:tcPr>
            <w:tcW w:w="3578" w:type="dxa"/>
            <w:tcBorders>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lastRenderedPageBreak/>
              <w:t>Zahl der EIP-Vorhaben (Datenelement O.16), die dem Zweck eines besseren Umweltmanagements und einer besseren Umweltleistung dienen.</w:t>
            </w:r>
          </w:p>
          <w:p w:rsidR="00A45935" w:rsidRPr="00385368" w:rsidRDefault="00A45935" w:rsidP="007E63EF">
            <w:pPr>
              <w:spacing w:after="120" w:line="280" w:lineRule="atLeast"/>
              <w:ind w:left="11" w:right="12"/>
              <w:mirrorIndents/>
              <w:jc w:val="left"/>
              <w:rPr>
                <w:rFonts w:cs="Arial"/>
                <w:sz w:val="18"/>
                <w:szCs w:val="18"/>
              </w:rPr>
            </w:pPr>
            <w:r>
              <w:rPr>
                <w:sz w:val="18"/>
                <w:szCs w:val="18"/>
              </w:rPr>
              <w:t xml:space="preserve">Zahl der sonstigen Kooperationsvorhaben (Gruppen, </w:t>
            </w:r>
            <w:r>
              <w:rPr>
                <w:sz w:val="18"/>
                <w:szCs w:val="18"/>
              </w:rPr>
              <w:lastRenderedPageBreak/>
              <w:t>Netzwerke/Cluster, Pilotprojekte), die im Rahmen der Maßnahme M16 „Zusammenarbeit“ unterstützt werden (Datenelement O.17) und dem Zweck eines besseren Umweltmanagements und einer besseren Umweltleistung dienen.</w:t>
            </w:r>
          </w:p>
          <w:p w:rsidR="00A45935" w:rsidRPr="00385368" w:rsidRDefault="00A45935" w:rsidP="007E63EF">
            <w:pPr>
              <w:spacing w:after="120" w:line="280" w:lineRule="atLeast"/>
              <w:ind w:left="11" w:right="12"/>
              <w:mirrorIndents/>
              <w:jc w:val="left"/>
              <w:rPr>
                <w:rFonts w:cs="Arial"/>
                <w:sz w:val="18"/>
                <w:szCs w:val="18"/>
              </w:rPr>
            </w:pPr>
            <w:r>
              <w:rPr>
                <w:sz w:val="18"/>
                <w:szCs w:val="18"/>
              </w:rPr>
              <w:t>Zahl und Art der beteiligten Partner.</w:t>
            </w:r>
          </w:p>
        </w:tc>
        <w:tc>
          <w:tcPr>
            <w:tcW w:w="3578" w:type="dxa"/>
            <w:tcBorders>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lastRenderedPageBreak/>
              <w:t xml:space="preserve">System zur Begleitung von Programmen zur Entwicklung des ländlichen Raums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Antragsformulare der Begünstigten (Projektbeginn)</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lastRenderedPageBreak/>
              <w:t>Zahlungsanträge der Begünstigten (Projektende)</w:t>
            </w:r>
          </w:p>
        </w:tc>
      </w:tr>
      <w:tr w:rsidR="00A45935" w:rsidRPr="00E05D08" w:rsidTr="005520BA">
        <w:tc>
          <w:tcPr>
            <w:tcW w:w="3578" w:type="dxa"/>
            <w:tcBorders>
              <w:top w:val="single" w:sz="4" w:space="0" w:color="808080"/>
            </w:tcBorders>
          </w:tcPr>
          <w:p w:rsidR="00A45935" w:rsidRPr="00385368" w:rsidRDefault="00A45935" w:rsidP="00E05D08">
            <w:pPr>
              <w:spacing w:after="120" w:line="280" w:lineRule="atLeast"/>
              <w:ind w:left="29" w:right="110"/>
              <w:mirrorIndents/>
              <w:rPr>
                <w:rFonts w:cs="Arial"/>
                <w:sz w:val="18"/>
                <w:szCs w:val="18"/>
                <w:lang w:val="en-GB"/>
              </w:rPr>
            </w:pPr>
          </w:p>
        </w:tc>
        <w:tc>
          <w:tcPr>
            <w:tcW w:w="3578" w:type="dxa"/>
            <w:tcBorders>
              <w:top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O.3 Anzahl der geförderten Maßnahmen/Vorhaben.</w:t>
            </w:r>
          </w:p>
        </w:tc>
        <w:tc>
          <w:tcPr>
            <w:tcW w:w="3578" w:type="dxa"/>
            <w:tcBorders>
              <w:top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Gesamtanzahl der geförderten Maßnahmen/Vorhaben.</w:t>
            </w:r>
          </w:p>
          <w:p w:rsidR="00A45935" w:rsidRPr="00385368" w:rsidRDefault="00A45935" w:rsidP="007E63EF">
            <w:pPr>
              <w:spacing w:after="120" w:line="280" w:lineRule="atLeast"/>
              <w:ind w:left="11" w:right="12"/>
              <w:mirrorIndents/>
              <w:jc w:val="left"/>
              <w:rPr>
                <w:rFonts w:cs="Arial"/>
                <w:sz w:val="18"/>
                <w:szCs w:val="18"/>
              </w:rPr>
            </w:pPr>
            <w:r>
              <w:rPr>
                <w:sz w:val="18"/>
                <w:szCs w:val="18"/>
              </w:rPr>
              <w:t>Anzahl der unterstützten Kooperationsvorhaben (O.16 + O.17).</w:t>
            </w:r>
          </w:p>
        </w:tc>
        <w:tc>
          <w:tcPr>
            <w:tcW w:w="3578" w:type="dxa"/>
            <w:tcBorders>
              <w:top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System zur Begleitung von Programmen zur Entwicklung des ländlichen Raums</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Antragsformulare der Begünstigten (Projektbeginn)</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Zahlungsanträge der Begünstigten (Projektende)</w:t>
            </w:r>
          </w:p>
        </w:tc>
      </w:tr>
      <w:tr w:rsidR="00A45935" w:rsidRPr="00E05D08" w:rsidTr="00E05D08">
        <w:tc>
          <w:tcPr>
            <w:tcW w:w="14312" w:type="dxa"/>
            <w:gridSpan w:val="4"/>
            <w:shd w:val="clear" w:color="auto" w:fill="8BAB80"/>
          </w:tcPr>
          <w:p w:rsidR="00A45935" w:rsidRPr="00E05D08" w:rsidRDefault="00A45935" w:rsidP="00E05D08">
            <w:pPr>
              <w:spacing w:after="120" w:line="280" w:lineRule="atLeast"/>
              <w:ind w:left="355" w:right="31"/>
              <w:mirrorIndents/>
              <w:rPr>
                <w:rFonts w:cs="Arial"/>
                <w:b/>
                <w:color w:val="FFFFFF"/>
                <w:sz w:val="18"/>
                <w:szCs w:val="18"/>
              </w:rPr>
            </w:pPr>
            <w:r>
              <w:rPr>
                <w:b/>
                <w:color w:val="FFFFFF"/>
                <w:sz w:val="18"/>
                <w:szCs w:val="18"/>
              </w:rPr>
              <w:t>Zusätzliche Bewertungselemente (optional)</w:t>
            </w:r>
          </w:p>
        </w:tc>
      </w:tr>
      <w:tr w:rsidR="00A45935" w:rsidRPr="00E05D08" w:rsidTr="00E05D08">
        <w:tc>
          <w:tcPr>
            <w:tcW w:w="3578" w:type="dxa"/>
          </w:tcPr>
          <w:p w:rsidR="00A45935" w:rsidRPr="00385368" w:rsidRDefault="00A45935" w:rsidP="007E63EF">
            <w:pPr>
              <w:spacing w:after="120" w:line="280" w:lineRule="atLeast"/>
              <w:ind w:left="29" w:right="110"/>
              <w:mirrorIndents/>
              <w:jc w:val="left"/>
              <w:rPr>
                <w:rFonts w:cs="Arial"/>
                <w:sz w:val="18"/>
                <w:szCs w:val="18"/>
              </w:rPr>
            </w:pPr>
            <w:r>
              <w:rPr>
                <w:sz w:val="18"/>
                <w:szCs w:val="18"/>
              </w:rPr>
              <w:t>Mit Kooperationsprojekten wurde die Innovationsfähigkeit, darunter im Bereich Umweltmanagement und Umweltleistung, verbessert.</w:t>
            </w:r>
          </w:p>
        </w:tc>
        <w:tc>
          <w:tcPr>
            <w:tcW w:w="3578" w:type="dxa"/>
          </w:tcPr>
          <w:p w:rsidR="00A45935" w:rsidRPr="00385368" w:rsidRDefault="00A45935" w:rsidP="007E63EF">
            <w:pPr>
              <w:spacing w:after="120" w:line="280" w:lineRule="atLeast"/>
              <w:ind w:left="75" w:right="61"/>
              <w:mirrorIndents/>
              <w:jc w:val="left"/>
              <w:rPr>
                <w:rFonts w:cs="Arial"/>
                <w:sz w:val="18"/>
                <w:szCs w:val="18"/>
              </w:rPr>
            </w:pPr>
            <w:r>
              <w:rPr>
                <w:sz w:val="18"/>
                <w:szCs w:val="18"/>
              </w:rPr>
              <w:t xml:space="preserve">Zahl und Art der durch Kooperationsprojekte hervorgebrachten Innovationen, darunter solche mit Schwerpunkt auf dem Bereich </w:t>
            </w:r>
            <w:r>
              <w:rPr>
                <w:sz w:val="18"/>
                <w:szCs w:val="18"/>
              </w:rPr>
              <w:lastRenderedPageBreak/>
              <w:t xml:space="preserve">Umweltmanagement und Umweltleistung. </w:t>
            </w:r>
          </w:p>
        </w:tc>
        <w:tc>
          <w:tcPr>
            <w:tcW w:w="3578" w:type="dxa"/>
          </w:tcPr>
          <w:p w:rsidR="00A45935" w:rsidRPr="00385368" w:rsidRDefault="00A45935" w:rsidP="007E63EF">
            <w:pPr>
              <w:spacing w:after="120" w:line="280" w:lineRule="atLeast"/>
              <w:ind w:left="11" w:right="12"/>
              <w:mirrorIndents/>
              <w:jc w:val="left"/>
              <w:rPr>
                <w:rFonts w:cs="Arial"/>
                <w:sz w:val="18"/>
                <w:szCs w:val="18"/>
              </w:rPr>
            </w:pPr>
            <w:r>
              <w:rPr>
                <w:sz w:val="18"/>
                <w:szCs w:val="18"/>
              </w:rPr>
              <w:lastRenderedPageBreak/>
              <w:t>Zahl der hervorgebrachten Innovationen.</w:t>
            </w:r>
          </w:p>
          <w:p w:rsidR="00A45935" w:rsidRPr="00385368" w:rsidRDefault="00A45935" w:rsidP="007E63EF">
            <w:pPr>
              <w:spacing w:after="120" w:line="280" w:lineRule="atLeast"/>
              <w:ind w:left="11" w:right="12"/>
              <w:mirrorIndents/>
              <w:jc w:val="left"/>
              <w:rPr>
                <w:rFonts w:cs="Arial"/>
                <w:sz w:val="18"/>
                <w:szCs w:val="18"/>
              </w:rPr>
            </w:pPr>
            <w:r>
              <w:rPr>
                <w:sz w:val="18"/>
                <w:szCs w:val="18"/>
              </w:rPr>
              <w:t>Zahl der Innovationen für ein besseres Umweltmanagement und eine bessere Umweltleistung.</w:t>
            </w:r>
          </w:p>
        </w:tc>
        <w:tc>
          <w:tcPr>
            <w:tcW w:w="3578" w:type="dxa"/>
          </w:tcPr>
          <w:p w:rsidR="00A45935" w:rsidRPr="00385368" w:rsidRDefault="00A45935" w:rsidP="007E63EF">
            <w:pPr>
              <w:spacing w:after="120" w:line="280" w:lineRule="atLeast"/>
              <w:ind w:right="31"/>
              <w:mirrorIndents/>
              <w:jc w:val="left"/>
              <w:rPr>
                <w:rFonts w:cs="Arial"/>
                <w:sz w:val="18"/>
                <w:szCs w:val="18"/>
              </w:rPr>
            </w:pPr>
            <w:r>
              <w:rPr>
                <w:sz w:val="18"/>
                <w:szCs w:val="18"/>
              </w:rPr>
              <w:t>Umfragen.</w:t>
            </w:r>
          </w:p>
          <w:p w:rsidR="00A45935" w:rsidRPr="00385368" w:rsidRDefault="00A45935" w:rsidP="007E63EF">
            <w:pPr>
              <w:spacing w:after="120" w:line="280" w:lineRule="atLeast"/>
              <w:ind w:right="31"/>
              <w:mirrorIndents/>
              <w:jc w:val="left"/>
              <w:rPr>
                <w:rFonts w:cs="Arial"/>
                <w:sz w:val="18"/>
                <w:szCs w:val="18"/>
              </w:rPr>
            </w:pPr>
            <w:r>
              <w:rPr>
                <w:sz w:val="18"/>
                <w:szCs w:val="18"/>
              </w:rPr>
              <w:t>Befragungen und Fokusgruppen der Teilnehmer von Kooperationsprojekten.</w:t>
            </w:r>
          </w:p>
          <w:p w:rsidR="00A45935" w:rsidRPr="00E05D08" w:rsidRDefault="00A45935" w:rsidP="007E63EF">
            <w:pPr>
              <w:spacing w:after="120" w:line="280" w:lineRule="atLeast"/>
              <w:ind w:right="31"/>
              <w:mirrorIndents/>
              <w:jc w:val="left"/>
              <w:rPr>
                <w:rFonts w:cs="Arial"/>
                <w:sz w:val="18"/>
                <w:szCs w:val="18"/>
              </w:rPr>
            </w:pPr>
            <w:r>
              <w:rPr>
                <w:sz w:val="18"/>
                <w:szCs w:val="18"/>
              </w:rPr>
              <w:t>GIS.</w:t>
            </w:r>
          </w:p>
        </w:tc>
      </w:tr>
    </w:tbl>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lastRenderedPageBreak/>
        <w:t xml:space="preserve">Empfohlene Bewertungsmethode </w:t>
      </w:r>
    </w:p>
    <w:p w:rsidR="00A45935" w:rsidRPr="00E05D08" w:rsidRDefault="00A45935" w:rsidP="00E05D08">
      <w:pPr>
        <w:spacing w:after="120" w:line="280" w:lineRule="atLeast"/>
        <w:mirrorIndents/>
        <w:rPr>
          <w:rFonts w:eastAsia="Times New Roman" w:cs="Times New Roman"/>
          <w:color w:val="F07E31"/>
          <w:szCs w:val="20"/>
          <w:u w:val="single"/>
        </w:rPr>
      </w:pPr>
      <w:r>
        <w:t>Die Berechnung der gemeinsamen Indikatoren in Bezug auf die CEQ Nr. 2 wird in Anhang 11 der Leitlinien „</w:t>
      </w:r>
      <w:hyperlink r:id="rId52" w:history="1">
        <w:r>
          <w:rPr>
            <w:color w:val="F07E31"/>
            <w:szCs w:val="20"/>
            <w:u w:val="single"/>
          </w:rPr>
          <w:t>Assessment of RDP results:</w:t>
        </w:r>
      </w:hyperlink>
      <w:hyperlink r:id="rId53" w:history="1">
        <w:r>
          <w:rPr>
            <w:color w:val="F07E31"/>
            <w:szCs w:val="20"/>
            <w:u w:val="single"/>
          </w:rPr>
          <w:t xml:space="preserve"> How to prepare for reporting on evaluation in 2017</w:t>
        </w:r>
      </w:hyperlink>
      <w:r>
        <w:t>“ (Bewertung der Ergebnisse der Programme zur Entwicklung des ländlichen Raums: Vorbereitung der Berichterstattung über die Bewertung 2017) erläutert.</w:t>
      </w:r>
    </w:p>
    <w:p w:rsidR="00A45935" w:rsidRPr="00E05D08" w:rsidRDefault="00A45935" w:rsidP="00E05D08">
      <w:pPr>
        <w:spacing w:after="120" w:line="280" w:lineRule="atLeast"/>
        <w:mirrorIndents/>
        <w:rPr>
          <w:rFonts w:eastAsia="Times New Roman" w:cs="Times New Roman"/>
          <w:szCs w:val="20"/>
        </w:rPr>
      </w:pPr>
      <w:r>
        <w:t>Zur Bewertung des innovationsbezogenen Teils der CEQ Nr. 2 werden folgende Schritte vorgeschlagen:</w:t>
      </w:r>
    </w:p>
    <w:p w:rsidR="00A45935" w:rsidRPr="008F1F04" w:rsidRDefault="00A45935" w:rsidP="00547012">
      <w:pPr>
        <w:pStyle w:val="Hlistbullet"/>
      </w:pPr>
      <w:r>
        <w:rPr>
          <w:b/>
        </w:rPr>
        <w:t>SCHRITT 1: Ermittlung der Begünstigten von M16</w:t>
      </w:r>
      <w:r>
        <w:t xml:space="preserve"> und ihren Teilmaßnahmen entsprechend den Ergebnissen bei der Bestimmung ihres Innovationspotenzials (Begünstigte, die als innovativ eingestufte Vorhaben umgesetzt haben) </w:t>
      </w:r>
    </w:p>
    <w:p w:rsidR="00A45935" w:rsidRPr="008F1F04" w:rsidRDefault="00A45935" w:rsidP="00547012">
      <w:pPr>
        <w:pStyle w:val="Hlistbullet"/>
      </w:pPr>
      <w:r>
        <w:rPr>
          <w:b/>
        </w:rPr>
        <w:t>SCHRITT 2: Quantifizierung der Output- und Zielindikatoren</w:t>
      </w:r>
      <w:r>
        <w:t xml:space="preserve"> auf der Grundlage der Begleitungsdaten über operationelle Gruppen aus der Vorhabendatenbank des Programms zur Entwicklung des ländlichen Raums. Zur Nutzung der Vorhabendatenbank für die Bewertung von Innovation können die Verwaltungsbehörden gegebenenfalls Datenelemente hinzufügen und erfassen, die sich auf operationelle Gruppen und Innovation beziehen. </w:t>
      </w:r>
    </w:p>
    <w:p w:rsidR="00A45935" w:rsidRPr="008F1F04" w:rsidRDefault="00A45935" w:rsidP="00547012">
      <w:pPr>
        <w:pStyle w:val="Hlistbullet"/>
      </w:pPr>
      <w:r>
        <w:rPr>
          <w:b/>
        </w:rPr>
        <w:t>SCHRITT 3: Erfassen von Nachweisen zur Beantwortung der CEQ</w:t>
      </w:r>
      <w:r>
        <w:t xml:space="preserve"> mithilfe festgelegter Methoden. Erarbeitung offener Fragestellungen, die bei den in der nachstehenden Tabelle enthaltenen Methoden (Umfragen, Fokusgruppen und Delphi-Methode) verwendet werden können und die vorgeschlagenen Beurteilungskriterien und Indikatoren sowie die Ergebnisse der Bestimmung des Innovationspotenzials berücksichtigen.</w:t>
      </w:r>
    </w:p>
    <w:p w:rsidR="00A45935" w:rsidRPr="008F1F04" w:rsidRDefault="00A45935" w:rsidP="00547012">
      <w:pPr>
        <w:pStyle w:val="Hlistbullet"/>
      </w:pPr>
      <w:r>
        <w:rPr>
          <w:b/>
        </w:rPr>
        <w:t>SCHRITT 4: Analyse und Auswertung der gesammelten Nachweise</w:t>
      </w:r>
      <w:r>
        <w:t xml:space="preserve"> und deren Nutzung zur Beantwortung der CEQ Nr. 2 in Bezug auf die Stärkung der Verbindungen im Hinblick auf Innovation.</w:t>
      </w:r>
    </w:p>
    <w:p w:rsidR="00A45935" w:rsidRPr="00897804" w:rsidRDefault="00A45935" w:rsidP="00897804">
      <w:pPr>
        <w:pStyle w:val="HHeadingtables"/>
        <w:rPr>
          <w:color w:val="6F6F6F"/>
          <w:sz w:val="18"/>
          <w:szCs w:val="18"/>
        </w:rPr>
      </w:pPr>
      <w:bookmarkStart w:id="116" w:name="_Toc508377852"/>
      <w:r>
        <w:rPr>
          <w:color w:val="6F6F6F"/>
          <w:sz w:val="18"/>
          <w:szCs w:val="18"/>
        </w:rPr>
        <w:t>Empfohlene Methoden für CEQ Nr. 2:</w:t>
      </w:r>
      <w:bookmarkEnd w:id="116"/>
      <w:r>
        <w:rPr>
          <w:color w:val="6F6F6F"/>
          <w:sz w:val="18"/>
          <w:szCs w:val="18"/>
        </w:rPr>
        <w:t xml:space="preserve">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1"/>
      </w:tblGrid>
      <w:tr w:rsidR="00A45935" w:rsidRPr="00E05D08" w:rsidTr="00773793">
        <w:trPr>
          <w:tblHeader/>
        </w:trPr>
        <w:tc>
          <w:tcPr>
            <w:tcW w:w="2405"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Methoden</w:t>
            </w:r>
          </w:p>
        </w:tc>
        <w:tc>
          <w:tcPr>
            <w:tcW w:w="6612"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Tipps zur Verwendung der Methoden</w:t>
            </w:r>
          </w:p>
        </w:tc>
      </w:tr>
      <w:tr w:rsidR="00A45935" w:rsidRPr="00E05D08" w:rsidTr="00E05D08">
        <w:tc>
          <w:tcPr>
            <w:tcW w:w="2405" w:type="dxa"/>
          </w:tcPr>
          <w:p w:rsidR="00A45935" w:rsidRPr="00385368" w:rsidRDefault="00A45935" w:rsidP="000E0FE4">
            <w:pPr>
              <w:spacing w:after="120" w:line="280" w:lineRule="atLeast"/>
              <w:ind w:left="22" w:right="91"/>
              <w:mirrorIndents/>
              <w:jc w:val="left"/>
              <w:rPr>
                <w:sz w:val="18"/>
                <w:szCs w:val="18"/>
              </w:rPr>
            </w:pPr>
            <w:r>
              <w:rPr>
                <w:sz w:val="18"/>
                <w:szCs w:val="18"/>
              </w:rPr>
              <w:t>Umfrage zu Kooperationsprojekten und Endbegünstigten</w:t>
            </w:r>
          </w:p>
        </w:tc>
        <w:tc>
          <w:tcPr>
            <w:tcW w:w="6612" w:type="dxa"/>
          </w:tcPr>
          <w:p w:rsidR="00A45935" w:rsidRPr="00385368" w:rsidRDefault="00A45935" w:rsidP="008C0B17">
            <w:pPr>
              <w:numPr>
                <w:ilvl w:val="0"/>
                <w:numId w:val="21"/>
              </w:numPr>
              <w:spacing w:before="60" w:after="120" w:line="280" w:lineRule="atLeast"/>
              <w:ind w:left="459"/>
              <w:rPr>
                <w:sz w:val="18"/>
                <w:szCs w:val="18"/>
              </w:rPr>
            </w:pPr>
            <w:r>
              <w:rPr>
                <w:sz w:val="18"/>
                <w:szCs w:val="18"/>
              </w:rPr>
              <w:t>Auswahl einer Stichprobe von Kooperationsprojekten (z. B. nach Wirtschaftszweig, Größe der operationellen Gruppe, Geografie usw.), um von den Begünstigten im Rahmen einer Umfrage Daten und Informationen zu den Indikatoren zu erfassen.</w:t>
            </w:r>
          </w:p>
          <w:p w:rsidR="00A45935" w:rsidRPr="00385368" w:rsidRDefault="00A45935" w:rsidP="008C0B17">
            <w:pPr>
              <w:numPr>
                <w:ilvl w:val="0"/>
                <w:numId w:val="21"/>
              </w:numPr>
              <w:spacing w:before="60" w:after="120" w:line="280" w:lineRule="atLeast"/>
              <w:ind w:left="459"/>
              <w:rPr>
                <w:sz w:val="18"/>
                <w:szCs w:val="18"/>
              </w:rPr>
            </w:pPr>
            <w:r>
              <w:rPr>
                <w:sz w:val="18"/>
                <w:szCs w:val="18"/>
              </w:rPr>
              <w:t>Unter anderem Auswahl von Kooperationsprojekten mit möglichen Auswirkungen auf das Umweltmanagement und die Umweltleistung (z. B. Teilmaßnahmen 5, 6, 8 und 9 oder operationelle Gruppen in diesem Bereich – M16.1).</w:t>
            </w:r>
          </w:p>
          <w:p w:rsidR="00A45935" w:rsidRPr="00385368" w:rsidRDefault="00A45935" w:rsidP="008C0B17">
            <w:pPr>
              <w:numPr>
                <w:ilvl w:val="0"/>
                <w:numId w:val="21"/>
              </w:numPr>
              <w:spacing w:before="60" w:after="120" w:line="280" w:lineRule="atLeast"/>
              <w:ind w:left="459"/>
              <w:rPr>
                <w:sz w:val="18"/>
                <w:szCs w:val="18"/>
              </w:rPr>
            </w:pPr>
            <w:r>
              <w:rPr>
                <w:sz w:val="18"/>
                <w:szCs w:val="18"/>
              </w:rPr>
              <w:t>Erarbeitung der Umfragen einschließlich offener Fragen zu dem Beitrag der Kooperationsprojekte in folgenden Bereichen: a) Austausch innovativer Ideen, b) Verbesserung der Innovationsfähigkeit, c) Schaffung eines innovationsfördernden Umfelds.</w:t>
            </w:r>
          </w:p>
          <w:p w:rsidR="00A45935" w:rsidRPr="00385368" w:rsidRDefault="00A45935" w:rsidP="008C0B17">
            <w:pPr>
              <w:numPr>
                <w:ilvl w:val="0"/>
                <w:numId w:val="21"/>
              </w:numPr>
              <w:spacing w:before="60" w:after="120" w:line="280" w:lineRule="atLeast"/>
              <w:ind w:left="459"/>
            </w:pPr>
            <w:r>
              <w:rPr>
                <w:sz w:val="18"/>
                <w:szCs w:val="18"/>
              </w:rPr>
              <w:t>Nutzung der Umfrageergebnisse, um zu prüfen, wie verschiedene Arten von Kooperationsprojekten (Zusammenarbeit zwischen den verschiedenen Akteuren, Clustern/Netzwerken und operationellen Gruppen) zu stärkeren Verbindungen zwischen Forschung/Innovation und Praxis beitragen.</w:t>
            </w:r>
          </w:p>
        </w:tc>
      </w:tr>
      <w:tr w:rsidR="00A45935" w:rsidRPr="00E05D08" w:rsidTr="00E05D08">
        <w:tc>
          <w:tcPr>
            <w:tcW w:w="2405" w:type="dxa"/>
          </w:tcPr>
          <w:p w:rsidR="00A45935" w:rsidRPr="00E05D08" w:rsidRDefault="00A45935" w:rsidP="000E0FE4">
            <w:pPr>
              <w:spacing w:after="120" w:line="280" w:lineRule="atLeast"/>
              <w:ind w:left="22" w:right="143"/>
              <w:mirrorIndents/>
              <w:jc w:val="left"/>
              <w:rPr>
                <w:sz w:val="18"/>
                <w:szCs w:val="18"/>
              </w:rPr>
            </w:pPr>
            <w:r>
              <w:rPr>
                <w:sz w:val="18"/>
                <w:szCs w:val="18"/>
              </w:rPr>
              <w:t>Strukturierte Fokusgruppen</w:t>
            </w:r>
          </w:p>
        </w:tc>
        <w:tc>
          <w:tcPr>
            <w:tcW w:w="6612" w:type="dxa"/>
          </w:tcPr>
          <w:p w:rsidR="00A45935" w:rsidRPr="00385368" w:rsidRDefault="00A45935" w:rsidP="008C0B17">
            <w:pPr>
              <w:numPr>
                <w:ilvl w:val="0"/>
                <w:numId w:val="22"/>
              </w:numPr>
              <w:spacing w:before="60" w:after="120" w:line="280" w:lineRule="atLeast"/>
              <w:ind w:left="459"/>
              <w:rPr>
                <w:sz w:val="18"/>
                <w:szCs w:val="18"/>
              </w:rPr>
            </w:pPr>
            <w:r>
              <w:rPr>
                <w:sz w:val="18"/>
                <w:szCs w:val="18"/>
              </w:rPr>
              <w:t>Durchführung von Fokusgruppen mit Innovationsakteuren (z. B. Dienste zur Innovationsförderung, als Innovationsvermittler agierende Berater, Forscher und Innovationszentren usw.).</w:t>
            </w:r>
          </w:p>
          <w:p w:rsidR="00A45935" w:rsidRPr="00385368" w:rsidRDefault="00A45935" w:rsidP="008C0B17">
            <w:pPr>
              <w:numPr>
                <w:ilvl w:val="0"/>
                <w:numId w:val="22"/>
              </w:numPr>
              <w:spacing w:before="60" w:after="120" w:line="280" w:lineRule="atLeast"/>
              <w:ind w:left="459"/>
              <w:rPr>
                <w:sz w:val="18"/>
                <w:szCs w:val="18"/>
              </w:rPr>
            </w:pPr>
            <w:r>
              <w:rPr>
                <w:sz w:val="18"/>
                <w:szCs w:val="18"/>
              </w:rPr>
              <w:lastRenderedPageBreak/>
              <w:t>Analyse, wie die Verbindungen zwischen Akteuren die Innovationsfähigkeit und die Fähigkeit zur Schaffung eines innovationsfördernden Umfelds beeinflussen.</w:t>
            </w:r>
          </w:p>
          <w:p w:rsidR="00A45935" w:rsidRPr="00385368" w:rsidRDefault="00A45935" w:rsidP="008C0B17">
            <w:pPr>
              <w:numPr>
                <w:ilvl w:val="0"/>
                <w:numId w:val="22"/>
              </w:numPr>
              <w:spacing w:before="60" w:after="120" w:line="280" w:lineRule="atLeast"/>
              <w:ind w:left="459"/>
              <w:rPr>
                <w:sz w:val="18"/>
                <w:szCs w:val="18"/>
              </w:rPr>
            </w:pPr>
            <w:r>
              <w:rPr>
                <w:sz w:val="18"/>
                <w:szCs w:val="18"/>
              </w:rPr>
              <w:t>Prüfung der Möglichkeit von thematischen Fokusgruppen (z. B. eine Fokusgruppe für Kooperationsprojekte, die sich mit Umweltthemen befasst, eine andere für operationelle Gruppen der EIP usw.).</w:t>
            </w:r>
          </w:p>
        </w:tc>
      </w:tr>
      <w:tr w:rsidR="00A45935" w:rsidRPr="00E05D08" w:rsidTr="00E05D08">
        <w:tc>
          <w:tcPr>
            <w:tcW w:w="2405" w:type="dxa"/>
          </w:tcPr>
          <w:p w:rsidR="00A45935" w:rsidRPr="00E05D08" w:rsidRDefault="00A45935" w:rsidP="000E0FE4">
            <w:pPr>
              <w:spacing w:after="120" w:line="280" w:lineRule="atLeast"/>
              <w:ind w:right="143"/>
              <w:mirrorIndents/>
              <w:jc w:val="left"/>
              <w:rPr>
                <w:sz w:val="18"/>
                <w:szCs w:val="18"/>
              </w:rPr>
            </w:pPr>
            <w:r>
              <w:rPr>
                <w:sz w:val="18"/>
                <w:szCs w:val="18"/>
              </w:rPr>
              <w:lastRenderedPageBreak/>
              <w:t>Delphi-Methode</w:t>
            </w:r>
          </w:p>
        </w:tc>
        <w:tc>
          <w:tcPr>
            <w:tcW w:w="6612" w:type="dxa"/>
          </w:tcPr>
          <w:p w:rsidR="00A45935" w:rsidRPr="00385368" w:rsidRDefault="0050721E" w:rsidP="008C0B17">
            <w:pPr>
              <w:numPr>
                <w:ilvl w:val="0"/>
                <w:numId w:val="23"/>
              </w:numPr>
              <w:spacing w:before="60" w:after="120" w:line="280" w:lineRule="atLeast"/>
              <w:ind w:left="459"/>
              <w:rPr>
                <w:sz w:val="18"/>
                <w:szCs w:val="18"/>
              </w:rPr>
            </w:pPr>
            <w:r>
              <w:rPr>
                <w:sz w:val="18"/>
                <w:szCs w:val="18"/>
              </w:rPr>
              <w:t>Organisation eines Delphi-Verfahrens mit Innovationsexperten (z. B. Beteiligte an Kooperationsprojekten, aber auch Wissenschaftler usw.), in dessen Rahmen die maßgeblichen Kriterien beurteilt werden.</w:t>
            </w:r>
          </w:p>
        </w:tc>
      </w:tr>
    </w:tbl>
    <w:p w:rsidR="00A45935" w:rsidRPr="00E05D08" w:rsidRDefault="00A45935" w:rsidP="00E05D08">
      <w:pPr>
        <w:spacing w:after="0" w:line="240" w:lineRule="auto"/>
        <w:rPr>
          <w:rFonts w:eastAsia="Times New Roman" w:cs="Times New Roman"/>
          <w:sz w:val="18"/>
          <w:szCs w:val="24"/>
        </w:rPr>
      </w:pPr>
    </w:p>
    <w:p w:rsidR="00A45935" w:rsidRPr="00E05D08" w:rsidRDefault="00A45935" w:rsidP="00E05D08">
      <w:pPr>
        <w:spacing w:after="120" w:line="280" w:lineRule="atLeast"/>
        <w:mirrorIndents/>
        <w:rPr>
          <w:rFonts w:eastAsia="Times New Roman" w:cs="Times New Roman"/>
          <w:szCs w:val="20"/>
        </w:rPr>
      </w:pPr>
      <w:r w:rsidRPr="00E05D08">
        <w:rPr>
          <w:rFonts w:eastAsia="Times New Roman" w:cs="Times New Roman"/>
          <w:noProof/>
          <w:sz w:val="18"/>
          <w:szCs w:val="24"/>
          <w:lang w:val="en-GB" w:eastAsia="en-GB"/>
        </w:rPr>
        <mc:AlternateContent>
          <mc:Choice Requires="wps">
            <w:drawing>
              <wp:inline distT="0" distB="0" distL="0" distR="0" wp14:anchorId="60BF3A33" wp14:editId="2328B349">
                <wp:extent cx="5707380" cy="5095875"/>
                <wp:effectExtent l="0" t="0" r="26670" b="28575"/>
                <wp:docPr id="26" name="Rectangle: Diagonal Corners Rounded 26"/>
                <wp:cNvGraphicFramePr/>
                <a:graphic xmlns:a="http://schemas.openxmlformats.org/drawingml/2006/main">
                  <a:graphicData uri="http://schemas.microsoft.com/office/word/2010/wordprocessingShape">
                    <wps:wsp>
                      <wps:cNvSpPr/>
                      <wps:spPr>
                        <a:xfrm>
                          <a:off x="0" y="0"/>
                          <a:ext cx="5707380" cy="5095875"/>
                        </a:xfrm>
                        <a:prstGeom prst="round2DiagRect">
                          <a:avLst>
                            <a:gd name="adj1" fmla="val 7299"/>
                            <a:gd name="adj2" fmla="val 0"/>
                          </a:avLst>
                        </a:prstGeom>
                        <a:noFill/>
                        <a:ln w="25400" cap="flat" cmpd="sng" algn="ctr">
                          <a:solidFill>
                            <a:srgbClr val="F07E31"/>
                          </a:solidFill>
                          <a:prstDash val="solid"/>
                        </a:ln>
                        <a:effectLst/>
                      </wps:spPr>
                      <wps:txbx>
                        <w:txbxContent>
                          <w:p w:rsidR="00533F8C" w:rsidRPr="001954EB" w:rsidRDefault="00533F8C" w:rsidP="00E05D08">
                            <w:pPr>
                              <w:pStyle w:val="HStandard"/>
                              <w:rPr>
                                <w:b/>
                                <w:color w:val="F07E31"/>
                                <w:sz w:val="18"/>
                                <w:szCs w:val="18"/>
                              </w:rPr>
                            </w:pPr>
                            <w:r w:rsidRPr="000041C9">
                              <w:rPr>
                                <w:noProof/>
                                <w:sz w:val="18"/>
                                <w:szCs w:val="18"/>
                                <w:lang w:val="en-GB" w:eastAsia="en-GB"/>
                              </w:rPr>
                              <w:drawing>
                                <wp:inline distT="0" distB="0" distL="0" distR="0" wp14:anchorId="4464D161" wp14:editId="6AC14B34">
                                  <wp:extent cx="353060" cy="359410"/>
                                  <wp:effectExtent l="0" t="0" r="8890" b="2540"/>
                                  <wp:docPr id="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Beispiele aus den jährlichen Durchführungsberichten von 2017</w:t>
                            </w:r>
                          </w:p>
                          <w:p w:rsidR="00533F8C" w:rsidRPr="00547012" w:rsidRDefault="00533F8C" w:rsidP="00E05D08">
                            <w:pPr>
                              <w:rPr>
                                <w:rFonts w:cs="Arial"/>
                                <w:sz w:val="18"/>
                                <w:szCs w:val="18"/>
                              </w:rPr>
                            </w:pPr>
                            <w:r>
                              <w:rPr>
                                <w:b/>
                                <w:sz w:val="18"/>
                                <w:szCs w:val="18"/>
                              </w:rPr>
                              <w:t xml:space="preserve">Mecklenburg-Vorpommern (DE) </w:t>
                            </w:r>
                            <w:r>
                              <w:rPr>
                                <w:sz w:val="18"/>
                                <w:szCs w:val="18"/>
                              </w:rPr>
                              <w:t>– verwendet drei Beurteilungskriterien im Zusammenhang mit Innovation:</w:t>
                            </w:r>
                          </w:p>
                          <w:p w:rsidR="00533F8C" w:rsidRPr="001954EB" w:rsidRDefault="00533F8C" w:rsidP="008C0B17">
                            <w:pPr>
                              <w:numPr>
                                <w:ilvl w:val="0"/>
                                <w:numId w:val="57"/>
                              </w:numPr>
                              <w:rPr>
                                <w:rFonts w:cs="Arial"/>
                                <w:sz w:val="18"/>
                                <w:szCs w:val="18"/>
                              </w:rPr>
                            </w:pPr>
                            <w:r>
                              <w:rPr>
                                <w:sz w:val="18"/>
                                <w:szCs w:val="18"/>
                              </w:rPr>
                              <w:t xml:space="preserve">die durch die Programme zur Entwicklung des ländlichen Raums unterstützten Verfahren sind innovativ und stützen sich auf gewonnene Erkenntnisse, </w:t>
                            </w:r>
                          </w:p>
                          <w:p w:rsidR="00533F8C" w:rsidRPr="001954EB" w:rsidRDefault="00533F8C" w:rsidP="008C0B17">
                            <w:pPr>
                              <w:numPr>
                                <w:ilvl w:val="0"/>
                                <w:numId w:val="57"/>
                              </w:numPr>
                              <w:rPr>
                                <w:rFonts w:cs="Arial"/>
                                <w:sz w:val="18"/>
                                <w:szCs w:val="18"/>
                              </w:rPr>
                            </w:pPr>
                            <w:r>
                              <w:rPr>
                                <w:sz w:val="18"/>
                                <w:szCs w:val="18"/>
                              </w:rPr>
                              <w:t>innovative Maßnahmen werden von operationellen Gruppen umgesetzt und verbreitet,</w:t>
                            </w:r>
                          </w:p>
                          <w:p w:rsidR="00533F8C" w:rsidRPr="001954EB" w:rsidRDefault="00533F8C" w:rsidP="008C0B17">
                            <w:pPr>
                              <w:numPr>
                                <w:ilvl w:val="0"/>
                                <w:numId w:val="57"/>
                              </w:numPr>
                              <w:rPr>
                                <w:rFonts w:cs="Arial"/>
                                <w:sz w:val="18"/>
                                <w:szCs w:val="18"/>
                              </w:rPr>
                            </w:pPr>
                            <w:r>
                              <w:rPr>
                                <w:sz w:val="18"/>
                                <w:szCs w:val="18"/>
                              </w:rPr>
                              <w:t>die erzielten Ergebnisse verbessern durch Innovation die Marktstellung der beteiligten Partner.</w:t>
                            </w:r>
                          </w:p>
                          <w:p w:rsidR="00533F8C" w:rsidRPr="00547012" w:rsidRDefault="00533F8C" w:rsidP="00E05D08">
                            <w:pPr>
                              <w:rPr>
                                <w:rFonts w:cs="Arial"/>
                                <w:sz w:val="18"/>
                                <w:szCs w:val="18"/>
                              </w:rPr>
                            </w:pPr>
                            <w:r>
                              <w:rPr>
                                <w:sz w:val="18"/>
                                <w:szCs w:val="18"/>
                              </w:rPr>
                              <w:t>Zur Erfassung von Informationen von den operationellen Gruppen der EIP werden verschiedene Methoden eingesetzt. Diese beziehen sich auf unterschiedliche Dimensionen von Innovationen und dienen der Beurteilung der Qualität und Wirkungen von operationellen Gruppen:</w:t>
                            </w:r>
                          </w:p>
                          <w:p w:rsidR="00533F8C" w:rsidRPr="001954EB" w:rsidRDefault="00533F8C" w:rsidP="008C0B17">
                            <w:pPr>
                              <w:numPr>
                                <w:ilvl w:val="0"/>
                                <w:numId w:val="58"/>
                              </w:numPr>
                              <w:rPr>
                                <w:rFonts w:cs="Arial"/>
                                <w:sz w:val="18"/>
                                <w:szCs w:val="18"/>
                              </w:rPr>
                            </w:pPr>
                            <w:r>
                              <w:rPr>
                                <w:sz w:val="18"/>
                                <w:szCs w:val="18"/>
                              </w:rPr>
                              <w:t>Baseline-Analyse (Bewertung der Rahmenbedingungen, Befragung von Akteuren usw.);</w:t>
                            </w:r>
                          </w:p>
                          <w:p w:rsidR="00533F8C" w:rsidRPr="001954EB" w:rsidRDefault="00533F8C" w:rsidP="008C0B17">
                            <w:pPr>
                              <w:numPr>
                                <w:ilvl w:val="0"/>
                                <w:numId w:val="58"/>
                              </w:numPr>
                              <w:rPr>
                                <w:rFonts w:cs="Arial"/>
                                <w:sz w:val="18"/>
                                <w:szCs w:val="18"/>
                              </w:rPr>
                            </w:pPr>
                            <w:r>
                              <w:rPr>
                                <w:sz w:val="18"/>
                                <w:szCs w:val="18"/>
                              </w:rPr>
                              <w:t xml:space="preserve">Bewertung der Innovationsmerkmale und -arten durch eine Analyse der Auswahlkriterien und mittels Fallstudien; </w:t>
                            </w:r>
                          </w:p>
                          <w:p w:rsidR="00533F8C" w:rsidRPr="001954EB" w:rsidRDefault="00533F8C" w:rsidP="008C0B17">
                            <w:pPr>
                              <w:numPr>
                                <w:ilvl w:val="0"/>
                                <w:numId w:val="58"/>
                              </w:numPr>
                              <w:rPr>
                                <w:rFonts w:cs="Arial"/>
                                <w:sz w:val="18"/>
                                <w:szCs w:val="18"/>
                              </w:rPr>
                            </w:pPr>
                            <w:r>
                              <w:rPr>
                                <w:sz w:val="18"/>
                                <w:szCs w:val="18"/>
                              </w:rPr>
                              <w:t>Analyse der erreichten Ergebnisse und ihrer Verbreitung (Umfrage und Selbstevaluierungen der operationellen Gruppen).</w:t>
                            </w:r>
                          </w:p>
                          <w:p w:rsidR="00533F8C" w:rsidRPr="00547012" w:rsidRDefault="00533F8C" w:rsidP="00E05D08">
                            <w:pPr>
                              <w:rPr>
                                <w:rFonts w:cs="Arial"/>
                                <w:sz w:val="18"/>
                                <w:szCs w:val="18"/>
                              </w:rPr>
                            </w:pPr>
                            <w:r>
                              <w:rPr>
                                <w:sz w:val="18"/>
                                <w:szCs w:val="18"/>
                              </w:rPr>
                              <w:t xml:space="preserve">Zu den Daten- und Informationsquellen gehören Begleitungsdaten, Antragsformulare, Projektunterlagen, in Umfragen gesammelte primärstatistische Daten und sekundärstatistische Daten unterschiedlicher Quellen. </w:t>
                            </w:r>
                          </w:p>
                          <w:p w:rsidR="00533F8C" w:rsidRPr="00547012" w:rsidRDefault="00533F8C" w:rsidP="00E05D08">
                            <w:pPr>
                              <w:rPr>
                                <w:rFonts w:cs="Arial"/>
                                <w:sz w:val="18"/>
                                <w:szCs w:val="18"/>
                              </w:rPr>
                            </w:pPr>
                            <w:r>
                              <w:rPr>
                                <w:sz w:val="18"/>
                                <w:szCs w:val="18"/>
                              </w:rPr>
                              <w:t xml:space="preserve">Die Umfrage unter Begünstigten (operationelle Gruppen der EIP) wird vor und nach der Intervention durchgeführt. </w:t>
                            </w:r>
                          </w:p>
                          <w:p w:rsidR="00533F8C" w:rsidRPr="001954EB" w:rsidRDefault="00533F8C" w:rsidP="00E05D08">
                            <w:pPr>
                              <w:pStyle w:val="HStandard"/>
                              <w:rPr>
                                <w:sz w:val="18"/>
                                <w:szCs w:val="18"/>
                              </w:rPr>
                            </w:pPr>
                            <w:r>
                              <w:rPr>
                                <w:b/>
                                <w:sz w:val="18"/>
                                <w:szCs w:val="18"/>
                              </w:rPr>
                              <w:t xml:space="preserve">Tschechische Republik </w:t>
                            </w:r>
                            <w:r>
                              <w:rPr>
                                <w:sz w:val="18"/>
                                <w:szCs w:val="18"/>
                              </w:rPr>
                              <w:t>– verfolgt einen Ansatz, bei dem Informationen von operationellen Gruppen und Kooperationsprojekten im Bereich der Innovation auf der Grundlage von Fallstudien eingeholt werden.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BF3A33" id="Rectangle: Diagonal Corners Rounded 26" o:spid="_x0000_s1048" style="width:449.4pt;height:401.25pt;visibility:visible;mso-wrap-style:square;mso-left-percent:-10001;mso-top-percent:-10001;mso-position-horizontal:absolute;mso-position-horizontal-relative:char;mso-position-vertical:absolute;mso-position-vertical-relative:line;mso-left-percent:-10001;mso-top-percent:-10001;v-text-anchor:middle" coordsize="5707380,5095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" adj="-11796480,,5400" path="m371948,l5707380,r,l5707380,4723927v,205421,-166527,371948,-371948,371948l,5095875r,l,371948c,166527,166527,,371948,xe" filled="f" strokecolor="#f07e31" strokeweight="2pt">
                <v:stroke joinstyle="miter"/>
                <v:formulas/>
                <v:path arrowok="t" o:connecttype="custom" o:connectlocs="371948,0;5707380,0;5707380,0;5707380,4723927;5335432,5095875;0,5095875;0,5095875;0,371948;371948,0" o:connectangles="0,0,0,0,0,0,0,0,0" textboxrect="0,0,5707380,5095875"/>
                <v:textbox>
                  <w:txbxContent>
                    <w:p w:rsidR="00533F8C" w:rsidRPr="001954EB" w:rsidRDefault="00533F8C" w:rsidP="00E05D08">
                      <w:pPr>
                        <w:pStyle w:val="HStandard"/>
                        <w:rPr>
                          <w:b/>
                          <w:color w:val="F07E31"/>
                          <w:sz w:val="18"/>
                          <w:szCs w:val="18"/>
                        </w:rPr>
                      </w:pPr>
                      <w:r w:rsidRPr="000041C9">
                        <w:rPr>
                          <w:noProof/>
                          <w:sz w:val="18"/>
                          <w:szCs w:val="18"/>
                          <w:lang w:val="en-GB" w:eastAsia="en-GB"/>
                        </w:rPr>
                        <w:drawing>
                          <wp:inline distT="0" distB="0" distL="0" distR="0" wp14:anchorId="4464D161" wp14:editId="6AC14B34">
                            <wp:extent cx="353060" cy="359410"/>
                            <wp:effectExtent l="0" t="0" r="8890" b="2540"/>
                            <wp:docPr id="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Beispiele aus den jährlichen Durchführungsberichten von 2017</w:t>
                      </w:r>
                    </w:p>
                    <w:p w:rsidR="00533F8C" w:rsidRPr="00547012" w:rsidRDefault="00533F8C" w:rsidP="00E05D08">
                      <w:pPr>
                        <w:rPr>
                          <w:rFonts w:cs="Arial"/>
                          <w:sz w:val="18"/>
                          <w:szCs w:val="18"/>
                        </w:rPr>
                      </w:pPr>
                      <w:r>
                        <w:rPr>
                          <w:b/>
                          <w:sz w:val="18"/>
                          <w:szCs w:val="18"/>
                        </w:rPr>
                        <w:t xml:space="preserve">Mecklenburg-Vorpommern (DE) </w:t>
                      </w:r>
                      <w:r>
                        <w:rPr>
                          <w:sz w:val="18"/>
                          <w:szCs w:val="18"/>
                        </w:rPr>
                        <w:t>– verwendet drei Beurteilungskriterien im Zusammenhang mit Innovation:</w:t>
                      </w:r>
                    </w:p>
                    <w:p w:rsidR="00533F8C" w:rsidRPr="001954EB" w:rsidRDefault="00533F8C" w:rsidP="008C0B17">
                      <w:pPr>
                        <w:numPr>
                          <w:ilvl w:val="0"/>
                          <w:numId w:val="57"/>
                        </w:numPr>
                        <w:rPr>
                          <w:rFonts w:cs="Arial"/>
                          <w:sz w:val="18"/>
                          <w:szCs w:val="18"/>
                        </w:rPr>
                      </w:pPr>
                      <w:r>
                        <w:rPr>
                          <w:sz w:val="18"/>
                          <w:szCs w:val="18"/>
                        </w:rPr>
                        <w:t xml:space="preserve">die durch die Programme zur Entwicklung des ländlichen Raums unterstützten Verfahren sind innovativ und stützen sich auf gewonnene Erkenntnisse, </w:t>
                      </w:r>
                    </w:p>
                    <w:p w:rsidR="00533F8C" w:rsidRPr="001954EB" w:rsidRDefault="00533F8C" w:rsidP="008C0B17">
                      <w:pPr>
                        <w:numPr>
                          <w:ilvl w:val="0"/>
                          <w:numId w:val="57"/>
                        </w:numPr>
                        <w:rPr>
                          <w:rFonts w:cs="Arial"/>
                          <w:sz w:val="18"/>
                          <w:szCs w:val="18"/>
                        </w:rPr>
                      </w:pPr>
                      <w:r>
                        <w:rPr>
                          <w:sz w:val="18"/>
                          <w:szCs w:val="18"/>
                        </w:rPr>
                        <w:t>innovative Maßnahmen werden von operationellen Gruppen umgesetzt und verbreitet,</w:t>
                      </w:r>
                    </w:p>
                    <w:p w:rsidR="00533F8C" w:rsidRPr="001954EB" w:rsidRDefault="00533F8C" w:rsidP="008C0B17">
                      <w:pPr>
                        <w:numPr>
                          <w:ilvl w:val="0"/>
                          <w:numId w:val="57"/>
                        </w:numPr>
                        <w:rPr>
                          <w:rFonts w:cs="Arial"/>
                          <w:sz w:val="18"/>
                          <w:szCs w:val="18"/>
                        </w:rPr>
                      </w:pPr>
                      <w:r>
                        <w:rPr>
                          <w:sz w:val="18"/>
                          <w:szCs w:val="18"/>
                        </w:rPr>
                        <w:t>die erzielten Ergebnisse verbessern durch Innovation die Marktstellung der beteiligten Partner.</w:t>
                      </w:r>
                    </w:p>
                    <w:p w:rsidR="00533F8C" w:rsidRPr="00547012" w:rsidRDefault="00533F8C" w:rsidP="00E05D08">
                      <w:pPr>
                        <w:rPr>
                          <w:rFonts w:cs="Arial"/>
                          <w:sz w:val="18"/>
                          <w:szCs w:val="18"/>
                        </w:rPr>
                      </w:pPr>
                      <w:r>
                        <w:rPr>
                          <w:sz w:val="18"/>
                          <w:szCs w:val="18"/>
                        </w:rPr>
                        <w:t>Zur Erfassung von Informationen von den operationellen Gruppen der EIP werden verschiedene Methoden eingesetzt. Diese beziehen sich auf unterschiedliche Dimensionen von Innovationen und dienen der Beurteilung der Qualität und Wirkungen von operationellen Gruppen:</w:t>
                      </w:r>
                    </w:p>
                    <w:p w:rsidR="00533F8C" w:rsidRPr="001954EB" w:rsidRDefault="00533F8C" w:rsidP="008C0B17">
                      <w:pPr>
                        <w:numPr>
                          <w:ilvl w:val="0"/>
                          <w:numId w:val="58"/>
                        </w:numPr>
                        <w:rPr>
                          <w:rFonts w:cs="Arial"/>
                          <w:sz w:val="18"/>
                          <w:szCs w:val="18"/>
                        </w:rPr>
                      </w:pPr>
                      <w:r>
                        <w:rPr>
                          <w:sz w:val="18"/>
                          <w:szCs w:val="18"/>
                        </w:rPr>
                        <w:t>Baseline-Analyse (Bewertung der Rahmenbedingungen, Befragung von Akteuren usw.);</w:t>
                      </w:r>
                    </w:p>
                    <w:p w:rsidR="00533F8C" w:rsidRPr="001954EB" w:rsidRDefault="00533F8C" w:rsidP="008C0B17">
                      <w:pPr>
                        <w:numPr>
                          <w:ilvl w:val="0"/>
                          <w:numId w:val="58"/>
                        </w:numPr>
                        <w:rPr>
                          <w:rFonts w:cs="Arial"/>
                          <w:sz w:val="18"/>
                          <w:szCs w:val="18"/>
                        </w:rPr>
                      </w:pPr>
                      <w:r>
                        <w:rPr>
                          <w:sz w:val="18"/>
                          <w:szCs w:val="18"/>
                        </w:rPr>
                        <w:t xml:space="preserve">Bewertung der Innovationsmerkmale und -arten durch eine Analyse der Auswahlkriterien und mittels Fallstudien; </w:t>
                      </w:r>
                    </w:p>
                    <w:p w:rsidR="00533F8C" w:rsidRPr="001954EB" w:rsidRDefault="00533F8C" w:rsidP="008C0B17">
                      <w:pPr>
                        <w:numPr>
                          <w:ilvl w:val="0"/>
                          <w:numId w:val="58"/>
                        </w:numPr>
                        <w:rPr>
                          <w:rFonts w:cs="Arial"/>
                          <w:sz w:val="18"/>
                          <w:szCs w:val="18"/>
                        </w:rPr>
                      </w:pPr>
                      <w:r>
                        <w:rPr>
                          <w:sz w:val="18"/>
                          <w:szCs w:val="18"/>
                        </w:rPr>
                        <w:t>Analyse der erreichten Ergebnisse und ihrer Verbreitung (Umfrage und Selbstevaluierungen der operationellen Gruppen).</w:t>
                      </w:r>
                    </w:p>
                    <w:p w:rsidR="00533F8C" w:rsidRPr="00547012" w:rsidRDefault="00533F8C" w:rsidP="00E05D08">
                      <w:pPr>
                        <w:rPr>
                          <w:rFonts w:cs="Arial"/>
                          <w:sz w:val="18"/>
                          <w:szCs w:val="18"/>
                        </w:rPr>
                      </w:pPr>
                      <w:r>
                        <w:rPr>
                          <w:sz w:val="18"/>
                          <w:szCs w:val="18"/>
                        </w:rPr>
                        <w:t xml:space="preserve">Zu den Daten- und Informationsquellen gehören Begleitungsdaten, Antragsformulare, Projektunterlagen, in Umfragen gesammelte primärstatistische Daten und sekundärstatistische Daten unterschiedlicher Quellen. </w:t>
                      </w:r>
                    </w:p>
                    <w:p w:rsidR="00533F8C" w:rsidRPr="00547012" w:rsidRDefault="00533F8C" w:rsidP="00E05D08">
                      <w:pPr>
                        <w:rPr>
                          <w:rFonts w:cs="Arial"/>
                          <w:sz w:val="18"/>
                          <w:szCs w:val="18"/>
                        </w:rPr>
                      </w:pPr>
                      <w:r>
                        <w:rPr>
                          <w:sz w:val="18"/>
                          <w:szCs w:val="18"/>
                        </w:rPr>
                        <w:t xml:space="preserve">Die Umfrage unter Begünstigten (operationelle Gruppen der EIP) wird vor und nach der Intervention durchgeführt. </w:t>
                      </w:r>
                    </w:p>
                    <w:p w:rsidR="00533F8C" w:rsidRPr="001954EB" w:rsidRDefault="00533F8C" w:rsidP="00E05D08">
                      <w:pPr>
                        <w:pStyle w:val="HStandard"/>
                        <w:rPr>
                          <w:sz w:val="18"/>
                          <w:szCs w:val="18"/>
                        </w:rPr>
                      </w:pPr>
                      <w:r>
                        <w:rPr>
                          <w:b/>
                          <w:sz w:val="18"/>
                          <w:szCs w:val="18"/>
                        </w:rPr>
                        <w:t xml:space="preserve">Tschechische Republik </w:t>
                      </w:r>
                      <w:r>
                        <w:rPr>
                          <w:sz w:val="18"/>
                          <w:szCs w:val="18"/>
                        </w:rPr>
                        <w:t>– verfolgt einen Ansatz, bei dem Informationen von operationellen Gruppen und Kooperationsprojekten im Bereich der Innovation auf der Grundlage von Fallstudien eingeholt werden.</w:t>
                      </w:r>
                    </w:p>
                  </w:txbxContent>
                </v:textbox>
                <w10:anchorlock/>
              </v:shape>
            </w:pict>
          </mc:Fallback>
        </mc:AlternateContent>
      </w:r>
    </w:p>
    <w:p w:rsidR="00A45935" w:rsidRPr="00E05D08" w:rsidRDefault="00A45935" w:rsidP="00647766">
      <w:pPr>
        <w:numPr>
          <w:ilvl w:val="0"/>
          <w:numId w:val="56"/>
        </w:numPr>
        <w:spacing w:before="120" w:after="120" w:line="280" w:lineRule="atLeast"/>
        <w:ind w:left="567" w:hanging="567"/>
        <w:mirrorIndents/>
        <w:rPr>
          <w:rFonts w:eastAsia="Times New Roman" w:cs="Times New Roman"/>
          <w:b/>
          <w:szCs w:val="20"/>
        </w:rPr>
      </w:pPr>
      <w:r>
        <w:rPr>
          <w:b/>
          <w:szCs w:val="20"/>
        </w:rPr>
        <w:t xml:space="preserve">Risiken und Lösungen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44"/>
        <w:gridCol w:w="5387"/>
      </w:tblGrid>
      <w:tr w:rsidR="00A45935" w:rsidRPr="00E05D08" w:rsidTr="00827FB4">
        <w:trPr>
          <w:tblHeader/>
        </w:trPr>
        <w:tc>
          <w:tcPr>
            <w:tcW w:w="3544"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Risiken</w:t>
            </w:r>
          </w:p>
        </w:tc>
        <w:tc>
          <w:tcPr>
            <w:tcW w:w="5387"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Lösungen</w:t>
            </w:r>
          </w:p>
        </w:tc>
      </w:tr>
      <w:tr w:rsidR="00A45935" w:rsidRPr="00E05D08" w:rsidTr="00E05D08">
        <w:tc>
          <w:tcPr>
            <w:tcW w:w="3544" w:type="dxa"/>
            <w:hideMark/>
          </w:tcPr>
          <w:p w:rsidR="00A45935" w:rsidRPr="00385368" w:rsidRDefault="00A45935" w:rsidP="00E05D08">
            <w:pPr>
              <w:spacing w:after="120" w:line="280" w:lineRule="atLeast"/>
              <w:ind w:left="22" w:right="33"/>
              <w:mirrorIndents/>
              <w:rPr>
                <w:sz w:val="18"/>
                <w:szCs w:val="18"/>
              </w:rPr>
            </w:pPr>
            <w:r>
              <w:rPr>
                <w:sz w:val="18"/>
                <w:szCs w:val="18"/>
              </w:rPr>
              <w:t xml:space="preserve">Für einige Indikatoren sind Daten unter Umständen erst nach dem Ende des Programmplanungszeitraums verfügbar (z. B. Zahl der Kooperationsvorhaben, die nach der Förderung im Rahmen des </w:t>
            </w:r>
            <w:r>
              <w:rPr>
                <w:sz w:val="18"/>
                <w:szCs w:val="18"/>
              </w:rPr>
              <w:lastRenderedPageBreak/>
              <w:t>Programms zur Entwicklung des ländlichen Raums fortgeführt werden).</w:t>
            </w:r>
          </w:p>
        </w:tc>
        <w:tc>
          <w:tcPr>
            <w:tcW w:w="5387" w:type="dxa"/>
            <w:hideMark/>
          </w:tcPr>
          <w:p w:rsidR="00A45935" w:rsidRPr="00385368" w:rsidRDefault="00A45935" w:rsidP="00E05D08">
            <w:pPr>
              <w:spacing w:after="120" w:line="280" w:lineRule="atLeast"/>
              <w:ind w:left="27" w:right="47"/>
              <w:mirrorIndents/>
              <w:rPr>
                <w:sz w:val="18"/>
                <w:szCs w:val="18"/>
              </w:rPr>
            </w:pPr>
            <w:r>
              <w:rPr>
                <w:sz w:val="18"/>
                <w:szCs w:val="18"/>
              </w:rPr>
              <w:lastRenderedPageBreak/>
              <w:t xml:space="preserve">Die Arten der geschaffenen Kooperationsstrukturen (Rechtsform, Zusammensetzung, Verpflichtungserklärung der Partner usw.) können mit einer qualitativen Bewertung analysiert werden (z. B. mithilfe von Fokusgruppen oder Befragungen der Partner der operationellen Gruppe). </w:t>
            </w:r>
          </w:p>
        </w:tc>
      </w:tr>
      <w:tr w:rsidR="00A45935" w:rsidRPr="00E05D08" w:rsidTr="00E05D08">
        <w:tc>
          <w:tcPr>
            <w:tcW w:w="3544" w:type="dxa"/>
          </w:tcPr>
          <w:p w:rsidR="00A45935" w:rsidRPr="00385368" w:rsidRDefault="00A45935" w:rsidP="00E05D08">
            <w:pPr>
              <w:spacing w:after="120" w:line="280" w:lineRule="atLeast"/>
              <w:ind w:left="22" w:right="33"/>
              <w:mirrorIndents/>
              <w:rPr>
                <w:sz w:val="18"/>
                <w:szCs w:val="18"/>
              </w:rPr>
            </w:pPr>
            <w:r>
              <w:rPr>
                <w:sz w:val="18"/>
                <w:szCs w:val="18"/>
              </w:rPr>
              <w:t xml:space="preserve">Erfassung von Informationen für bestimmte Indikatoren, die möglicherweise nicht in das System zur Begleitung von Programmen zur Entwicklung des ländlichen Raums einbezogen wurden (z. B. zusätzliche Indikatoren). </w:t>
            </w:r>
          </w:p>
        </w:tc>
        <w:tc>
          <w:tcPr>
            <w:tcW w:w="5387" w:type="dxa"/>
          </w:tcPr>
          <w:p w:rsidR="00A45935" w:rsidRPr="00385368" w:rsidRDefault="00A45935" w:rsidP="00E05D08">
            <w:pPr>
              <w:spacing w:after="120" w:line="280" w:lineRule="atLeast"/>
              <w:ind w:left="27" w:right="47"/>
              <w:mirrorIndents/>
              <w:rPr>
                <w:sz w:val="18"/>
                <w:szCs w:val="18"/>
              </w:rPr>
            </w:pPr>
            <w:r>
              <w:rPr>
                <w:sz w:val="18"/>
                <w:szCs w:val="18"/>
              </w:rPr>
              <w:t xml:space="preserve">Die Erfassung von Informationen kann mithilfe von Umfragen und Befragungen erfolgen. </w:t>
            </w:r>
          </w:p>
          <w:p w:rsidR="00A45935" w:rsidRPr="00385368" w:rsidRDefault="00A45935" w:rsidP="00E05D08">
            <w:pPr>
              <w:spacing w:after="120" w:line="280" w:lineRule="atLeast"/>
              <w:ind w:left="27" w:right="47"/>
              <w:mirrorIndents/>
              <w:rPr>
                <w:sz w:val="18"/>
                <w:szCs w:val="18"/>
              </w:rPr>
            </w:pPr>
            <w:r>
              <w:rPr>
                <w:sz w:val="18"/>
                <w:szCs w:val="18"/>
              </w:rPr>
              <w:t xml:space="preserve">Alternativ können die Verwaltungsbehörden prüfen, ob Daten zu zusätzlichen Indikatoren über die Vorhabendatenbank zur Verfügung gestellt werden können. </w:t>
            </w:r>
          </w:p>
        </w:tc>
      </w:tr>
    </w:tbl>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Schlussfolgerungen und Empfehlungen</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Mit den wichtigsten Schlussfolgerungen und Empfehlungen sollten mindestens die folgenden Politikfragen behandelt werden:</w:t>
      </w:r>
    </w:p>
    <w:p w:rsidR="00A45935" w:rsidRPr="00E54929" w:rsidRDefault="00A45935" w:rsidP="00547012">
      <w:pPr>
        <w:pStyle w:val="Hlistbullet"/>
        <w:rPr>
          <w:rFonts w:eastAsia="Calibri"/>
          <w:shd w:val="clear" w:color="auto" w:fill="FFFFFF"/>
        </w:rPr>
      </w:pPr>
      <w:r>
        <w:rPr>
          <w:b/>
          <w:shd w:val="clear" w:color="auto" w:fill="FFFFFF"/>
        </w:rPr>
        <w:t>Die Tendenz des Programms zur Entwicklung des ländlichen Raums, die Maßnahme „Zusammenarbeit“ zur Erkennung von Innovation in ländlichen Gebieten zu nutzen.</w:t>
      </w:r>
      <w:r>
        <w:rPr>
          <w:shd w:val="clear" w:color="auto" w:fill="FFFFFF"/>
        </w:rPr>
        <w:t xml:space="preserve"> Beispielsweise zeigt die Einrichtung einer operationellen Gruppe, dass eine innovative Idee erkannt wurde und durch eine Verknüpfung von Forschung und Praxis umgesetzt werden kann. Umfang, Inhalt und Dauer des von der operationellen Gruppe vorbereiteten und durchgeführten Projekts liefern zweckdienliche Informationen für weitere diesbezügliche Schlussfolgerungen.</w:t>
      </w:r>
    </w:p>
    <w:p w:rsidR="00A45935" w:rsidRPr="00E54929" w:rsidRDefault="00A45935" w:rsidP="00547012">
      <w:pPr>
        <w:pStyle w:val="Hlistbullet"/>
        <w:rPr>
          <w:rFonts w:eastAsia="Calibri"/>
          <w:shd w:val="clear" w:color="auto" w:fill="FFFFFF"/>
        </w:rPr>
      </w:pPr>
      <w:r>
        <w:rPr>
          <w:b/>
          <w:shd w:val="clear" w:color="auto" w:fill="FFFFFF"/>
        </w:rPr>
        <w:t>Die Auswirkungen der Kooperationsprojekte auf die Innovationsfähigkeit.</w:t>
      </w:r>
      <w:r>
        <w:rPr>
          <w:shd w:val="clear" w:color="auto" w:fill="FFFFFF"/>
        </w:rPr>
        <w:t xml:space="preserve"> Die Analyse der Zahl und Art von Kooperationsprojekten sowie der Beteiligung von Innovationsakteuren ermöglicht unter Umständen Schlussfolgerungen zu den Ergebnissen, die mit der Maßnahme „Zusammenarbeit“ im Hinblick auf die Innovationsfähigkeit in ländlichen Gebieten erzielt wurden.</w:t>
      </w:r>
    </w:p>
    <w:p w:rsidR="00A45935" w:rsidRPr="00E54929" w:rsidRDefault="00A45935" w:rsidP="00547012">
      <w:pPr>
        <w:pStyle w:val="Hlistbullet"/>
        <w:rPr>
          <w:rFonts w:eastAsia="Calibri"/>
          <w:shd w:val="clear" w:color="auto" w:fill="FFFFFF"/>
        </w:rPr>
      </w:pPr>
      <w:r>
        <w:rPr>
          <w:b/>
          <w:shd w:val="clear" w:color="auto" w:fill="FFFFFF"/>
        </w:rPr>
        <w:t>Die Auswirkungen der Kooperationsprojekte auf die Schaffung eines innovationsfördernden Umfelds</w:t>
      </w:r>
      <w:r>
        <w:rPr>
          <w:shd w:val="clear" w:color="auto" w:fill="FFFFFF"/>
        </w:rPr>
        <w:t xml:space="preserve"> (d. h. der Umfang, in dem Kooperationsprojekte die Einrichtung von Strukturen und Verfahren ermöglicht haben, mit denen die Entwicklung innovativer Ideen gefördert wird). Dies schließt beispielsweise innovationsvermittelnde Strukturen und Methoden, die Herstellung dauerhafter Verbindungen zwischen KMU, Diensten zur Innovationsförderung und Fördereinrichtungen usw. ein.</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Weiterführende Literatur</w:t>
      </w:r>
    </w:p>
    <w:p w:rsidR="009D0C0A" w:rsidRDefault="00A45935" w:rsidP="00547012">
      <w:pPr>
        <w:spacing w:after="120" w:line="280" w:lineRule="atLeast"/>
        <w:mirrorIndents/>
      </w:pPr>
      <w:r w:rsidRPr="00E05D08">
        <w:rPr>
          <w:rFonts w:eastAsia="Times New Roman" w:cs="Times New Roman"/>
          <w:noProof/>
          <w:sz w:val="18"/>
          <w:szCs w:val="24"/>
          <w:lang w:val="en-GB" w:eastAsia="en-GB"/>
        </w:rPr>
        <mc:AlternateContent>
          <mc:Choice Requires="wps">
            <w:drawing>
              <wp:inline distT="0" distB="0" distL="0" distR="0" wp14:anchorId="6B72BB8D" wp14:editId="2B920DBB">
                <wp:extent cx="5633451" cy="2181225"/>
                <wp:effectExtent l="0" t="0" r="24765" b="28575"/>
                <wp:docPr id="27" name="Rectangle: Diagonal Corners Rounded 27"/>
                <wp:cNvGraphicFramePr/>
                <a:graphic xmlns:a="http://schemas.openxmlformats.org/drawingml/2006/main">
                  <a:graphicData uri="http://schemas.microsoft.com/office/word/2010/wordprocessingShape">
                    <wps:wsp>
                      <wps:cNvSpPr/>
                      <wps:spPr>
                        <a:xfrm>
                          <a:off x="0" y="0"/>
                          <a:ext cx="5633451" cy="2181225"/>
                        </a:xfrm>
                        <a:prstGeom prst="round2DiagRect">
                          <a:avLst>
                            <a:gd name="adj1" fmla="val 11556"/>
                            <a:gd name="adj2" fmla="val 0"/>
                          </a:avLst>
                        </a:prstGeom>
                        <a:noFill/>
                        <a:ln w="25400" cap="flat" cmpd="sng" algn="ctr">
                          <a:solidFill>
                            <a:srgbClr val="59638E"/>
                          </a:solidFill>
                          <a:prstDash val="solid"/>
                        </a:ln>
                        <a:effectLst/>
                      </wps:spPr>
                      <wps:txbx>
                        <w:txbxContent>
                          <w:p w:rsidR="00533F8C" w:rsidRDefault="00533F8C" w:rsidP="00E05D08">
                            <w:pPr>
                              <w:pStyle w:val="HStandard"/>
                              <w:rPr>
                                <w:color w:val="000000"/>
                                <w:sz w:val="18"/>
                              </w:rPr>
                            </w:pPr>
                            <w:r>
                              <w:rPr>
                                <w:noProof/>
                                <w:lang w:val="en-GB" w:eastAsia="en-GB"/>
                              </w:rPr>
                              <w:drawing>
                                <wp:inline distT="0" distB="0" distL="0" distR="0" wp14:anchorId="77556C71" wp14:editId="232E1E4B">
                                  <wp:extent cx="360465" cy="360000"/>
                                  <wp:effectExtent l="0" t="0" r="1905" b="2540"/>
                                  <wp:docPr id="29"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33F8C" w:rsidRPr="000041C9" w:rsidRDefault="00533F8C" w:rsidP="00E05D08">
                            <w:pPr>
                              <w:pStyle w:val="HStandard"/>
                              <w:rPr>
                                <w:sz w:val="18"/>
                                <w:szCs w:val="18"/>
                              </w:rPr>
                            </w:pPr>
                            <w:r>
                              <w:rPr>
                                <w:sz w:val="18"/>
                                <w:szCs w:val="18"/>
                              </w:rPr>
                              <w:t>Leitlinien „</w:t>
                            </w:r>
                            <w:hyperlink r:id="rId54" w:history="1">
                              <w:r>
                                <w:rPr>
                                  <w:rStyle w:val="Hyperlink"/>
                                  <w:sz w:val="18"/>
                                  <w:szCs w:val="18"/>
                                </w:rPr>
                                <w:t>Assessment of RDP results:</w:t>
                              </w:r>
                            </w:hyperlink>
                            <w:hyperlink r:id="rId55" w:history="1">
                              <w:r>
                                <w:rPr>
                                  <w:rStyle w:val="Hyperlink"/>
                                  <w:sz w:val="18"/>
                                  <w:szCs w:val="18"/>
                                </w:rPr>
                                <w:t xml:space="preserve"> How to prepare for reporting on evaluation in 2017“ (Bewertung der Ergebnisse der Programme zur Entwicklung des ländlichen Raums: Vorbereitung der Berichterstattung über die Bewertung 2017)</w:t>
                              </w:r>
                            </w:hyperlink>
                            <w:r>
                              <w:t xml:space="preserve">, </w:t>
                            </w:r>
                            <w:r>
                              <w:rPr>
                                <w:sz w:val="18"/>
                                <w:szCs w:val="18"/>
                              </w:rPr>
                              <w:t xml:space="preserve">Anhang 11; </w:t>
                            </w:r>
                          </w:p>
                          <w:p w:rsidR="00533F8C" w:rsidRDefault="00533F8C" w:rsidP="00E05D08">
                            <w:pPr>
                              <w:pStyle w:val="HStandard"/>
                              <w:rPr>
                                <w:sz w:val="18"/>
                                <w:szCs w:val="18"/>
                              </w:rPr>
                            </w:pPr>
                            <w:r>
                              <w:rPr>
                                <w:sz w:val="18"/>
                                <w:szCs w:val="18"/>
                              </w:rPr>
                              <w:t xml:space="preserve">Leitfaden </w:t>
                            </w:r>
                            <w:hyperlink r:id="rId56" w:history="1">
                              <w:r>
                                <w:rPr>
                                  <w:rStyle w:val="Hyperlink"/>
                                  <w:sz w:val="18"/>
                                </w:rPr>
                                <w:t>„‘Co-operation‘ measure</w:t>
                              </w:r>
                            </w:hyperlink>
                            <w:r>
                              <w:rPr>
                                <w:sz w:val="18"/>
                                <w:szCs w:val="18"/>
                              </w:rPr>
                              <w:t xml:space="preserve"> – Article 35 of Regulation (EU) No 1305/2013“ (Die Maßnahme „Zusammenarbeit“ – Artikel 35 der Verordnung (EU) Nr. 1305/2013), November 2014;</w:t>
                            </w:r>
                          </w:p>
                          <w:p w:rsidR="00533F8C" w:rsidRPr="000041C9" w:rsidRDefault="00533F8C" w:rsidP="00E05D08">
                            <w:pPr>
                              <w:pStyle w:val="HStandard"/>
                              <w:rPr>
                                <w:sz w:val="18"/>
                                <w:szCs w:val="18"/>
                              </w:rPr>
                            </w:pPr>
                            <w:r>
                              <w:rPr>
                                <w:sz w:val="18"/>
                                <w:szCs w:val="18"/>
                              </w:rPr>
                              <w:t xml:space="preserve">Dokumente der ENRD-Arbeitstagung zur Maßnahme 16 „Kooperation“, Juni 2016, Brüssel: </w:t>
                            </w:r>
                            <w:hyperlink r:id="rId57" w:history="1">
                              <w:r>
                                <w:rPr>
                                  <w:rStyle w:val="Hyperlink"/>
                                  <w:sz w:val="18"/>
                                  <w:szCs w:val="18"/>
                                </w:rPr>
                                <w:t>http://enrd.ec.europa.eu/news-events/events/enrd-workshop-measure-16-cooperation_de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B72BB8D" id="Rectangle: Diagonal Corners Rounded 27" o:spid="_x0000_s1049" style="width:443.6pt;height:171.75pt;visibility:visible;mso-wrap-style:square;mso-left-percent:-10001;mso-top-percent:-10001;mso-position-horizontal:absolute;mso-position-horizontal-relative:char;mso-position-vertical:absolute;mso-position-vertical-relative:line;mso-left-percent:-10001;mso-top-percent:-10001;v-text-anchor:middle" coordsize="5633451,2181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" adj="-11796480,,5400" path="m252062,l5633451,r,l5633451,1929163v,139210,-112852,252062,-252062,252062l,2181225r,l,252062c,112852,112852,,252062,xe" filled="f" strokecolor="#59638e" strokeweight="2pt">
                <v:stroke joinstyle="miter"/>
                <v:formulas/>
                <v:path arrowok="t" o:connecttype="custom" o:connectlocs="252062,0;5633451,0;5633451,0;5633451,1929163;5381389,2181225;0,2181225;0,2181225;0,252062;252062,0" o:connectangles="0,0,0,0,0,0,0,0,0" textboxrect="0,0,5633451,2181225"/>
                <v:textbox>
                  <w:txbxContent>
                    <w:p w:rsidR="00533F8C" w:rsidRDefault="00533F8C" w:rsidP="00E05D08">
                      <w:pPr>
                        <w:pStyle w:val="HStandard"/>
                        <w:rPr>
                          <w:color w:val="000000"/>
                          <w:sz w:val="18"/>
                        </w:rPr>
                      </w:pPr>
                      <w:r>
                        <w:rPr>
                          <w:noProof/>
                          <w:lang w:val="en-GB" w:eastAsia="en-GB"/>
                        </w:rPr>
                        <w:drawing>
                          <wp:inline distT="0" distB="0" distL="0" distR="0" wp14:anchorId="77556C71" wp14:editId="232E1E4B">
                            <wp:extent cx="360465" cy="360000"/>
                            <wp:effectExtent l="0" t="0" r="1905" b="2540"/>
                            <wp:docPr id="29"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33F8C" w:rsidRPr="000041C9" w:rsidRDefault="00533F8C" w:rsidP="00E05D08">
                      <w:pPr>
                        <w:pStyle w:val="HStandard"/>
                        <w:rPr>
                          <w:sz w:val="18"/>
                          <w:szCs w:val="18"/>
                        </w:rPr>
                      </w:pPr>
                      <w:r>
                        <w:rPr>
                          <w:sz w:val="18"/>
                          <w:szCs w:val="18"/>
                        </w:rPr>
                        <w:t>Leitlinien „</w:t>
                      </w:r>
                      <w:hyperlink r:id="rId58" w:history="1">
                        <w:r>
                          <w:rPr>
                            <w:rStyle w:val="Hyperlink"/>
                            <w:sz w:val="18"/>
                            <w:szCs w:val="18"/>
                          </w:rPr>
                          <w:t>Assessment of RDP results:</w:t>
                        </w:r>
                      </w:hyperlink>
                      <w:hyperlink r:id="rId59" w:history="1">
                        <w:r>
                          <w:rPr>
                            <w:rStyle w:val="Hyperlink"/>
                            <w:sz w:val="18"/>
                            <w:szCs w:val="18"/>
                          </w:rPr>
                          <w:t xml:space="preserve"> How to prepare for reporting on evaluation in 2017“ (Bewertung der Ergebnisse der Programme zur Entwicklung des ländlichen Raums: Vorbereitung der Berichterstattung über die Bewertung 2017)</w:t>
                        </w:r>
                      </w:hyperlink>
                      <w:r>
                        <w:t xml:space="preserve">, </w:t>
                      </w:r>
                      <w:r>
                        <w:rPr>
                          <w:sz w:val="18"/>
                          <w:szCs w:val="18"/>
                        </w:rPr>
                        <w:t xml:space="preserve">Anhang 11; </w:t>
                      </w:r>
                    </w:p>
                    <w:p w:rsidR="00533F8C" w:rsidRDefault="00533F8C" w:rsidP="00E05D08">
                      <w:pPr>
                        <w:pStyle w:val="HStandard"/>
                        <w:rPr>
                          <w:sz w:val="18"/>
                          <w:szCs w:val="18"/>
                        </w:rPr>
                      </w:pPr>
                      <w:r>
                        <w:rPr>
                          <w:sz w:val="18"/>
                          <w:szCs w:val="18"/>
                        </w:rPr>
                        <w:t xml:space="preserve">Leitfaden </w:t>
                      </w:r>
                      <w:hyperlink r:id="rId60" w:history="1">
                        <w:r>
                          <w:rPr>
                            <w:rStyle w:val="Hyperlink"/>
                            <w:sz w:val="18"/>
                          </w:rPr>
                          <w:t>„‘Co-operation‘ measure</w:t>
                        </w:r>
                      </w:hyperlink>
                      <w:r>
                        <w:rPr>
                          <w:sz w:val="18"/>
                          <w:szCs w:val="18"/>
                        </w:rPr>
                        <w:t xml:space="preserve"> – Article 35 of Regulation (EU) No 1305/2013“ (Die Maßnahme „Zusammenarbeit“ – Artikel 35 der Verordnung (EU) Nr. 1305/2013), November 2014;</w:t>
                      </w:r>
                    </w:p>
                    <w:p w:rsidR="00533F8C" w:rsidRPr="000041C9" w:rsidRDefault="00533F8C" w:rsidP="00E05D08">
                      <w:pPr>
                        <w:pStyle w:val="HStandard"/>
                        <w:rPr>
                          <w:sz w:val="18"/>
                          <w:szCs w:val="18"/>
                        </w:rPr>
                      </w:pPr>
                      <w:r>
                        <w:rPr>
                          <w:sz w:val="18"/>
                          <w:szCs w:val="18"/>
                        </w:rPr>
                        <w:t xml:space="preserve">Dokumente der ENRD-Arbeitstagung zur Maßnahme 16 „Kooperation“, Juni 2016, Brüssel: </w:t>
                      </w:r>
                      <w:hyperlink r:id="rId61" w:history="1">
                        <w:r>
                          <w:rPr>
                            <w:rStyle w:val="Hyperlink"/>
                            <w:sz w:val="18"/>
                            <w:szCs w:val="18"/>
                          </w:rPr>
                          <w:t>http://enrd.ec.europa.eu/news-events/events/enrd-workshop-measure-16-cooperation_de</w:t>
                        </w:r>
                      </w:hyperlink>
                    </w:p>
                  </w:txbxContent>
                </v:textbox>
                <w10:anchorlock/>
              </v:shape>
            </w:pict>
          </mc:Fallback>
        </mc:AlternateContent>
      </w:r>
      <w:bookmarkStart w:id="117" w:name="_Toc501382133"/>
    </w:p>
    <w:p w:rsidR="00D50380" w:rsidRDefault="00D50380" w:rsidP="0079071D">
      <w:pPr>
        <w:pStyle w:val="HHeading3"/>
        <w:numPr>
          <w:ilvl w:val="2"/>
          <w:numId w:val="119"/>
        </w:numPr>
        <w:tabs>
          <w:tab w:val="clear" w:pos="567"/>
        </w:tabs>
        <w:spacing w:before="480" w:line="280" w:lineRule="exact"/>
        <w:ind w:left="567" w:hanging="567"/>
      </w:pPr>
      <w:bookmarkStart w:id="118" w:name="CEQ_NRN"/>
      <w:bookmarkStart w:id="119" w:name="_Toc508377843"/>
      <w:bookmarkEnd w:id="118"/>
      <w:r>
        <w:lastRenderedPageBreak/>
        <w:t>CEQ Nr. 21 „In welchem Umfang hat das nationale Netzwerk für den ländlichen Raum zur Erreichung der in Artikel 54 Absatz 2 der Verordnung (EU) Nr. 1305/2013 festgelegten Ziele beigetragen?“</w:t>
      </w:r>
      <w:bookmarkEnd w:id="119"/>
    </w:p>
    <w:bookmarkEnd w:id="117"/>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Wie ist die CEQ zu verstehen?</w:t>
      </w:r>
    </w:p>
    <w:p w:rsidR="00A45935" w:rsidRPr="00E05D08" w:rsidRDefault="00A45935" w:rsidP="00E05D08">
      <w:pPr>
        <w:spacing w:after="120" w:line="280" w:lineRule="atLeast"/>
        <w:mirrorIndents/>
        <w:rPr>
          <w:rFonts w:eastAsia="Calibri" w:cs="Times New Roman"/>
          <w:szCs w:val="20"/>
        </w:rPr>
      </w:pPr>
      <w:r>
        <w:t>Diese Frage</w:t>
      </w:r>
      <w:r>
        <w:rPr>
          <w:szCs w:val="18"/>
          <w14:textFill>
            <w14:solidFill>
              <w14:srgbClr w14:val="373737">
                <w14:lumMod w14:val="75000"/>
              </w14:srgbClr>
            </w14:solidFill>
          </w14:textFill>
        </w:rPr>
        <w:t xml:space="preserve"> </w:t>
      </w:r>
      <w:r>
        <w:t>bezieht sich auf die Verwirklichung der vier Ziele der nationalen Netzwerke für den ländlichen Raum.</w:t>
      </w:r>
      <w:r w:rsidRPr="00E05D08">
        <w:rPr>
          <w:rFonts w:eastAsia="Times New Roman" w:cs="Times New Roman"/>
          <w:szCs w:val="20"/>
          <w:vertAlign w:val="superscript"/>
          <w:lang w:eastAsia="de-DE"/>
        </w:rPr>
        <w:footnoteReference w:id="57"/>
      </w:r>
      <w:r>
        <w:t xml:space="preserve"> In diesen Leitlinien</w:t>
      </w:r>
      <w:r w:rsidRPr="00E05D08">
        <w:rPr>
          <w:rFonts w:eastAsia="Times New Roman" w:cs="Times New Roman"/>
          <w:szCs w:val="20"/>
          <w:vertAlign w:val="superscript"/>
          <w:lang w:eastAsia="de-DE"/>
        </w:rPr>
        <w:footnoteReference w:id="58"/>
      </w:r>
      <w:r>
        <w:t xml:space="preserve"> wird die CEQ Nr. 21 im Hinblick auf das </w:t>
      </w:r>
      <w:r>
        <w:rPr>
          <w:szCs w:val="18"/>
          <w14:textFill>
            <w14:solidFill>
              <w14:srgbClr w14:val="373737">
                <w14:lumMod w14:val="75000"/>
              </w14:srgbClr>
            </w14:solidFill>
          </w14:textFill>
        </w:rPr>
        <w:t>Ziel des NRN „die Innovation in der Landwirtschaft, der Nahrungsmittelerzeugung, der Forstwirtschaft und in ländlichen Gebieten fördern“</w:t>
      </w:r>
      <w:r>
        <w:t xml:space="preserve"> erörtert und bewertet, inwiefern Innovation ab 2019 durch die NRN gefördert wird. </w:t>
      </w:r>
    </w:p>
    <w:p w:rsidR="00A45935" w:rsidRPr="00E05D08" w:rsidRDefault="00A45935" w:rsidP="00E05D08">
      <w:pPr>
        <w:spacing w:after="120" w:line="280" w:lineRule="atLeast"/>
        <w:mirrorIndents/>
        <w:rPr>
          <w:rFonts w:eastAsia="Calibri" w:cs="Times New Roman"/>
          <w:szCs w:val="20"/>
        </w:rPr>
      </w:pPr>
      <w:r>
        <w:t>NRN funktionieren über verschiedene Gruppen von Aktionen, die im Rahmen des Aktionsplans für das jeweilige NRN festgelegt werden, und beziehen verschiedene Arten von Akteuren ein, darunter auch Innovationsakteure. Daher ist es wichtig festzustellen, welche Gruppen von Aktionen</w:t>
      </w:r>
      <w:r w:rsidRPr="00E05D08">
        <w:rPr>
          <w:rFonts w:eastAsia="Calibri" w:cs="Times New Roman"/>
          <w:szCs w:val="20"/>
          <w:vertAlign w:val="superscript"/>
        </w:rPr>
        <w:footnoteReference w:id="59"/>
      </w:r>
      <w:r>
        <w:t xml:space="preserve"> über die drei Pfade (siehe </w:t>
      </w:r>
      <w:hyperlink w:anchor="Innovation_RD" w:history="1">
        <w:r>
          <w:rPr>
            <w:rStyle w:val="Hyperlink"/>
            <w:sz w:val="20"/>
            <w:szCs w:val="20"/>
          </w:rPr>
          <w:t>Kapitel 1.1</w:t>
        </w:r>
      </w:hyperlink>
      <w:r>
        <w:t xml:space="preserve">) zur Innovationsförderung beitragen können und welche Arten von Akteuren des Innovationssystems beteiligt sind und durch diese Tätigkeiten im Hinblick auf die Innovationsförderung beeinflusst werden können. </w:t>
      </w:r>
    </w:p>
    <w:p w:rsidR="001327F5" w:rsidRDefault="00A45935" w:rsidP="00E05D08">
      <w:pPr>
        <w:spacing w:after="120" w:line="280" w:lineRule="atLeast"/>
        <w:mirrorIndents/>
        <w:rPr>
          <w:rFonts w:eastAsia="Calibri" w:cs="Times New Roman"/>
          <w:szCs w:val="20"/>
        </w:rPr>
      </w:pPr>
      <w:r>
        <w:t>Die im Aktionsplan für ein NRN vorgesehenen Aktionen lassen sich sieben Gruppen von Aktivitäten nach Maßgabe der Verordnung zuordnen.</w:t>
      </w:r>
      <w:r w:rsidRPr="00E05D08">
        <w:rPr>
          <w:rFonts w:eastAsia="Calibri" w:cs="Times New Roman"/>
          <w:szCs w:val="20"/>
          <w:vertAlign w:val="superscript"/>
        </w:rPr>
        <w:footnoteReference w:id="60"/>
      </w:r>
      <w:r>
        <w:t xml:space="preserve"> Beispiele dafür, wie diese Aktivitäten mit der Förderung von Innovation in Zusammenhang stehen könnten, werden in den nachstehenden Kästen gegeben.</w:t>
      </w:r>
    </w:p>
    <w:p w:rsidR="001327F5" w:rsidRPr="00E05D08" w:rsidRDefault="001327F5" w:rsidP="001327F5">
      <w:pPr>
        <w:spacing w:after="120" w:line="280" w:lineRule="atLeast"/>
        <w:mirrorIndents/>
        <w:rPr>
          <w:rFonts w:eastAsia="Calibri" w:cs="Times New Roman"/>
          <w:szCs w:val="20"/>
        </w:rPr>
      </w:pPr>
      <w:r>
        <w:t>Die NRN als Teil der technischen Hilfe sind darauf ausgerichtet, die Umsetzung der Programme zur Entwicklung des ländlichen Raums zu begleiten und zu unterstützen, und tragen dort unmittelbar zur Förderung von Innovation als Querschnittsziel bei. NRN können jedoch auch mit anderen Akteuren im Bereich der Innovation zur Entwicklung des ländlichen Raums, wie lokalen Aktionsgruppen im Rahmen von LEADER oder der EIP-AGRI, zusammenwirken (siehe Beispiel im Kasten).</w:t>
      </w:r>
    </w:p>
    <w:p w:rsidR="00A45935" w:rsidRPr="00E05D08" w:rsidRDefault="00A45935" w:rsidP="00E05D08">
      <w:pPr>
        <w:spacing w:after="120" w:line="280" w:lineRule="atLeast"/>
        <w:mirrorIndents/>
        <w:rPr>
          <w:rFonts w:eastAsia="Times New Roman" w:cs="Times New Roman"/>
          <w:szCs w:val="20"/>
        </w:rPr>
      </w:pPr>
    </w:p>
    <w:p w:rsidR="00A45935" w:rsidRPr="00E05D08" w:rsidRDefault="00827FB4" w:rsidP="00E05D08">
      <w:pPr>
        <w:spacing w:before="120" w:after="120" w:line="280" w:lineRule="atLeast"/>
        <w:mirrorIndents/>
        <w:rPr>
          <w:rFonts w:eastAsia="Times New Roman" w:cs="Times New Roman"/>
          <w:szCs w:val="20"/>
        </w:rPr>
      </w:pPr>
      <w:r w:rsidRPr="00E05D08">
        <w:rPr>
          <w:rFonts w:eastAsia="Times New Roman" w:cs="Times New Roman"/>
          <w:noProof/>
          <w:sz w:val="18"/>
          <w:szCs w:val="24"/>
          <w:lang w:val="en-GB" w:eastAsia="en-GB"/>
        </w:rPr>
        <w:lastRenderedPageBreak/>
        <mc:AlternateContent>
          <mc:Choice Requires="wps">
            <w:drawing>
              <wp:anchor distT="0" distB="0" distL="114300" distR="114300" simplePos="0" relativeHeight="251757568" behindDoc="1" locked="0" layoutInCell="1" allowOverlap="1" wp14:anchorId="61F065BB" wp14:editId="5E7BA4B4">
                <wp:simplePos x="0" y="0"/>
                <wp:positionH relativeFrom="column">
                  <wp:posOffset>-57150</wp:posOffset>
                </wp:positionH>
                <wp:positionV relativeFrom="paragraph">
                  <wp:posOffset>0</wp:posOffset>
                </wp:positionV>
                <wp:extent cx="5780405" cy="8315325"/>
                <wp:effectExtent l="0" t="0" r="10795" b="28575"/>
                <wp:wrapTight wrapText="bothSides">
                  <wp:wrapPolygon edited="0">
                    <wp:start x="854" y="0"/>
                    <wp:lineTo x="0" y="297"/>
                    <wp:lineTo x="0" y="21625"/>
                    <wp:lineTo x="20786" y="21625"/>
                    <wp:lineTo x="20857" y="21625"/>
                    <wp:lineTo x="21356" y="21377"/>
                    <wp:lineTo x="21569" y="21080"/>
                    <wp:lineTo x="21569" y="0"/>
                    <wp:lineTo x="854" y="0"/>
                  </wp:wrapPolygon>
                </wp:wrapTight>
                <wp:docPr id="28" name="Rectangle: Diagonal Corners Rounded 28"/>
                <wp:cNvGraphicFramePr/>
                <a:graphic xmlns:a="http://schemas.openxmlformats.org/drawingml/2006/main">
                  <a:graphicData uri="http://schemas.microsoft.com/office/word/2010/wordprocessingShape">
                    <wps:wsp>
                      <wps:cNvSpPr/>
                      <wps:spPr>
                        <a:xfrm>
                          <a:off x="0" y="0"/>
                          <a:ext cx="5780405" cy="8315325"/>
                        </a:xfrm>
                        <a:prstGeom prst="round2DiagRect">
                          <a:avLst>
                            <a:gd name="adj1" fmla="val 6054"/>
                            <a:gd name="adj2" fmla="val 0"/>
                          </a:avLst>
                        </a:prstGeom>
                        <a:noFill/>
                        <a:ln w="25400" cap="flat" cmpd="sng" algn="ctr">
                          <a:solidFill>
                            <a:srgbClr val="F07E31"/>
                          </a:solidFill>
                          <a:prstDash val="solid"/>
                        </a:ln>
                        <a:effectLst/>
                      </wps:spPr>
                      <wps:txbx>
                        <w:txbxContent>
                          <w:p w:rsidR="00827FB4" w:rsidRPr="0079762F" w:rsidRDefault="00827FB4" w:rsidP="00827FB4">
                            <w:pPr>
                              <w:pStyle w:val="HStandard"/>
                              <w:ind w:left="567" w:hanging="567"/>
                              <w:rPr>
                                <w:i/>
                                <w:sz w:val="18"/>
                                <w:szCs w:val="18"/>
                              </w:rPr>
                            </w:pPr>
                            <w:r w:rsidRPr="000041C9">
                              <w:rPr>
                                <w:noProof/>
                                <w:sz w:val="18"/>
                                <w:szCs w:val="18"/>
                                <w:lang w:val="en-GB" w:eastAsia="en-GB"/>
                              </w:rPr>
                              <w:drawing>
                                <wp:inline distT="0" distB="0" distL="0" distR="0" wp14:anchorId="5F88835A" wp14:editId="1323F182">
                                  <wp:extent cx="353060" cy="359410"/>
                                  <wp:effectExtent l="0" t="0" r="8890" b="2540"/>
                                  <wp:docPr id="3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Förderung neuer Ideen und des Austauschs zu Innovationen:</w:t>
                            </w:r>
                          </w:p>
                          <w:p w:rsidR="00827FB4" w:rsidRPr="0079762F" w:rsidRDefault="00827FB4" w:rsidP="00827FB4">
                            <w:pPr>
                              <w:pStyle w:val="HStandard"/>
                              <w:numPr>
                                <w:ilvl w:val="0"/>
                                <w:numId w:val="26"/>
                              </w:numPr>
                              <w:ind w:left="567" w:hanging="567"/>
                              <w:rPr>
                                <w:sz w:val="18"/>
                                <w:szCs w:val="18"/>
                              </w:rPr>
                            </w:pPr>
                            <w:r>
                              <w:rPr>
                                <w:sz w:val="18"/>
                                <w:szCs w:val="18"/>
                              </w:rPr>
                              <w:t>Sammlung von Beispielen für Vorhaben, die alle Prioritäten der Programme zur Entwicklung des ländlichen Raums abdecken: der Schwerpunkt kann beispielsweise auf innovativen Vorhaben oder dem Aufbau von Datenbanken zu innovativen Vorhaben liegen und auf diese Weise zur Ermittlung von Innovationen und zum diesbezüglichen Austausch beitragen.</w:t>
                            </w:r>
                          </w:p>
                          <w:p w:rsidR="00827FB4" w:rsidRPr="0079762F" w:rsidRDefault="00827FB4" w:rsidP="00827FB4">
                            <w:pPr>
                              <w:pStyle w:val="HStandard"/>
                              <w:numPr>
                                <w:ilvl w:val="0"/>
                                <w:numId w:val="26"/>
                              </w:numPr>
                              <w:ind w:left="567" w:hanging="567"/>
                              <w:rPr>
                                <w:sz w:val="18"/>
                                <w:szCs w:val="18"/>
                              </w:rPr>
                            </w:pPr>
                            <w:r>
                              <w:rPr>
                                <w:sz w:val="18"/>
                                <w:szCs w:val="18"/>
                              </w:rPr>
                              <w:t>Erleichterung des thematischen und analytischen Austauschs zwischen Interessenträgern im Bereich Entwicklung des ländlichen Raums, Austausch von Erkenntnissen und deren Verbreitung. Ein solcher Austausch kann ebenfalls zur Innovationsförderung beitragen, indem neue Ideen gefördert und gemeinsam genutzt werden und so die Voraussetzungen für die Herausbildung von neuem Wissen geschaffen werden.</w:t>
                            </w:r>
                          </w:p>
                          <w:p w:rsidR="00827FB4" w:rsidRDefault="00827FB4" w:rsidP="00827FB4">
                            <w:pPr>
                              <w:pStyle w:val="HStandard"/>
                              <w:numPr>
                                <w:ilvl w:val="0"/>
                                <w:numId w:val="26"/>
                              </w:numPr>
                              <w:ind w:left="567" w:hanging="567"/>
                              <w:rPr>
                                <w:sz w:val="18"/>
                                <w:szCs w:val="18"/>
                              </w:rPr>
                            </w:pPr>
                            <w:r>
                              <w:rPr>
                                <w:sz w:val="18"/>
                                <w:szCs w:val="18"/>
                              </w:rPr>
                              <w:t>Öffentlichkeitsarbeit und Informationsbereitstellung betreffend das Programm zur Entwicklung des ländlichen Raums sowie auf eine breitere Öffentlichkeit abzielende Kommunikationstätigkeiten. Dazu können unter anderem Informationen zu Folgendem gehören: innovationsbezogene Erfolge des Programms zur Entwicklung des ländlichen Raums; Erfolge der operationellen Gruppen der EIP; Innovationsförderung durch von der örtlichen Bevölkerung betriebene Strategien und Partnerschaften für lokale Entwicklung; Beispiele für solche Partnerschaften und innovative Projekte im Rahmen von LEADER/von der örtlichen Bevölkerung betriebene Maßnahmen zur lokalen Entwicklung.</w:t>
                            </w:r>
                          </w:p>
                          <w:p w:rsidR="00827FB4" w:rsidRPr="00E05D08" w:rsidRDefault="00827FB4" w:rsidP="00827FB4">
                            <w:pPr>
                              <w:pStyle w:val="HStandard"/>
                              <w:rPr>
                                <w:b/>
                                <w:color w:val="F07E31"/>
                                <w:sz w:val="18"/>
                                <w:szCs w:val="18"/>
                              </w:rPr>
                            </w:pPr>
                            <w:r>
                              <w:rPr>
                                <w:b/>
                                <w:color w:val="F07E31"/>
                                <w:sz w:val="18"/>
                                <w:szCs w:val="18"/>
                              </w:rPr>
                              <w:t>Verbesserung der Innovationsfähigkeit:</w:t>
                            </w:r>
                          </w:p>
                          <w:p w:rsidR="00827FB4" w:rsidRPr="0079762F" w:rsidRDefault="00827FB4" w:rsidP="00827FB4">
                            <w:pPr>
                              <w:pStyle w:val="HStandard"/>
                              <w:numPr>
                                <w:ilvl w:val="0"/>
                                <w:numId w:val="26"/>
                              </w:numPr>
                              <w:rPr>
                                <w:sz w:val="18"/>
                                <w:szCs w:val="18"/>
                              </w:rPr>
                            </w:pPr>
                            <w:r>
                              <w:rPr>
                                <w:sz w:val="18"/>
                                <w:szCs w:val="18"/>
                              </w:rPr>
                              <w:t>Bereitstellung von Schulungen und Netzwerktätigkeiten für Berater und Dienste zur Innovationsförderung mit Schwerpunkt auf Innovation in der Landwirtschaft, Forstwirtschaft und anderen Wirtschaftszweigen mit einem Zusammenhang zum Programm zur Entwicklung des ländlichen Raums. Die Schulung von Beratern und Diensten zur Innovationsförderung könnte beispielsweise die Einrichtung von operationellen Gruppen der EIP erleichtern und so zur Verbesserung der Innovationsfähigkeit in ländlichen Gebieten beitragen, da sich an operationelle Gruppen die Erwartung knüpft, dass sie innovative Projekte entwickeln.</w:t>
                            </w:r>
                          </w:p>
                          <w:p w:rsidR="00827FB4" w:rsidRPr="00ED3BAD" w:rsidRDefault="00827FB4" w:rsidP="00827FB4">
                            <w:pPr>
                              <w:pStyle w:val="HStandard"/>
                              <w:numPr>
                                <w:ilvl w:val="0"/>
                                <w:numId w:val="26"/>
                              </w:numPr>
                              <w:rPr>
                                <w:sz w:val="18"/>
                                <w:szCs w:val="18"/>
                              </w:rPr>
                            </w:pPr>
                            <w:r>
                              <w:rPr>
                                <w:sz w:val="18"/>
                                <w:szCs w:val="18"/>
                              </w:rPr>
                              <w:t>Bereitstellung von Schulungen und Netzwerktätigkeiten für lokale Aktionsgruppen und insbesondere technische Hilfe für die gebietsübergreifende und transnationale Zusammenarbeit, Erleichterung der Zusammenarbeit zwischen lokalen Aktionsgruppen und der Partnersuche für M16 (Zusammenarbeit). Das NRN kann beispielsweise kooperative Bemühungen erleichtern, mit denen Versuchstätigkeiten und Innovationen gefördert werden.</w:t>
                            </w:r>
                          </w:p>
                          <w:p w:rsidR="00827FB4" w:rsidRPr="0079762F" w:rsidRDefault="00827FB4" w:rsidP="00827FB4">
                            <w:pPr>
                              <w:pStyle w:val="HStandard"/>
                              <w:ind w:left="567" w:hanging="567"/>
                              <w:rPr>
                                <w:i/>
                                <w:sz w:val="18"/>
                                <w:szCs w:val="18"/>
                              </w:rPr>
                            </w:pPr>
                            <w:r>
                              <w:rPr>
                                <w:b/>
                                <w:color w:val="F07E31"/>
                                <w:sz w:val="18"/>
                                <w:szCs w:val="18"/>
                              </w:rPr>
                              <w:t>Schaffung eines innovationsfördernden Umfelds:</w:t>
                            </w:r>
                          </w:p>
                          <w:p w:rsidR="00827FB4" w:rsidRPr="00ED3BAD" w:rsidRDefault="00827FB4" w:rsidP="00827FB4">
                            <w:pPr>
                              <w:pStyle w:val="HStandard"/>
                              <w:numPr>
                                <w:ilvl w:val="0"/>
                                <w:numId w:val="29"/>
                              </w:numPr>
                              <w:ind w:left="567" w:hanging="567"/>
                              <w:rPr>
                                <w:sz w:val="18"/>
                                <w:szCs w:val="18"/>
                              </w:rPr>
                            </w:pPr>
                            <w:r>
                              <w:rPr>
                                <w:sz w:val="18"/>
                                <w:szCs w:val="18"/>
                              </w:rPr>
                              <w:t>Durch die Teilnahme an und Beiträge zu Aktivitäten der europäischen Netzwerke, darunter insbesondere ENRD und EIP-AGRI, können sich Möglichkeiten zur Förderung günstiger Rahmenbedingungen für Innovationen über diese Netzwerke ergeben.</w:t>
                            </w:r>
                          </w:p>
                          <w:p w:rsidR="00827FB4" w:rsidRPr="00547012" w:rsidRDefault="00827FB4" w:rsidP="00827FB4">
                            <w:pPr>
                              <w:pStyle w:val="HStandard"/>
                              <w:numPr>
                                <w:ilvl w:val="0"/>
                                <w:numId w:val="29"/>
                              </w:numPr>
                              <w:ind w:left="567" w:hanging="567"/>
                              <w:rPr>
                                <w:sz w:val="18"/>
                                <w:szCs w:val="18"/>
                              </w:rPr>
                            </w:pPr>
                            <w:r>
                              <w:rPr>
                                <w:sz w:val="18"/>
                                <w:szCs w:val="18"/>
                              </w:rPr>
                              <w:t>NRN können Innovationen durch eine Verknüpfung von Akteuren im Bereich Innovation (Landwirte, Forscher, NRO, LAG usw.) fördern, indem Informationen gesammelt und Bottom-up-Initiativen angeregt werden, die Weiterentwicklung innovativer Ideen gefördert und die Partnersuche und Finanzierung unterstützt wird, wodurch zu einem innovationsfördernden Umfeld beigetragen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065BB" id="Rectangle: Diagonal Corners Rounded 28" o:spid="_x0000_s1050" style="position:absolute;left:0;text-align:left;margin-left:-4.5pt;margin-top:0;width:455.15pt;height:654.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0405,8315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" adj="-11796480,,5400" path="m349946,l5780405,r,l5780405,7965379v,193270,-156676,349946,-349946,349946l,8315325r,l,349946c,156676,156676,,349946,xe" filled="f" strokecolor="#f07e31" strokeweight="2pt">
                <v:stroke joinstyle="miter"/>
                <v:formulas/>
                <v:path arrowok="t" o:connecttype="custom" o:connectlocs="349946,0;5780405,0;5780405,0;5780405,7965379;5430459,8315325;0,8315325;0,8315325;0,349946;349946,0" o:connectangles="0,0,0,0,0,0,0,0,0" textboxrect="0,0,5780405,8315325"/>
                <v:textbox>
                  <w:txbxContent>
                    <w:p w:rsidR="00827FB4" w:rsidRPr="0079762F" w:rsidRDefault="00827FB4" w:rsidP="00827FB4">
                      <w:pPr>
                        <w:pStyle w:val="HStandard"/>
                        <w:ind w:left="567" w:hanging="567"/>
                        <w:rPr>
                          <w:i/>
                          <w:sz w:val="18"/>
                          <w:szCs w:val="18"/>
                        </w:rPr>
                      </w:pPr>
                      <w:r w:rsidRPr="000041C9">
                        <w:rPr>
                          <w:noProof/>
                          <w:sz w:val="18"/>
                          <w:szCs w:val="18"/>
                          <w:lang w:val="en-GB" w:eastAsia="en-GB"/>
                        </w:rPr>
                        <w:drawing>
                          <wp:inline distT="0" distB="0" distL="0" distR="0" wp14:anchorId="5F88835A" wp14:editId="1323F182">
                            <wp:extent cx="353060" cy="359410"/>
                            <wp:effectExtent l="0" t="0" r="8890" b="2540"/>
                            <wp:docPr id="3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Förderung neuer Ideen und des Austauschs zu Innovationen:</w:t>
                      </w:r>
                    </w:p>
                    <w:p w:rsidR="00827FB4" w:rsidRPr="0079762F" w:rsidRDefault="00827FB4" w:rsidP="00827FB4">
                      <w:pPr>
                        <w:pStyle w:val="HStandard"/>
                        <w:numPr>
                          <w:ilvl w:val="0"/>
                          <w:numId w:val="26"/>
                        </w:numPr>
                        <w:ind w:left="567" w:hanging="567"/>
                        <w:rPr>
                          <w:sz w:val="18"/>
                          <w:szCs w:val="18"/>
                        </w:rPr>
                      </w:pPr>
                      <w:r>
                        <w:rPr>
                          <w:sz w:val="18"/>
                          <w:szCs w:val="18"/>
                        </w:rPr>
                        <w:t>Sammlung von Beispielen für Vorhaben, die alle Prioritäten der Programme zur Entwicklung des ländlichen Raums abdecken: der Schwerpunkt kann beispielsweise auf innovativen Vorhaben oder dem Aufbau von Datenbanken zu innovativen Vorhaben liegen und auf diese Weise zur Ermittlung von Innovationen und zum diesbezüglichen Austausch beitragen.</w:t>
                      </w:r>
                    </w:p>
                    <w:p w:rsidR="00827FB4" w:rsidRPr="0079762F" w:rsidRDefault="00827FB4" w:rsidP="00827FB4">
                      <w:pPr>
                        <w:pStyle w:val="HStandard"/>
                        <w:numPr>
                          <w:ilvl w:val="0"/>
                          <w:numId w:val="26"/>
                        </w:numPr>
                        <w:ind w:left="567" w:hanging="567"/>
                        <w:rPr>
                          <w:sz w:val="18"/>
                          <w:szCs w:val="18"/>
                        </w:rPr>
                      </w:pPr>
                      <w:r>
                        <w:rPr>
                          <w:sz w:val="18"/>
                          <w:szCs w:val="18"/>
                        </w:rPr>
                        <w:t>Erleichterung des thematischen und analytischen Austauschs zwischen Interessenträgern im Bereich Entwicklung des ländlichen Raums, Austausch von Erkenntnissen und deren Verbreitung. Ein solcher Austausch kann ebenfalls zur Innovationsförderung beitragen, indem neue Ideen gefördert und gemeinsam genutzt werden und so die Voraussetzungen für die Herausbildung von neuem Wissen geschaffen werden.</w:t>
                      </w:r>
                    </w:p>
                    <w:p w:rsidR="00827FB4" w:rsidRDefault="00827FB4" w:rsidP="00827FB4">
                      <w:pPr>
                        <w:pStyle w:val="HStandard"/>
                        <w:numPr>
                          <w:ilvl w:val="0"/>
                          <w:numId w:val="26"/>
                        </w:numPr>
                        <w:ind w:left="567" w:hanging="567"/>
                        <w:rPr>
                          <w:sz w:val="18"/>
                          <w:szCs w:val="18"/>
                        </w:rPr>
                      </w:pPr>
                      <w:r>
                        <w:rPr>
                          <w:sz w:val="18"/>
                          <w:szCs w:val="18"/>
                        </w:rPr>
                        <w:t>Öffentlichkeitsarbeit und Informationsbereitstellung betreffend das Programm zur Entwicklung des ländlichen Raums sowie auf eine breitere Öffentlichkeit abzielende Kommunikationstätigkeiten. Dazu können unter anderem Informationen zu Folgendem gehören: innovationsbezogene Erfolge des Programms zur Entwicklung des ländlichen Raums; Erfolge der operationellen Gruppen der EIP; Innovationsförderung durch von der örtlichen Bevölkerung betriebene Strategien und Partnerschaften für lokale Entwicklung; Beispiele für solche Partnerschaften und innovative Projekte im Rahmen von LEADER/von der örtlichen Bevölkerung betriebene Maßnahmen zur lokalen Entwicklung.</w:t>
                      </w:r>
                    </w:p>
                    <w:p w:rsidR="00827FB4" w:rsidRPr="00E05D08" w:rsidRDefault="00827FB4" w:rsidP="00827FB4">
                      <w:pPr>
                        <w:pStyle w:val="HStandard"/>
                        <w:rPr>
                          <w:b/>
                          <w:color w:val="F07E31"/>
                          <w:sz w:val="18"/>
                          <w:szCs w:val="18"/>
                        </w:rPr>
                      </w:pPr>
                      <w:r>
                        <w:rPr>
                          <w:b/>
                          <w:color w:val="F07E31"/>
                          <w:sz w:val="18"/>
                          <w:szCs w:val="18"/>
                        </w:rPr>
                        <w:t>Verbesserung der Innovationsfähigkeit:</w:t>
                      </w:r>
                    </w:p>
                    <w:p w:rsidR="00827FB4" w:rsidRPr="0079762F" w:rsidRDefault="00827FB4" w:rsidP="00827FB4">
                      <w:pPr>
                        <w:pStyle w:val="HStandard"/>
                        <w:numPr>
                          <w:ilvl w:val="0"/>
                          <w:numId w:val="26"/>
                        </w:numPr>
                        <w:rPr>
                          <w:sz w:val="18"/>
                          <w:szCs w:val="18"/>
                        </w:rPr>
                      </w:pPr>
                      <w:r>
                        <w:rPr>
                          <w:sz w:val="18"/>
                          <w:szCs w:val="18"/>
                        </w:rPr>
                        <w:t>Bereitstellung von Schulungen und Netzwerktätigkeiten für Berater und Dienste zur Innovationsförderung mit Schwerpunkt auf Innovation in der Landwirtschaft, Forstwirtschaft und anderen Wirtschaftszweigen mit einem Zusammenhang zum Programm zur Entwicklung des ländlichen Raums. Die Schulung von Beratern und Diensten zur Innovationsförderung könnte beispielsweise die Einrichtung von operationellen Gruppen der EIP erleichtern und so zur Verbesserung der Innovationsfähigkeit in ländlichen Gebieten beitragen, da sich an operationelle Gruppen die Erwartung knüpft, dass sie innovative Projekte entwickeln.</w:t>
                      </w:r>
                    </w:p>
                    <w:p w:rsidR="00827FB4" w:rsidRPr="00ED3BAD" w:rsidRDefault="00827FB4" w:rsidP="00827FB4">
                      <w:pPr>
                        <w:pStyle w:val="HStandard"/>
                        <w:numPr>
                          <w:ilvl w:val="0"/>
                          <w:numId w:val="26"/>
                        </w:numPr>
                        <w:rPr>
                          <w:sz w:val="18"/>
                          <w:szCs w:val="18"/>
                        </w:rPr>
                      </w:pPr>
                      <w:r>
                        <w:rPr>
                          <w:sz w:val="18"/>
                          <w:szCs w:val="18"/>
                        </w:rPr>
                        <w:t>Bereitstellung von Schulungen und Netzwerktätigkeiten für lokale Aktionsgruppen und insbesondere technische Hilfe für die gebietsübergreifende und transnationale Zusammenarbeit, Erleichterung der Zusammenarbeit zwischen lokalen Aktionsgruppen und der Partnersuche für M16 (Zusammenarbeit). Das NRN kann beispielsweise kooperative Bemühungen erleichtern, mit denen Versuchstätigkeiten und Innovationen gefördert werden.</w:t>
                      </w:r>
                    </w:p>
                    <w:p w:rsidR="00827FB4" w:rsidRPr="0079762F" w:rsidRDefault="00827FB4" w:rsidP="00827FB4">
                      <w:pPr>
                        <w:pStyle w:val="HStandard"/>
                        <w:ind w:left="567" w:hanging="567"/>
                        <w:rPr>
                          <w:i/>
                          <w:sz w:val="18"/>
                          <w:szCs w:val="18"/>
                        </w:rPr>
                      </w:pPr>
                      <w:r>
                        <w:rPr>
                          <w:b/>
                          <w:color w:val="F07E31"/>
                          <w:sz w:val="18"/>
                          <w:szCs w:val="18"/>
                        </w:rPr>
                        <w:t>Schaffung eines innovationsfördernden Umfelds:</w:t>
                      </w:r>
                    </w:p>
                    <w:p w:rsidR="00827FB4" w:rsidRPr="00ED3BAD" w:rsidRDefault="00827FB4" w:rsidP="00827FB4">
                      <w:pPr>
                        <w:pStyle w:val="HStandard"/>
                        <w:numPr>
                          <w:ilvl w:val="0"/>
                          <w:numId w:val="29"/>
                        </w:numPr>
                        <w:ind w:left="567" w:hanging="567"/>
                        <w:rPr>
                          <w:sz w:val="18"/>
                          <w:szCs w:val="18"/>
                        </w:rPr>
                      </w:pPr>
                      <w:r>
                        <w:rPr>
                          <w:sz w:val="18"/>
                          <w:szCs w:val="18"/>
                        </w:rPr>
                        <w:t>Durch die Teilnahme an und Beiträge zu Aktivitäten der europäischen Netzwerke, darunter insbesondere ENRD und EIP-AGRI, können sich Möglichkeiten zur Förderung günstiger Rahmenbedingungen für Innovationen über diese Netzwerke ergeben.</w:t>
                      </w:r>
                    </w:p>
                    <w:p w:rsidR="00827FB4" w:rsidRPr="00547012" w:rsidRDefault="00827FB4" w:rsidP="00827FB4">
                      <w:pPr>
                        <w:pStyle w:val="HStandard"/>
                        <w:numPr>
                          <w:ilvl w:val="0"/>
                          <w:numId w:val="29"/>
                        </w:numPr>
                        <w:ind w:left="567" w:hanging="567"/>
                        <w:rPr>
                          <w:sz w:val="18"/>
                          <w:szCs w:val="18"/>
                        </w:rPr>
                      </w:pPr>
                      <w:r>
                        <w:rPr>
                          <w:sz w:val="18"/>
                          <w:szCs w:val="18"/>
                        </w:rPr>
                        <w:t>NRN können Innovationen durch eine Verknüpfung von Akteuren im Bereich Innovation (Landwirte, Forscher, NRO, LAG usw.) fördern, indem Informationen gesammelt und Bottom-up-Initiativen angeregt werden, die Weiterentwicklung innovativer Ideen gefördert und die Partnersuche und Finanzierung unterstützt wird, wodurch zu einem innovationsfördernden Umfeld beigetragen wird.</w:t>
                      </w:r>
                    </w:p>
                  </w:txbxContent>
                </v:textbox>
                <w10:wrap type="tight"/>
              </v:shape>
            </w:pict>
          </mc:Fallback>
        </mc:AlternateContent>
      </w:r>
      <w:r w:rsidR="00A45935">
        <w:t xml:space="preserve">Es ist anzumerken, dass sich diese Bewertungsfrage auf die Innovationsförderung durch NRN nicht nur in der Landwirtschaft bezieht, sondern ländliche Gebiete in ihrer Gesamtheit betrifft. NRN können </w:t>
      </w:r>
      <w:r w:rsidR="00A45935">
        <w:lastRenderedPageBreak/>
        <w:t>sich auf vielfältige Weise an der Innovationsförderung beteiligen und „etwas Neues“ in die ländlichen Gemeinschaften einbringen, indem sie</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zusammen mit ländlichen Organisationen und Unternehmen an der Entwicklung neuer Ideen und Ansätze zur Bewältigung gemeinsamer Bedürfnisse arbeiten;</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bewährte Verfahrensweisen nutzbar machen, indem sie Verbindungen zwischen Praxisvertretern aus dem Bereich der ländlichen Entwicklung und einschlägigen Experten, Wissenschaftlern und Forschungseinrichtungen herstellen.</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Schulungen zu speziellen innovationsbezogenen Themen bereitstellen;</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 xml:space="preserve">LAG und LEADER-Akteure dahingehend unterstützen, Innovation als Grundprinzip ihrer lokalen Entwicklungsstrategien zu fördern und neue Ideen und Ansätze weiterzuentwickeln. </w:t>
      </w:r>
    </w:p>
    <w:p w:rsidR="00A45935" w:rsidRPr="00E05D08" w:rsidRDefault="00A45935" w:rsidP="00E05D08">
      <w:pPr>
        <w:spacing w:after="120" w:line="280" w:lineRule="atLeast"/>
        <w:mirrorIndents/>
        <w:rPr>
          <w:rFonts w:eastAsia="Times New Roman" w:cs="Times New Roman"/>
          <w:szCs w:val="20"/>
        </w:rPr>
      </w:pPr>
      <w:r>
        <w:t>Vor der Beantwortung von CEQ Nr. 21 ist es deshalb wichtig, diese Aspekte zu klären und ein gutes Verständnis darüber zu erlangen, wie ein bestimmtes NRN im Rahmen seiner Tätigkeiten zur Innovationsförderung beitragen kann.</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Besondere Herausforderungen </w:t>
      </w:r>
    </w:p>
    <w:p w:rsidR="00A45935" w:rsidRPr="00C9522B" w:rsidRDefault="00A45935" w:rsidP="00547012">
      <w:pPr>
        <w:pStyle w:val="Hlistbullet"/>
      </w:pPr>
      <w:r>
        <w:rPr>
          <w:b/>
          <w:shd w:val="clear" w:color="auto" w:fill="FFFFFF"/>
        </w:rPr>
        <w:t>Entwicklung zusätzlicher und programmspezifischer Bewertungselemente für die Bewertung von Innovation in Verbindung mit NRN</w:t>
      </w:r>
      <w:r>
        <w:rPr>
          <w:shd w:val="clear" w:color="auto" w:fill="FFFFFF"/>
        </w:rPr>
        <w:t>. Wie können neben</w:t>
      </w:r>
      <w:r>
        <w:t xml:space="preserve"> den Outputindikatoren, die durch das CMES bereits zur Verfügung stehen, zusätzliche (Ergebnis- und Wirkungs-)Indikatoren entwickelt und angewendet werden, um CEQ Nr. 21 aus dem Blickwinkel </w:t>
      </w:r>
      <w:r>
        <w:rPr>
          <w:shd w:val="clear" w:color="auto" w:fill="FFFFFF"/>
        </w:rPr>
        <w:t>der</w:t>
      </w:r>
      <w:r>
        <w:t xml:space="preserve"> Innovationsförderung zu beantworten? </w:t>
      </w:r>
    </w:p>
    <w:p w:rsidR="00A45935" w:rsidRPr="00C9522B" w:rsidRDefault="00A45935" w:rsidP="00547012">
      <w:pPr>
        <w:pStyle w:val="Hlistbullet"/>
      </w:pPr>
      <w:r>
        <w:rPr>
          <w:b/>
          <w:shd w:val="clear" w:color="auto" w:fill="FFFFFF"/>
        </w:rPr>
        <w:t xml:space="preserve">Zuschreibung von Innovationsprozessen zu NRN-Interventionen. </w:t>
      </w:r>
      <w:r>
        <w:rPr>
          <w:shd w:val="clear" w:color="auto" w:fill="FFFFFF"/>
        </w:rPr>
        <w:t>Wie lässt sich ermitteln, inwieweit die in ländlichen Gebieten entstandenen Innovationsprozesse direkt oder</w:t>
      </w:r>
      <w:r>
        <w:t xml:space="preserve"> indirekt </w:t>
      </w:r>
      <w:r>
        <w:rPr>
          <w:shd w:val="clear" w:color="auto" w:fill="FFFFFF"/>
        </w:rPr>
        <w:t>den Tätigkeiten von NRN zugeschrieben werden können?</w:t>
      </w:r>
    </w:p>
    <w:p w:rsidR="00A45935" w:rsidRPr="00C9522B" w:rsidRDefault="00A45935" w:rsidP="00547012">
      <w:pPr>
        <w:pStyle w:val="Hlistbullet"/>
      </w:pPr>
      <w:r>
        <w:rPr>
          <w:b/>
        </w:rPr>
        <w:t>Zuschreibung von Innovationen, die durch das Programm zur Entwicklung des ländlichen Raums gefördert werden, zu den NRN</w:t>
      </w:r>
      <w:r>
        <w:t xml:space="preserve">, insbesondere durch eine Bewertung des Umfangs, in dem die über das Programm geförderte Innovation mit den Tätigkeiten des NRN in Zusammenhang gebracht werden kann. Dazu sollten die Auswirkungen der NRN-Tätigkeiten auf die Innovationsförderung getrennt von den Auswirkungen anderer Interventionen im Rahmen des Programms zur Entwicklung des ländlichen Raums (andere Maßnahmen usw.) betrachtet werden.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Empfohlenes Vorgehen bei der Beantwortung der CEQ Nr. 21</w:t>
      </w:r>
    </w:p>
    <w:p w:rsidR="00A45935" w:rsidRPr="00A304B0" w:rsidRDefault="00A45935" w:rsidP="008C0B17">
      <w:pPr>
        <w:numPr>
          <w:ilvl w:val="0"/>
          <w:numId w:val="60"/>
        </w:numPr>
        <w:spacing w:before="120" w:after="120" w:line="280" w:lineRule="atLeast"/>
        <w:ind w:left="567" w:hanging="567"/>
        <w:mirrorIndents/>
        <w:rPr>
          <w:rFonts w:eastAsia="Times New Roman" w:cs="Times New Roman"/>
          <w:b/>
          <w:szCs w:val="20"/>
        </w:rPr>
      </w:pPr>
      <w:r>
        <w:rPr>
          <w:b/>
          <w:szCs w:val="20"/>
        </w:rPr>
        <w:t xml:space="preserve">Interventionslogik </w:t>
      </w:r>
    </w:p>
    <w:p w:rsidR="00A45935" w:rsidRPr="00E05D08" w:rsidRDefault="00A45935" w:rsidP="00E05D08">
      <w:pPr>
        <w:spacing w:after="120" w:line="280" w:lineRule="atLeast"/>
        <w:mirrorIndents/>
        <w:rPr>
          <w:rFonts w:eastAsia="Times New Roman" w:cs="Times New Roman"/>
          <w:szCs w:val="20"/>
        </w:rPr>
      </w:pPr>
      <w:r>
        <w:t>Das Innovationskonzept des Programms zur Entwicklung des ländlichen Raums, das während der Programmgestaltung</w:t>
      </w:r>
      <w:r w:rsidRPr="00E05D08">
        <w:rPr>
          <w:rFonts w:eastAsia="Times New Roman" w:cs="Times New Roman"/>
          <w:szCs w:val="20"/>
          <w:vertAlign w:val="superscript"/>
          <w:lang w:eastAsia="de-DE"/>
        </w:rPr>
        <w:footnoteReference w:id="61"/>
      </w:r>
      <w:r>
        <w:t xml:space="preserve"> festgelegt wird, schließt auch das NRN ein. Bei der Vorbereitung der Bewertung für den jährlichen Durchführungsbericht 2019 werden die im NRN-Aktionsplan aufgeführten Aktionsgruppen auf ihr Potenzial hin geprüft, Innovation in gleicher Weise zu fördern wie Maßnahmen des Programms zur Entwicklung des ländlichen Raums. Diese Prüfung bezieht sich auf das Potenzial von NRN in folgenden Bereichen: a) Ermittlung und Austausch neuer Ideen, b) Verbesserung der Innovationsfähigkeit, c) Schaffung eines innovationsfördernden Umfelds. Dementsprechend werden alle Aktivitäten, die innerhalb der Gruppe von Aktionen des NRN durchgeführt wurden und Innovationspotenzial gezeigt haben, als Teil der zugrunde liegenden Interventionslogik des NRN berücksichtigt.</w:t>
      </w:r>
    </w:p>
    <w:p w:rsidR="00A45935" w:rsidRPr="00E05D08" w:rsidRDefault="00A45935" w:rsidP="006E2A31">
      <w:pPr>
        <w:pStyle w:val="HStandard"/>
        <w:rPr>
          <w:b/>
          <w:sz w:val="16"/>
        </w:rPr>
      </w:pPr>
      <w:r>
        <w:lastRenderedPageBreak/>
        <w:t xml:space="preserve">Die nachstehende Abbildung veranschaulicht die innovationsbezogene Interventionslogik des NRN und wie sie aus der bestehenden Interventionslogik des NRN oder aus dem Aktionsplan des NRN rekonstruiert werden kann. </w:t>
      </w:r>
    </w:p>
    <w:p w:rsidR="00A45935" w:rsidRPr="00CB68D9" w:rsidRDefault="00A45935" w:rsidP="00676B41">
      <w:pPr>
        <w:pStyle w:val="HHeadingfigures"/>
      </w:pPr>
      <w:bookmarkStart w:id="120" w:name="_Toc508377966"/>
      <w:r>
        <w:t>Innovationsbezogene Interventionslogik des NRN</w:t>
      </w:r>
      <w:bookmarkEnd w:id="120"/>
    </w:p>
    <w:p w:rsidR="00A45935" w:rsidRPr="00E05D08" w:rsidRDefault="006864FC" w:rsidP="00E05D08">
      <w:pPr>
        <w:spacing w:before="240" w:after="120" w:line="280" w:lineRule="atLeast"/>
        <w:ind w:left="-142"/>
        <w:mirrorIndents/>
        <w:jc w:val="center"/>
        <w:rPr>
          <w:rFonts w:eastAsia="Times New Roman" w:cs="Times New Roman"/>
          <w:b/>
          <w:szCs w:val="20"/>
        </w:rPr>
      </w:pPr>
      <w:r w:rsidRPr="006864FC">
        <w:rPr>
          <w:noProof/>
          <w:lang w:val="en-GB" w:eastAsia="en-GB"/>
        </w:rPr>
        <w:drawing>
          <wp:inline distT="0" distB="0" distL="0" distR="0" wp14:anchorId="6A3ED851" wp14:editId="07FD999C">
            <wp:extent cx="5731510" cy="3640771"/>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3640771"/>
                    </a:xfrm>
                    <a:prstGeom prst="rect">
                      <a:avLst/>
                    </a:prstGeom>
                    <a:noFill/>
                    <a:ln>
                      <a:noFill/>
                    </a:ln>
                  </pic:spPr>
                </pic:pic>
              </a:graphicData>
            </a:graphic>
          </wp:inline>
        </w:drawing>
      </w:r>
    </w:p>
    <w:p w:rsidR="00A45935" w:rsidRPr="00E05D08" w:rsidRDefault="00A45935" w:rsidP="00177C4F">
      <w:pPr>
        <w:suppressAutoHyphens/>
        <w:spacing w:before="60" w:after="140" w:line="240" w:lineRule="auto"/>
        <w:mirrorIndents/>
        <w:jc w:val="center"/>
        <w:rPr>
          <w:rFonts w:eastAsia="Times New Roman" w:cs="Times New Roman"/>
          <w:i/>
          <w:sz w:val="16"/>
          <w:szCs w:val="20"/>
        </w:rPr>
      </w:pPr>
      <w:r>
        <w:rPr>
          <w:i/>
          <w:sz w:val="16"/>
          <w:szCs w:val="20"/>
        </w:rPr>
        <w:t>Quelle: Europäischer Evaluierungs-Helpdesk für ländliche Entwicklung, 2017.</w:t>
      </w:r>
    </w:p>
    <w:p w:rsidR="00A45935" w:rsidRPr="00E05D08" w:rsidRDefault="00A45935" w:rsidP="00E05D08">
      <w:pPr>
        <w:spacing w:before="120" w:after="120" w:line="280" w:lineRule="atLeast"/>
        <w:mirrorIndents/>
        <w:rPr>
          <w:rFonts w:eastAsia="Times New Roman" w:cs="Times New Roman"/>
          <w:szCs w:val="20"/>
        </w:rPr>
      </w:pPr>
      <w:r>
        <w:t>Ausgehend von der Abbildung kann eine innovationsbezogene Interventionslogik für NRN wie folgt rekonstruiert werden:</w:t>
      </w:r>
    </w:p>
    <w:p w:rsidR="00A45935" w:rsidRPr="00BC2432" w:rsidRDefault="00A45935" w:rsidP="00676B41">
      <w:pPr>
        <w:pStyle w:val="Hlistbullet"/>
      </w:pPr>
      <w:r>
        <w:rPr>
          <w:b/>
        </w:rPr>
        <w:t>SCHRITT 1:</w:t>
      </w:r>
      <w:r>
        <w:t xml:space="preserve"> Ermittlung des Innovationsbedarfs in dem Gebiet des Programms zur Entwicklung des ländlichen Raums, der über Netze für den ländlichen Raum in Angriff genommen werden kann. </w:t>
      </w:r>
    </w:p>
    <w:p w:rsidR="00A45935" w:rsidRPr="00BC2432" w:rsidRDefault="00A45935" w:rsidP="00676B41">
      <w:pPr>
        <w:pStyle w:val="Hlistbullet"/>
      </w:pPr>
      <w:r>
        <w:rPr>
          <w:b/>
        </w:rPr>
        <w:t>SCHRITT 2:</w:t>
      </w:r>
      <w:r>
        <w:t xml:space="preserve"> Verknüpfung der im Aktionsplan des NRN aufgeführten (und durch den Regelungsrahmen für den Programmplanungszeitraum 2014-2020</w:t>
      </w:r>
      <w:r w:rsidRPr="00406C98">
        <w:rPr>
          <w:rFonts w:cs="Arial"/>
          <w:vertAlign w:val="superscript"/>
        </w:rPr>
        <w:footnoteReference w:id="62"/>
      </w:r>
      <w:r>
        <w:t xml:space="preserve"> vorgegebenen) Aktivitäten mit den drei Pfaden und schließlich mit dem Gesamtziel der Innovationsförderung durch NRN (auf der Grundlage der Analyse des Innovationspotenzials der Maßnahmen – siehe </w:t>
      </w:r>
      <w:hyperlink w:anchor="Screening_Potential" w:history="1">
        <w:r>
          <w:rPr>
            <w:rStyle w:val="Hyperlink"/>
            <w:sz w:val="20"/>
          </w:rPr>
          <w:t>Kapitel 2.2</w:t>
        </w:r>
      </w:hyperlink>
      <w:r>
        <w:t>).</w:t>
      </w:r>
    </w:p>
    <w:p w:rsidR="00A45935" w:rsidRPr="00BC2432" w:rsidRDefault="00A45935" w:rsidP="00676B41">
      <w:pPr>
        <w:pStyle w:val="Hlistbullet"/>
      </w:pPr>
      <w:r>
        <w:rPr>
          <w:b/>
        </w:rPr>
        <w:t>SCHRITT 3:</w:t>
      </w:r>
      <w:r>
        <w:t xml:space="preserve"> Anwendung der Theorie des Wandels, um die in Verbindung mit den Aktivitäten erwarteten Outputs zu bestimmen, die zu den in Verbindung mit den drei Pfaden erwarteten Ergebnissen führen. Wirkungen in Verbindung mit den gemeinsamen Zielen des NRN und den Zielen des Programms zur Entwicklung des ländlichen Raums. </w:t>
      </w:r>
    </w:p>
    <w:p w:rsidR="00A45935" w:rsidRPr="00E05D08" w:rsidRDefault="00A45935" w:rsidP="008C0B17">
      <w:pPr>
        <w:numPr>
          <w:ilvl w:val="0"/>
          <w:numId w:val="60"/>
        </w:numPr>
        <w:spacing w:before="120" w:after="120" w:line="280" w:lineRule="atLeast"/>
        <w:ind w:left="567" w:hanging="567"/>
        <w:mirrorIndents/>
        <w:rPr>
          <w:rFonts w:eastAsia="Times New Roman" w:cs="Times New Roman"/>
          <w:b/>
          <w:szCs w:val="20"/>
        </w:rPr>
      </w:pPr>
      <w:r>
        <w:rPr>
          <w:b/>
          <w:szCs w:val="20"/>
        </w:rPr>
        <w:t xml:space="preserve">Bewertungselemente </w:t>
      </w:r>
    </w:p>
    <w:p w:rsidR="00A45935" w:rsidRPr="00E05D08" w:rsidRDefault="00A45935" w:rsidP="00676B41">
      <w:pPr>
        <w:spacing w:after="120" w:line="280" w:lineRule="atLeast"/>
        <w:ind w:left="142"/>
        <w:mirrorIndents/>
        <w:rPr>
          <w:rFonts w:eastAsia="Times New Roman" w:cs="Times New Roman"/>
          <w:szCs w:val="20"/>
        </w:rPr>
      </w:pPr>
      <w:r>
        <w:t xml:space="preserve">Es gibt ein Beurteilungskriterium für die Beantwortung der CEQ Nr. 21, nämlich die Frage, ob durch das NRN die Innovation in den Bereichen Landwirtschaft, Nahrungsmittelerzeugung und </w:t>
      </w:r>
      <w:r>
        <w:lastRenderedPageBreak/>
        <w:t>Forstwirtschaft und in ländlichen Gebieten gefördert wurde.</w:t>
      </w:r>
      <w:r w:rsidRPr="00E05D08">
        <w:rPr>
          <w:rFonts w:eastAsia="Times New Roman" w:cs="Times New Roman"/>
          <w:szCs w:val="20"/>
          <w:vertAlign w:val="superscript"/>
          <w:lang w:eastAsia="de-DE"/>
        </w:rPr>
        <w:footnoteReference w:id="63"/>
      </w:r>
      <w:r>
        <w:t xml:space="preserve"> Das Kriterium wird durch zwei gemeinsame Outputindikatoren unterstützt:</w:t>
      </w:r>
      <w:r w:rsidRPr="00E05D08">
        <w:rPr>
          <w:rFonts w:eastAsia="Times New Roman" w:cs="Times New Roman"/>
          <w:szCs w:val="20"/>
          <w:vertAlign w:val="superscript"/>
          <w:lang w:eastAsia="de-DE"/>
        </w:rPr>
        <w:footnoteReference w:id="64"/>
      </w:r>
    </w:p>
    <w:p w:rsidR="00A45935" w:rsidRPr="005D0347" w:rsidRDefault="00A45935" w:rsidP="008C0B17">
      <w:pPr>
        <w:numPr>
          <w:ilvl w:val="0"/>
          <w:numId w:val="95"/>
        </w:numPr>
        <w:tabs>
          <w:tab w:val="left" w:pos="426"/>
        </w:tabs>
        <w:ind w:left="426" w:hanging="284"/>
        <w:mirrorIndents/>
        <w:rPr>
          <w:szCs w:val="20"/>
        </w:rPr>
      </w:pPr>
      <w:r>
        <w:t>Zahl der thematischen und analytischen Austauschmöglichkeiten, die mit Unterstützung des nationalen Netzwerks für den ländlichen Raum geschaffen wurden (O.24)</w:t>
      </w:r>
    </w:p>
    <w:p w:rsidR="00A45935" w:rsidRPr="005D0347" w:rsidRDefault="00A45935" w:rsidP="008C0B17">
      <w:pPr>
        <w:numPr>
          <w:ilvl w:val="0"/>
          <w:numId w:val="95"/>
        </w:numPr>
        <w:tabs>
          <w:tab w:val="left" w:pos="426"/>
        </w:tabs>
        <w:ind w:left="426" w:hanging="284"/>
        <w:mirrorIndents/>
        <w:rPr>
          <w:szCs w:val="20"/>
        </w:rPr>
      </w:pPr>
      <w:r>
        <w:t>Zahl der Maßnahmen des Europäischen Netzwerks für die Entwicklung des ländlichen Raums, an denen das nationale Netzwerk teilgenommen hat (O.26)</w:t>
      </w:r>
    </w:p>
    <w:p w:rsidR="00A45935" w:rsidRPr="00E05D08" w:rsidRDefault="00A45935" w:rsidP="00E05D08">
      <w:pPr>
        <w:spacing w:after="120" w:line="280" w:lineRule="atLeast"/>
        <w:mirrorIndents/>
        <w:rPr>
          <w:rFonts w:eastAsia="Times New Roman" w:cs="Times New Roman"/>
          <w:szCs w:val="20"/>
        </w:rPr>
      </w:pPr>
      <w:r>
        <w:t>In Tabelle 5 werden zusätzliche Beurteilungskriterien und Indikatoren vorgeschlagen. Zu diesem Zweck wurde das bestehende Beurteilungskriterium in mehrere Kriterien entlang der drei Innovationspfade unterteilt.</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412D26" w:rsidRDefault="00A45935" w:rsidP="00412D26">
      <w:pPr>
        <w:pStyle w:val="HHeadingtables"/>
        <w:rPr>
          <w:color w:val="6F6F6F"/>
          <w:sz w:val="18"/>
          <w:szCs w:val="18"/>
        </w:rPr>
      </w:pPr>
      <w:bookmarkStart w:id="121" w:name="_Toc508377853"/>
      <w:r>
        <w:rPr>
          <w:color w:val="6F6F6F"/>
          <w:sz w:val="18"/>
          <w:szCs w:val="18"/>
        </w:rPr>
        <w:lastRenderedPageBreak/>
        <w:t>Vorgeschlagene zusätzliche Beurteilungskriterien, Indikatoren und Datenanforderungen zur Beantwortung der CEQ Nr. 21</w:t>
      </w:r>
      <w:bookmarkEnd w:id="121"/>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A45935" w:rsidRPr="00E05D08" w:rsidTr="00E05D08">
        <w:trPr>
          <w:tblHeader/>
        </w:trPr>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Beurteilungskriterien</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Indikatoren</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Erforderliche Daten</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Datenquellen</w:t>
            </w:r>
          </w:p>
        </w:tc>
      </w:tr>
      <w:tr w:rsidR="00A45935" w:rsidRPr="00E05D08" w:rsidTr="00E05D08">
        <w:trPr>
          <w:trHeight w:val="290"/>
        </w:trPr>
        <w:tc>
          <w:tcPr>
            <w:tcW w:w="14032" w:type="dxa"/>
            <w:gridSpan w:val="4"/>
            <w:shd w:val="clear" w:color="auto" w:fill="8BAB80"/>
          </w:tcPr>
          <w:p w:rsidR="00A45935" w:rsidRPr="00E54013" w:rsidRDefault="00A45935" w:rsidP="00E05D08">
            <w:pPr>
              <w:spacing w:after="120" w:line="280" w:lineRule="atLeast"/>
              <w:mirrorIndents/>
              <w:rPr>
                <w:rFonts w:cs="Arial"/>
                <w:b/>
                <w:color w:val="FFFFFF"/>
                <w:sz w:val="18"/>
                <w:szCs w:val="18"/>
              </w:rPr>
            </w:pPr>
            <w:r>
              <w:rPr>
                <w:b/>
                <w:color w:val="FFFFFF"/>
                <w:sz w:val="18"/>
                <w:szCs w:val="18"/>
              </w:rPr>
              <w:t xml:space="preserve">Gemeinsame Bewertungselemente (CMES und entsprechend den Vorschlägen in der Arbeitsunterlage </w:t>
            </w:r>
            <w:r>
              <w:rPr>
                <w:b/>
                <w:i/>
                <w:color w:val="FFFFFF"/>
                <w:sz w:val="18"/>
                <w:szCs w:val="18"/>
              </w:rPr>
              <w:t>„Common Evaluation Questions for Rural Development Programmes 2014-2020“ (Gemeinsame Bewertungsfragen 2014-2020)</w:t>
            </w:r>
            <w:r>
              <w:rPr>
                <w:b/>
                <w:color w:val="FFFFFF"/>
                <w:sz w:val="18"/>
                <w:szCs w:val="18"/>
              </w:rPr>
              <w:t>)</w:t>
            </w:r>
          </w:p>
        </w:tc>
      </w:tr>
      <w:tr w:rsidR="00A45935" w:rsidRPr="00E05D08" w:rsidTr="00E05D08">
        <w:trPr>
          <w:trHeight w:val="500"/>
        </w:trPr>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Die Innovation in den Bereichen Landwirtschaft, Nahrungsmittelerzeugung und Forstwirtschaft und in ländlichen Gebieten wurde durch das NRN gefördert.</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O.24 – Zahl der thematischen und analytischen (innovationsbezogenen) Austauschmöglichkeiten, die mit Unterstützung des nationalen Netzwerks für den ländlichen Raum geschaffen wurden.</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O.25 – Zahl der (innovationsbezogenen) Kommunikationswerkzeuge des nationalen Netzwerks für den ländlichen Raum.</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O.26 – Zahl der (innovationsbezogenen) Maßnahmen des Europäischen Netzwerks für die Entwicklung des ländlichen Raums, an denen das nationale Netzwerk teilgenommen hat. </w:t>
            </w:r>
          </w:p>
          <w:p w:rsidR="00A45935" w:rsidRPr="00385368" w:rsidRDefault="00A45935" w:rsidP="007E63EF">
            <w:pPr>
              <w:spacing w:after="120" w:line="280" w:lineRule="atLeast"/>
              <w:jc w:val="left"/>
              <w:rPr>
                <w:rFonts w:eastAsia="Calibri" w:cs="Arial"/>
                <w:color w:val="57825E"/>
                <w:sz w:val="18"/>
                <w:szCs w:val="18"/>
                <w:u w:val="single"/>
                <w14:textFill>
                  <w14:solidFill>
                    <w14:srgbClr w14:val="57825E">
                      <w14:lumMod w14:val="75000"/>
                      <w14:lumMod w14:val="75000"/>
                    </w14:srgbClr>
                  </w14:solidFill>
                </w14:textFill>
              </w:rPr>
            </w:pPr>
            <w:r>
              <w:rPr>
                <w:color w:val="57825E"/>
                <w:sz w:val="18"/>
                <w:szCs w:val="18"/>
                <w:u w:val="single"/>
                <w14:textFill>
                  <w14:solidFill>
                    <w14:srgbClr w14:val="57825E">
                      <w14:lumMod w14:val="75000"/>
                      <w14:lumMod w14:val="75000"/>
                    </w14:srgbClr>
                  </w14:solidFill>
                </w14:textFill>
              </w:rPr>
              <w:t>Zusätzlicher Indikator:</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color w:val="57825E"/>
                <w:sz w:val="18"/>
                <w:szCs w:val="18"/>
                <w14:textFill>
                  <w14:solidFill>
                    <w14:srgbClr w14:val="57825E">
                      <w14:lumMod w14:val="75000"/>
                      <w14:lumMod w14:val="75000"/>
                    </w14:srgbClr>
                  </w14:solidFill>
                </w14:textFill>
              </w:rPr>
              <w:t>Prozentualer Anteil der durch das NRN angeregten innovativen Projekte an der Gesamtzahl innovativer Projekte, die durch das Programm zur Entwicklung des ländlichen Raums unterstützt wurden.</w:t>
            </w:r>
            <w:r>
              <w:rPr>
                <w:sz w:val="18"/>
                <w:szCs w:val="18"/>
                <w14:textFill>
                  <w14:solidFill>
                    <w14:srgbClr w14:val="373737">
                      <w14:lumMod w14:val="75000"/>
                    </w14:srgbClr>
                  </w14:solidFill>
                </w14:textFill>
              </w:rPr>
              <w:t xml:space="preserve">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Daten zu innovativen thematischen und analytischen Austauschmöglichkeiten, die durch das NRN geschaffen wurden.</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Daten zu Kommunikationswerkzeugen im Zusammenhang mit der vom NRN angeregten Innovation.</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Informationen zu Tätigkeiten des Europäischen Netzwerks für die Entwicklung des ländlichen Raums im Zusammenhang mit Innovation unter Beteiligung des NRN.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Daten zu Innovationsprojekten im Rahmen des Programms zur Entwicklung des ländlichen Raums, die vom NRN auf den Weg gebracht/unterstützt wurden.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System zur Begleitung von Programmen zur Entwicklung des ländlichen Raums.</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Begleitung und Selbstbewertung im NRN.</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Begleitung im Europäischen Netzwerk für die Entwicklung des ländlichen Raums (Netzwerkstatistiken).</w:t>
            </w:r>
          </w:p>
        </w:tc>
      </w:tr>
      <w:tr w:rsidR="00A45935" w:rsidRPr="00E05D08" w:rsidTr="00E05D08">
        <w:trPr>
          <w:trHeight w:val="461"/>
        </w:trPr>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Zusätzliche Bewertungselemente in Verbindung mit dem Beitrag des NRN zur Ermittlung von Innovationen und dem diesbezüglichen Austausch (optional)</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Die Tätigkeiten des NRN in den Bereichen Öffentlichkeitsarbeit, Informationsbereitstellung und Kommunikation im Zusammenhang mit Innovation im Rahmen des Programms zur Entwicklung des ländlichen Raums haben zugenommen.</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Zahl der Tätigkeiten des NRN in den Bereichen Öffentlichkeitsarbeit, Informationsbereitstellung und Kommunikation im Zusammenhang mit Innovation.</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Zahl der Tätigkeiten des NRN in den Bereichen Öffentlichkeitsarbeit, Informationsbereitstellung und Kommunikation nach Thema.</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Begleitung und Selbstbewertung in den NRN.</w:t>
            </w:r>
          </w:p>
          <w:p w:rsidR="00A45935" w:rsidRPr="00E05D08" w:rsidRDefault="00E54013"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Befragungen.</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Publikationen des NRN.</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Zusätzliche Bewertungselemente in Verbindung mit dem Beitrag des NRN zur Verbesserung der Innovationsfähigkeit (optional)</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Die Schulungs- und Netzwerktätigkeiten des NRN haben zugenommen für: a) Berater und Dienste zur Innovationsförderung und/oder b) LAG.</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Zahl der Schulungs- und Netzwerktätigkeiten des NRN für: a) Berater und Dienste zur Innovationsförderung und/oder b) LAG.</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Zahl der Schulungs- und Netzwerktätigkeiten nach Zielgruppe.</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NRN (Begleitung, Selbstbewertung, Befragungen, Publikationen).</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LAG (Befragungen, Umfragen, Fokusgruppen).</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Die Fähigkeit von Beratern und Diensten zur Innovationsförderung, die Einrichtung von operationellen Gruppen zu erleichtern, hat sich durch die Tätigkeiten des NRN verbessert.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Zahl der operationellen Gruppen, die mit Unterstützung von Beratern/Diensten zur Innovationsförderung eingerichtet wurden, die an Schulungs-/Netzwerktätigkeiten des NRN teilgenommen haben.</w:t>
            </w:r>
          </w:p>
        </w:tc>
        <w:tc>
          <w:tcPr>
            <w:tcW w:w="3508" w:type="dxa"/>
          </w:tcPr>
          <w:p w:rsidR="00A45935" w:rsidRPr="00385368"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Zahl der operationellen Gruppen, die mit Unterstützung von Beratern/Diensten zur Innovationsförderung eingerichtet wurden.</w:t>
            </w:r>
          </w:p>
          <w:p w:rsidR="00A45935" w:rsidRPr="00385368"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Zahl der operationellen Gruppen, die mit Unterstützung von Beratern/Diensten zur Innovationsförderung eingerichtet wurden, die an Schulungs-/Netzwerktätigkeiten des NRN teilgenommen haben.</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NRN (Begleitung, Selbstbewertung, Befragungen, Publikationen).</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Umfragen/Fokusgruppen mit operationellen Gruppen.</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Umfragen/Fokusgruppen mit Beratern (Diensten zur Innovationsförderung).</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 xml:space="preserve">Zusätzliche Bewertungselemente in Verbindung mit dem Beitrag des NRN zur Schaffung eines innovationsfördernden Umfelds </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Die Beteiligung des NRN an innovationsbezogenen Maßnahmen des Europäischen Netzwerks für die </w:t>
            </w:r>
            <w:r>
              <w:rPr>
                <w:sz w:val="18"/>
                <w:szCs w:val="18"/>
                <w14:textFill>
                  <w14:solidFill>
                    <w14:srgbClr w14:val="373737">
                      <w14:lumMod w14:val="75000"/>
                    </w14:srgbClr>
                  </w14:solidFill>
                </w14:textFill>
              </w:rPr>
              <w:lastRenderedPageBreak/>
              <w:t>Entwicklung des ländlichen Raums hat zugenommen.</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 xml:space="preserve">Zahl der Maßnahmen des Europäischen Netzwerks für die Entwicklung des ländlichen Raums, an denen das nationale Netzwerk teilgenommen hat </w:t>
            </w:r>
            <w:r>
              <w:rPr>
                <w:sz w:val="18"/>
                <w:szCs w:val="18"/>
                <w14:textFill>
                  <w14:solidFill>
                    <w14:srgbClr w14:val="373737">
                      <w14:lumMod w14:val="75000"/>
                    </w14:srgbClr>
                  </w14:solidFill>
                </w14:textFill>
              </w:rPr>
              <w:lastRenderedPageBreak/>
              <w:t xml:space="preserve">(O.26) und die sich auf innovationsbezogene Themen bezogen.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 xml:space="preserve">Zahl der Maßnahmen des Europäischen Netzwerks für die Entwicklung des ländlichen Raums, an denen das </w:t>
            </w:r>
            <w:r>
              <w:rPr>
                <w:sz w:val="18"/>
                <w:szCs w:val="18"/>
                <w14:textFill>
                  <w14:solidFill>
                    <w14:srgbClr w14:val="373737">
                      <w14:lumMod w14:val="75000"/>
                    </w14:srgbClr>
                  </w14:solidFill>
                </w14:textFill>
              </w:rPr>
              <w:lastRenderedPageBreak/>
              <w:t>nationale Netzwerk teilgenommen hat (Datenelement O.26) nach Thema.</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Begleitungstabellen.</w:t>
            </w:r>
          </w:p>
          <w:p w:rsidR="00A45935" w:rsidRPr="00385368" w:rsidRDefault="00A45935" w:rsidP="009F1589">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NRN (Begleitung, Selbstbewertung, Befragungen, Publikationen).</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Die Beteiligung des NRN an Maßnahmen der EIP hat zugenommen.</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Zahl und Art der Beiträge des NRN zur EIP-AGRI, darunter:</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Einbringung von Beispielen für Projekte/bewährte Verfahrensweisen im Bereich Innovation;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Organisation von Zusammenkünften zum Thema Innovation;</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Netzwerkveranstaltungen zwischen Innovationsakteuren, darunter LAG und operationelle Gruppen;</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Grenzüberschreitender Austausch von Informationen über Projekte, Forschungsvorhaben, thematische Netzwerke und Finanzierungsmöglichkeiten im Rahmen von Horizont 2020;</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Unterstützende Tätigkeiten für Dienste zur Innovationsförderung mit dem Ziel, innovative Maßnahmen anzuregen und operationelle Gruppen einzurichten;</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Hilfe bei der Partnersuche.</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Zahl der Beiträge des NRN zur EIP nach Art gemäß Artikel 35 Absatz 2 Buchstaben a bis f der Verordnung (EU) Nr. 1305/2013.</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NRN (Begleitung, Selbstbewertung, Befragungen, Publikationen).</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Netzwerkstrukturen für Dienste zur Innovationsförderung auf Ebene der Mitgliedstaaten (wenn vom NRN abgegrenzt).</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EIP-Dienststelle.</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Umfragen/Fokusgruppen zu Projekten operationeller Gruppen.</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Verstärkung der Zusammenarbeit, des Austauschs und der Vernetzung </w:t>
            </w:r>
            <w:r>
              <w:rPr>
                <w:sz w:val="18"/>
                <w:szCs w:val="18"/>
                <w14:textFill>
                  <w14:solidFill>
                    <w14:srgbClr w14:val="373737">
                      <w14:lumMod w14:val="75000"/>
                    </w14:srgbClr>
                  </w14:solidFill>
                </w14:textFill>
              </w:rPr>
              <w:lastRenderedPageBreak/>
              <w:t>zwischen den Partnern von Innovationsprojekten.</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 xml:space="preserve">Zahl der zusätzlichen Netzwerke, Partnerschaften und/oder Kooperationsgruppen unter Partnern von </w:t>
            </w:r>
            <w:r>
              <w:rPr>
                <w:sz w:val="18"/>
                <w:szCs w:val="18"/>
                <w14:textFill>
                  <w14:solidFill>
                    <w14:srgbClr w14:val="373737">
                      <w14:lumMod w14:val="75000"/>
                    </w14:srgbClr>
                  </w14:solidFill>
                </w14:textFill>
              </w:rPr>
              <w:lastRenderedPageBreak/>
              <w:t xml:space="preserve">Innovationsprojekten, die vom NRN angeregt wurden.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 xml:space="preserve">Zahl der Netzwerke, Partnerschaften und/oder Kooperationsgruppen unter </w:t>
            </w:r>
            <w:r>
              <w:rPr>
                <w:sz w:val="18"/>
                <w:szCs w:val="18"/>
                <w14:textFill>
                  <w14:solidFill>
                    <w14:srgbClr w14:val="373737">
                      <w14:lumMod w14:val="75000"/>
                    </w14:srgbClr>
                  </w14:solidFill>
                </w14:textFill>
              </w:rPr>
              <w:lastRenderedPageBreak/>
              <w:t>Partnern von Innovationsprojekten, die vom NRN unterstützt wurden.</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NRN-Datenbank.</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Umfragen/Fokusgruppen.</w:t>
            </w:r>
          </w:p>
        </w:tc>
      </w:tr>
    </w:tbl>
    <w:p w:rsidR="00A45935" w:rsidRPr="00E05D08" w:rsidRDefault="00A45935" w:rsidP="00E05D08">
      <w:pPr>
        <w:spacing w:after="120" w:line="280" w:lineRule="atLeast"/>
        <w:mirrorIndents/>
        <w:rPr>
          <w:rFonts w:eastAsia="Times New Roman" w:cs="Times New Roman"/>
          <w:sz w:val="18"/>
          <w:szCs w:val="18"/>
          <w:lang w:eastAsia="de-DE"/>
        </w:rPr>
        <w:sectPr w:rsidR="00A45935" w:rsidRPr="00E05D08" w:rsidSect="001F6F07">
          <w:endnotePr>
            <w:numFmt w:val="decimal"/>
          </w:endnotePr>
          <w:pgSz w:w="16840" w:h="11907" w:orient="landscape" w:code="9"/>
          <w:pgMar w:top="1440" w:right="1440" w:bottom="1440" w:left="1134" w:header="567" w:footer="1020" w:gutter="0"/>
          <w:cols w:space="708"/>
          <w:noEndnote/>
          <w:docGrid w:linePitch="435"/>
        </w:sectPr>
      </w:pPr>
    </w:p>
    <w:p w:rsidR="00A45935" w:rsidRPr="00E05D08" w:rsidRDefault="00A45935" w:rsidP="001120E4">
      <w:pPr>
        <w:numPr>
          <w:ilvl w:val="0"/>
          <w:numId w:val="60"/>
        </w:numPr>
        <w:spacing w:before="120" w:after="120" w:line="280" w:lineRule="atLeast"/>
        <w:ind w:left="567" w:hanging="567"/>
        <w:mirrorIndents/>
        <w:rPr>
          <w:rFonts w:eastAsia="Times New Roman" w:cs="Times New Roman"/>
          <w:b/>
          <w:szCs w:val="20"/>
        </w:rPr>
      </w:pPr>
      <w:r>
        <w:rPr>
          <w:b/>
          <w:szCs w:val="20"/>
        </w:rPr>
        <w:lastRenderedPageBreak/>
        <w:t xml:space="preserve">Empfohlene Bewertungsmethode </w:t>
      </w:r>
    </w:p>
    <w:p w:rsidR="00A45935" w:rsidRPr="00E05D08" w:rsidRDefault="00A45935" w:rsidP="00E05D08">
      <w:pPr>
        <w:spacing w:after="120" w:line="280" w:lineRule="atLeast"/>
        <w:mirrorIndents/>
        <w:rPr>
          <w:rFonts w:eastAsia="Times New Roman" w:cs="Arial"/>
          <w:szCs w:val="20"/>
        </w:rPr>
      </w:pPr>
      <w:r>
        <w:t>Zur Beantwortung der CEQ Nr. 21 werden die folgenden Schritte empfohlen:</w:t>
      </w:r>
    </w:p>
    <w:p w:rsidR="00A45935" w:rsidRPr="007707EC" w:rsidRDefault="00A45935" w:rsidP="00676B41">
      <w:pPr>
        <w:pStyle w:val="Hlistbullet"/>
      </w:pPr>
      <w:r>
        <w:rPr>
          <w:b/>
        </w:rPr>
        <w:t>SCHRITT 1: Sammeln von Informationen, mit denen sich der Beitrag des NRN zur Innovationsförderung ermitteln lässt</w:t>
      </w:r>
      <w:r>
        <w:t>, von Interessenträgern, die an den Aktionen des NRN mit Innovationspotenzial beteiligt sind. Dazu können die Beurteilungskriterien und Indikatoren verwendet und die in Tabelle 6 angegebenen Methoden angewandt werden.</w:t>
      </w:r>
    </w:p>
    <w:p w:rsidR="00A45935" w:rsidRPr="007707EC" w:rsidRDefault="00A45935" w:rsidP="00676B41">
      <w:pPr>
        <w:pStyle w:val="Hlistbullet"/>
      </w:pPr>
      <w:r>
        <w:rPr>
          <w:b/>
        </w:rPr>
        <w:t>SCHRITT 2: Quantifizierung der innovationsbezogenen Outputindikatoren und NRN-spezifischen Indikatoren</w:t>
      </w:r>
      <w:r>
        <w:t xml:space="preserve"> auf der Grundlage der Begleitungsdaten zu den Tätigkeiten des NRN aus der Vorhabendatenbank des Programms zur Entwicklung des ländlichen Raums und aus dem Begleitungssystem für NRN. </w:t>
      </w:r>
    </w:p>
    <w:p w:rsidR="00A45935" w:rsidRPr="007707EC" w:rsidRDefault="00A45935" w:rsidP="00676B41">
      <w:pPr>
        <w:pStyle w:val="Hlistbullet"/>
      </w:pPr>
      <w:r>
        <w:rPr>
          <w:b/>
        </w:rPr>
        <w:t>SCHRITT 3: Anwendung der Theorie des Wandels, um die Feststellungen zum Innovationspotenzial</w:t>
      </w:r>
      <w:r>
        <w:t xml:space="preserve"> der NRN-Aktivitäten, die zu Beginn des Bewertungsverfahrens ermittelt wurden, mit den durchgeführten NRN-Aktivitäten zu vergleichen. Dazu gehört die Entwicklung einer kausalen Zeitreihe und die erzählende Beschreibung der Ergebnisse der NRN-Aktivitäten im Zusammenhang mit den Innovationspfaden und wie sie zustande gekommen sind (auch mithilfe der Informationen aus dem Begleitungssystem).</w:t>
      </w:r>
      <w:r>
        <w:rPr>
          <w:b/>
        </w:rPr>
        <w:t xml:space="preserve"> Überprüfung</w:t>
      </w:r>
      <w:r>
        <w:t xml:space="preserve"> des Vorstehenden mithilfe von Triangulationstechniken.</w:t>
      </w:r>
    </w:p>
    <w:p w:rsidR="00A45935" w:rsidRPr="007707EC" w:rsidRDefault="00A45935" w:rsidP="00676B41">
      <w:pPr>
        <w:pStyle w:val="Hlistbullet"/>
      </w:pPr>
      <w:r>
        <w:rPr>
          <w:b/>
        </w:rPr>
        <w:t>SCHRITT 4: Beantwortung der CEQ durch eine Beurteilung des Umfangs, in dem das NRN durch verschiedene Gruppen von Aktivitäten zur Innovationsförderung beigetragen hat</w:t>
      </w:r>
      <w:r>
        <w:t>, mithilfe einer Likert-Skala.</w:t>
      </w:r>
      <w:r w:rsidRPr="00406C98">
        <w:rPr>
          <w:rFonts w:cs="Arial"/>
          <w:vertAlign w:val="superscript"/>
        </w:rPr>
        <w:footnoteReference w:id="65"/>
      </w:r>
      <w:r>
        <w:t xml:space="preserve"> Auf einer ähnlichen Fünfpunkteskala sollte der Bewerter auch das Zuverlässigkeitsniveau des Befragten hinsichtlich der Ergebnisse einstufen. Die Einstufungen sind zu begründen.</w:t>
      </w:r>
    </w:p>
    <w:p w:rsidR="00A45935" w:rsidRPr="00E05D08" w:rsidRDefault="00A45935" w:rsidP="00E05D08">
      <w:pPr>
        <w:spacing w:after="120" w:line="280" w:lineRule="atLeast"/>
        <w:mirrorIndents/>
        <w:rPr>
          <w:rFonts w:eastAsia="Times New Roman" w:cs="Times New Roman"/>
          <w:szCs w:val="20"/>
        </w:rPr>
      </w:pPr>
      <w:r w:rsidRPr="00E05D08">
        <w:rPr>
          <w:rFonts w:eastAsia="Times New Roman" w:cs="Times New Roman"/>
          <w:noProof/>
          <w:sz w:val="18"/>
          <w:szCs w:val="24"/>
          <w:lang w:val="en-GB" w:eastAsia="en-GB"/>
        </w:rPr>
        <mc:AlternateContent>
          <mc:Choice Requires="wps">
            <w:drawing>
              <wp:inline distT="0" distB="0" distL="0" distR="0" wp14:anchorId="26FAA4A7" wp14:editId="788B703C">
                <wp:extent cx="5828030" cy="3902075"/>
                <wp:effectExtent l="0" t="0" r="20320" b="22225"/>
                <wp:docPr id="550" name="Rectangle: Diagonal Corners Rounded 550"/>
                <wp:cNvGraphicFramePr/>
                <a:graphic xmlns:a="http://schemas.openxmlformats.org/drawingml/2006/main">
                  <a:graphicData uri="http://schemas.microsoft.com/office/word/2010/wordprocessingShape">
                    <wps:wsp>
                      <wps:cNvSpPr/>
                      <wps:spPr>
                        <a:xfrm>
                          <a:off x="0" y="0"/>
                          <a:ext cx="5828030" cy="3902075"/>
                        </a:xfrm>
                        <a:prstGeom prst="round2DiagRect">
                          <a:avLst>
                            <a:gd name="adj1" fmla="val 6942"/>
                            <a:gd name="adj2" fmla="val 0"/>
                          </a:avLst>
                        </a:prstGeom>
                        <a:noFill/>
                        <a:ln w="25400" cap="flat" cmpd="sng" algn="ctr">
                          <a:solidFill>
                            <a:srgbClr val="F07E31"/>
                          </a:solidFill>
                          <a:prstDash val="solid"/>
                        </a:ln>
                        <a:effectLst/>
                      </wps:spPr>
                      <wps:txbx>
                        <w:txbxContent>
                          <w:p w:rsidR="00533F8C" w:rsidRPr="00E05D08" w:rsidRDefault="00533F8C" w:rsidP="00E05D08">
                            <w:pPr>
                              <w:pStyle w:val="HStandard"/>
                              <w:ind w:left="567" w:hanging="567"/>
                              <w:rPr>
                                <w:b/>
                                <w:color w:val="F07E31"/>
                                <w:sz w:val="18"/>
                                <w:szCs w:val="18"/>
                              </w:rPr>
                            </w:pPr>
                            <w:r w:rsidRPr="000041C9">
                              <w:rPr>
                                <w:noProof/>
                                <w:sz w:val="18"/>
                                <w:szCs w:val="18"/>
                                <w:lang w:val="en-GB" w:eastAsia="en-GB"/>
                              </w:rPr>
                              <w:drawing>
                                <wp:inline distT="0" distB="0" distL="0" distR="0" wp14:anchorId="71D59CEB" wp14:editId="2AF1E54C">
                                  <wp:extent cx="353060" cy="359410"/>
                                  <wp:effectExtent l="0" t="0" r="8890" b="2540"/>
                                  <wp:docPr id="71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Beispiele aus den jährlichen Durchführungsberichten von 2017</w:t>
                            </w:r>
                          </w:p>
                          <w:p w:rsidR="00533F8C" w:rsidRPr="00EF653F" w:rsidRDefault="00533F8C" w:rsidP="00E05D08">
                            <w:pPr>
                              <w:pStyle w:val="HStandard"/>
                              <w:rPr>
                                <w:sz w:val="18"/>
                                <w:szCs w:val="18"/>
                              </w:rPr>
                            </w:pPr>
                            <w:r>
                              <w:rPr>
                                <w:b/>
                                <w:sz w:val="18"/>
                                <w:szCs w:val="18"/>
                              </w:rPr>
                              <w:t xml:space="preserve">Tschechische Republik </w:t>
                            </w:r>
                            <w:r>
                              <w:rPr>
                                <w:sz w:val="18"/>
                                <w:szCs w:val="18"/>
                              </w:rPr>
                              <w:t>– verweist auf Fallstudien, die sich auf Informationen von den Begünstigten innovativer Projekte stützen. Es wird vorgeschlagen, die Daten zu innovativen Projekten für die Outputindikatoren O.24 und O.25 über die Vorhabendatenbank nachzuverfolgen und in der Bewertung 2019 zu verwenden:</w:t>
                            </w:r>
                          </w:p>
                          <w:p w:rsidR="00533F8C" w:rsidRPr="00EF653F" w:rsidRDefault="00533F8C" w:rsidP="008C0B17">
                            <w:pPr>
                              <w:pStyle w:val="HStandard"/>
                              <w:numPr>
                                <w:ilvl w:val="0"/>
                                <w:numId w:val="49"/>
                              </w:numPr>
                              <w:tabs>
                                <w:tab w:val="left" w:pos="5702"/>
                              </w:tabs>
                              <w:ind w:left="567" w:hanging="567"/>
                              <w:rPr>
                                <w:sz w:val="18"/>
                                <w:szCs w:val="18"/>
                              </w:rPr>
                            </w:pPr>
                            <w:r>
                              <w:rPr>
                                <w:sz w:val="18"/>
                                <w:szCs w:val="18"/>
                              </w:rPr>
                              <w:t xml:space="preserve">O.24 – Zahl der thematischen und analytischen Austauschmöglichkeiten für Akteure im Bereich der ländlichen Entwicklung (mit Schwerpunkt auf Beratern und Diensten zur Innovationsförderung), die mit Unterstützung des nationalen Netzwerks für den ländlichen Raum geschaffen wurden. </w:t>
                            </w:r>
                          </w:p>
                          <w:p w:rsidR="00533F8C" w:rsidRPr="00EF653F" w:rsidRDefault="00533F8C" w:rsidP="008C0B17">
                            <w:pPr>
                              <w:pStyle w:val="HStandard"/>
                              <w:numPr>
                                <w:ilvl w:val="0"/>
                                <w:numId w:val="49"/>
                              </w:numPr>
                              <w:tabs>
                                <w:tab w:val="left" w:pos="5702"/>
                              </w:tabs>
                              <w:ind w:left="567" w:hanging="567"/>
                              <w:rPr>
                                <w:sz w:val="18"/>
                                <w:szCs w:val="18"/>
                              </w:rPr>
                            </w:pPr>
                            <w:r>
                              <w:rPr>
                                <w:sz w:val="18"/>
                                <w:szCs w:val="18"/>
                              </w:rPr>
                              <w:t>O.25 – Zahl der Kommunikationswerkzeuge des nationalen Netzwerks für den ländlichen Raum (mit Schwerpunkt auf Beratern und Diensten zur Innovationsförderung).</w:t>
                            </w:r>
                          </w:p>
                          <w:p w:rsidR="00533F8C" w:rsidRDefault="00533F8C" w:rsidP="00E05D08">
                            <w:pPr>
                              <w:pStyle w:val="HStandard"/>
                              <w:rPr>
                                <w:sz w:val="18"/>
                                <w:szCs w:val="18"/>
                              </w:rPr>
                            </w:pPr>
                            <w:r>
                              <w:rPr>
                                <w:b/>
                                <w:sz w:val="18"/>
                                <w:szCs w:val="18"/>
                              </w:rPr>
                              <w:t>Slowakei</w:t>
                            </w:r>
                            <w:r>
                              <w:rPr>
                                <w:sz w:val="18"/>
                                <w:szCs w:val="18"/>
                              </w:rPr>
                              <w:t xml:space="preserve"> – beschreibt Befragungen von beteiligten Akteuren (NRN und Teilnehmer an NRN-Aktivitäten) zur Erfassung von Daten für zusätzliche Indikatoren: Prozentualer Anteil der durch das NRN geförderten innovativen Projekte an der Gesamtzahl innovativer Projekte, die durch das Programm zur Entwicklung des ländlichen Raums unterstützt wurden. </w:t>
                            </w:r>
                          </w:p>
                          <w:p w:rsidR="00533F8C" w:rsidRPr="00ED3BAD" w:rsidRDefault="00533F8C" w:rsidP="00E05D08">
                            <w:pPr>
                              <w:pStyle w:val="HStandard"/>
                              <w:rPr>
                                <w:sz w:val="18"/>
                                <w:szCs w:val="18"/>
                              </w:rPr>
                            </w:pPr>
                            <w:r>
                              <w:rPr>
                                <w:b/>
                                <w:sz w:val="18"/>
                                <w:szCs w:val="18"/>
                              </w:rPr>
                              <w:t>Castilla y León</w:t>
                            </w:r>
                            <w:r>
                              <w:rPr>
                                <w:sz w:val="18"/>
                                <w:szCs w:val="18"/>
                              </w:rPr>
                              <w:t xml:space="preserve"> </w:t>
                            </w:r>
                            <w:r>
                              <w:rPr>
                                <w:b/>
                                <w:sz w:val="18"/>
                                <w:szCs w:val="18"/>
                              </w:rPr>
                              <w:t xml:space="preserve">(ES) </w:t>
                            </w:r>
                            <w:r>
                              <w:rPr>
                                <w:sz w:val="18"/>
                                <w:szCs w:val="18"/>
                              </w:rPr>
                              <w:t>– empfiehlt die Einführung eines Indikators in das Begleitungssystem, mit dem die Zahl der Teilnehmer an Projekten im Rahmen der M16 gemessen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FAA4A7" id="Rectangle: Diagonal Corners Rounded 550" o:spid="_x0000_s1051" style="width:458.9pt;height:307.25pt;visibility:visible;mso-wrap-style:square;mso-left-percent:-10001;mso-top-percent:-10001;mso-position-horizontal:absolute;mso-position-horizontal-relative:char;mso-position-vertical:absolute;mso-position-vertical-relative:line;mso-left-percent:-10001;mso-top-percent:-10001;v-text-anchor:middle" coordsize="5828030,3902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" adj="-11796480,,5400" path="m270882,l5828030,r,l5828030,3631193v,149604,-121278,270882,-270882,270882l,3902075r,l,270882c,121278,121278,,270882,xe" filled="f" strokecolor="#f07e31" strokeweight="2pt">
                <v:stroke joinstyle="miter"/>
                <v:formulas/>
                <v:path arrowok="t" o:connecttype="custom" o:connectlocs="270882,0;5828030,0;5828030,0;5828030,3631193;5557148,3902075;0,3902075;0,3902075;0,270882;270882,0" o:connectangles="0,0,0,0,0,0,0,0,0" textboxrect="0,0,5828030,3902075"/>
                <v:textbox>
                  <w:txbxContent>
                    <w:p w:rsidR="00533F8C" w:rsidRPr="00E05D08" w:rsidRDefault="00533F8C" w:rsidP="00E05D08">
                      <w:pPr>
                        <w:pStyle w:val="HStandard"/>
                        <w:ind w:left="567" w:hanging="567"/>
                        <w:rPr>
                          <w:b/>
                          <w:color w:val="F07E31"/>
                          <w:sz w:val="18"/>
                          <w:szCs w:val="18"/>
                        </w:rPr>
                      </w:pPr>
                      <w:r w:rsidRPr="000041C9">
                        <w:rPr>
                          <w:noProof/>
                          <w:sz w:val="18"/>
                          <w:szCs w:val="18"/>
                          <w:lang w:val="en-GB" w:eastAsia="en-GB"/>
                        </w:rPr>
                        <w:drawing>
                          <wp:inline distT="0" distB="0" distL="0" distR="0" wp14:anchorId="71D59CEB" wp14:editId="2AF1E54C">
                            <wp:extent cx="353060" cy="359410"/>
                            <wp:effectExtent l="0" t="0" r="8890" b="2540"/>
                            <wp:docPr id="71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Beispiele aus den jährlichen Durchführungsberichten von 2017</w:t>
                      </w:r>
                    </w:p>
                    <w:p w:rsidR="00533F8C" w:rsidRPr="00EF653F" w:rsidRDefault="00533F8C" w:rsidP="00E05D08">
                      <w:pPr>
                        <w:pStyle w:val="HStandard"/>
                        <w:rPr>
                          <w:sz w:val="18"/>
                          <w:szCs w:val="18"/>
                        </w:rPr>
                      </w:pPr>
                      <w:r>
                        <w:rPr>
                          <w:b/>
                          <w:sz w:val="18"/>
                          <w:szCs w:val="18"/>
                        </w:rPr>
                        <w:t xml:space="preserve">Tschechische Republik </w:t>
                      </w:r>
                      <w:r>
                        <w:rPr>
                          <w:sz w:val="18"/>
                          <w:szCs w:val="18"/>
                        </w:rPr>
                        <w:t>– verweist auf Fallstudien, die sich auf Informationen von den Begünstigten innovativer Projekte stützen. Es wird vorgeschlagen, die Daten zu innovativen Projekten für die Outputindikatoren O.24 und O.25 über die Vorhabendatenbank nachzuverfolgen und in der Bewertung 2019 zu verwenden:</w:t>
                      </w:r>
                    </w:p>
                    <w:p w:rsidR="00533F8C" w:rsidRPr="00EF653F" w:rsidRDefault="00533F8C" w:rsidP="008C0B17">
                      <w:pPr>
                        <w:pStyle w:val="HStandard"/>
                        <w:numPr>
                          <w:ilvl w:val="0"/>
                          <w:numId w:val="49"/>
                        </w:numPr>
                        <w:tabs>
                          <w:tab w:val="left" w:pos="5702"/>
                        </w:tabs>
                        <w:ind w:left="567" w:hanging="567"/>
                        <w:rPr>
                          <w:sz w:val="18"/>
                          <w:szCs w:val="18"/>
                        </w:rPr>
                      </w:pPr>
                      <w:r>
                        <w:rPr>
                          <w:sz w:val="18"/>
                          <w:szCs w:val="18"/>
                        </w:rPr>
                        <w:t xml:space="preserve">O.24 – Zahl der thematischen und analytischen Austauschmöglichkeiten für Akteure im Bereich der ländlichen Entwicklung (mit Schwerpunkt auf Beratern und Diensten zur Innovationsförderung), die mit Unterstützung des nationalen Netzwerks für den ländlichen Raum geschaffen wurden. </w:t>
                      </w:r>
                    </w:p>
                    <w:p w:rsidR="00533F8C" w:rsidRPr="00EF653F" w:rsidRDefault="00533F8C" w:rsidP="008C0B17">
                      <w:pPr>
                        <w:pStyle w:val="HStandard"/>
                        <w:numPr>
                          <w:ilvl w:val="0"/>
                          <w:numId w:val="49"/>
                        </w:numPr>
                        <w:tabs>
                          <w:tab w:val="left" w:pos="5702"/>
                        </w:tabs>
                        <w:ind w:left="567" w:hanging="567"/>
                        <w:rPr>
                          <w:sz w:val="18"/>
                          <w:szCs w:val="18"/>
                        </w:rPr>
                      </w:pPr>
                      <w:r>
                        <w:rPr>
                          <w:sz w:val="18"/>
                          <w:szCs w:val="18"/>
                        </w:rPr>
                        <w:t>O.25 – Zahl der Kommunikationswerkzeuge des nationalen Netzwerks für den ländlichen Raum (mit Schwerpunkt auf Beratern und Diensten zur Innovationsförderung).</w:t>
                      </w:r>
                    </w:p>
                    <w:p w:rsidR="00533F8C" w:rsidRDefault="00533F8C" w:rsidP="00E05D08">
                      <w:pPr>
                        <w:pStyle w:val="HStandard"/>
                        <w:rPr>
                          <w:sz w:val="18"/>
                          <w:szCs w:val="18"/>
                        </w:rPr>
                      </w:pPr>
                      <w:r>
                        <w:rPr>
                          <w:b/>
                          <w:sz w:val="18"/>
                          <w:szCs w:val="18"/>
                        </w:rPr>
                        <w:t>Slowakei</w:t>
                      </w:r>
                      <w:r>
                        <w:rPr>
                          <w:sz w:val="18"/>
                          <w:szCs w:val="18"/>
                        </w:rPr>
                        <w:t xml:space="preserve"> – beschreibt Befragungen von beteiligten Akteuren (NRN und Teilnehmer an NRN-Aktivitäten) zur Erfassung von Daten für zusätzliche Indikatoren: Prozentualer Anteil der durch das NRN geförderten innovativen Projekte an der Gesamtzahl innovativer Projekte, die durch das Programm zur Entwicklung des ländlichen Raums unterstützt wurden. </w:t>
                      </w:r>
                    </w:p>
                    <w:p w:rsidR="00533F8C" w:rsidRPr="00ED3BAD" w:rsidRDefault="00533F8C" w:rsidP="00E05D08">
                      <w:pPr>
                        <w:pStyle w:val="HStandard"/>
                        <w:rPr>
                          <w:sz w:val="18"/>
                          <w:szCs w:val="18"/>
                        </w:rPr>
                      </w:pPr>
                      <w:r>
                        <w:rPr>
                          <w:b/>
                          <w:sz w:val="18"/>
                          <w:szCs w:val="18"/>
                        </w:rPr>
                        <w:t>Castilla y León</w:t>
                      </w:r>
                      <w:r>
                        <w:rPr>
                          <w:sz w:val="18"/>
                          <w:szCs w:val="18"/>
                        </w:rPr>
                        <w:t xml:space="preserve"> </w:t>
                      </w:r>
                      <w:r>
                        <w:rPr>
                          <w:b/>
                          <w:sz w:val="18"/>
                          <w:szCs w:val="18"/>
                        </w:rPr>
                        <w:t xml:space="preserve">(ES) </w:t>
                      </w:r>
                      <w:r>
                        <w:rPr>
                          <w:sz w:val="18"/>
                          <w:szCs w:val="18"/>
                        </w:rPr>
                        <w:t>– empfiehlt die Einführung eines Indikators in das Begleitungssystem, mit dem die Zahl der Teilnehmer an Projekten im Rahmen der M16 gemessen wird.</w:t>
                      </w:r>
                    </w:p>
                  </w:txbxContent>
                </v:textbox>
                <w10:anchorlock/>
              </v:shape>
            </w:pict>
          </mc:Fallback>
        </mc:AlternateContent>
      </w:r>
    </w:p>
    <w:p w:rsidR="00A45935" w:rsidRPr="00E05D08" w:rsidRDefault="00A45935" w:rsidP="00E05D08">
      <w:pPr>
        <w:spacing w:after="120" w:line="280" w:lineRule="atLeast"/>
        <w:mirrorIndents/>
        <w:rPr>
          <w:rFonts w:eastAsia="Times New Roman" w:cs="Times New Roman"/>
          <w:szCs w:val="20"/>
        </w:rPr>
      </w:pPr>
      <w:r>
        <w:lastRenderedPageBreak/>
        <w:t xml:space="preserve">Die Leitlinien </w:t>
      </w:r>
      <w:hyperlink r:id="rId63" w:history="1">
        <w:r>
          <w:rPr>
            <w:rStyle w:val="Hyperlink"/>
            <w:sz w:val="20"/>
            <w:szCs w:val="20"/>
          </w:rPr>
          <w:t>Bewertung nationaler Netzwerke für den ländlichen Raum 2014-2020</w:t>
        </w:r>
      </w:hyperlink>
      <w:r w:rsidRPr="00E05D08">
        <w:rPr>
          <w:rFonts w:eastAsia="Times New Roman" w:cs="Times New Roman"/>
          <w:szCs w:val="20"/>
          <w:vertAlign w:val="superscript"/>
          <w:lang w:eastAsia="de-DE"/>
        </w:rPr>
        <w:footnoteReference w:id="66"/>
      </w:r>
      <w:r>
        <w:t xml:space="preserve"> enthalten eine ausführliche Beschreibung der Methoden und Werkzeuge für die Bewertung von NRN. In ihnen wird ein gemischter Ansatz vorgeschlagen, bei dem qualitative und quantitative Methoden kombiniert werden. Diese wiederum umfassen Umfragen, dialogbasierte Methoden, analytische Methoden und diagnostische Methoden. </w:t>
      </w:r>
    </w:p>
    <w:p w:rsidR="00A45935" w:rsidRPr="00E05D08" w:rsidRDefault="00A45935" w:rsidP="00E05D08">
      <w:pPr>
        <w:spacing w:after="120" w:line="280" w:lineRule="atLeast"/>
        <w:mirrorIndents/>
        <w:rPr>
          <w:rFonts w:eastAsia="Times New Roman" w:cs="Times New Roman"/>
          <w:szCs w:val="20"/>
        </w:rPr>
      </w:pPr>
      <w:r>
        <w:t xml:space="preserve">Die folgende Tabelle enthält eine kurze Übersicht über die Methoden für die Beantwortung der CEQ Nr. 21 im Hinblick auf das Innovationsziel d der NRN. Eine vollständige Beschreibung dieser Methoden ist in den Leitlinien </w:t>
      </w:r>
      <w:hyperlink r:id="rId64" w:history="1">
        <w:r>
          <w:rPr>
            <w:rStyle w:val="Hyperlink"/>
            <w:sz w:val="20"/>
            <w:szCs w:val="20"/>
          </w:rPr>
          <w:t>Bewertung nationaler Netzwerke für den ländlichen Raum 2014-2020</w:t>
        </w:r>
      </w:hyperlink>
      <w:r>
        <w:t xml:space="preserve"> enthalten.</w:t>
      </w:r>
    </w:p>
    <w:p w:rsidR="00A45935" w:rsidRPr="00D57D0A" w:rsidRDefault="00A45935" w:rsidP="00D57D0A">
      <w:pPr>
        <w:pStyle w:val="HHeadingtables"/>
        <w:rPr>
          <w:color w:val="6F6F6F"/>
          <w:sz w:val="18"/>
          <w:szCs w:val="18"/>
        </w:rPr>
      </w:pPr>
      <w:bookmarkStart w:id="122" w:name="_Toc508377854"/>
      <w:r>
        <w:rPr>
          <w:color w:val="6F6F6F"/>
          <w:sz w:val="18"/>
          <w:szCs w:val="18"/>
        </w:rPr>
        <w:t>Empfohlene Methoden für CEQ Nr. 21:</w:t>
      </w:r>
      <w:bookmarkEnd w:id="122"/>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E05D08" w:rsidTr="00E05D08">
        <w:trPr>
          <w:tblHeader/>
        </w:trPr>
        <w:tc>
          <w:tcPr>
            <w:tcW w:w="2405" w:type="dxa"/>
            <w:shd w:val="clear" w:color="auto" w:fill="F07E31"/>
          </w:tcPr>
          <w:p w:rsidR="00A45935" w:rsidRPr="00E05D08" w:rsidRDefault="00A45935" w:rsidP="00E05D08">
            <w:pPr>
              <w:spacing w:after="120" w:line="280" w:lineRule="atLeast"/>
              <w:mirrorIndents/>
              <w:jc w:val="center"/>
              <w:rPr>
                <w:rFonts w:cs="Arial"/>
                <w:b/>
                <w:color w:val="FFFFFF"/>
                <w:sz w:val="18"/>
              </w:rPr>
            </w:pPr>
            <w:r>
              <w:rPr>
                <w:b/>
                <w:color w:val="FFFFFF"/>
                <w:sz w:val="18"/>
              </w:rPr>
              <w:t>Methode</w:t>
            </w:r>
          </w:p>
        </w:tc>
        <w:tc>
          <w:tcPr>
            <w:tcW w:w="6612" w:type="dxa"/>
            <w:shd w:val="clear" w:color="auto" w:fill="F07E31"/>
          </w:tcPr>
          <w:p w:rsidR="00A45935" w:rsidRPr="00385368" w:rsidRDefault="00A45935" w:rsidP="00E05D08">
            <w:pPr>
              <w:spacing w:after="120" w:line="280" w:lineRule="atLeast"/>
              <w:mirrorIndents/>
              <w:jc w:val="center"/>
              <w:rPr>
                <w:rFonts w:cs="Arial"/>
                <w:b/>
                <w:color w:val="FFFFFF"/>
                <w:sz w:val="18"/>
              </w:rPr>
            </w:pPr>
            <w:r>
              <w:rPr>
                <w:b/>
                <w:color w:val="FFFFFF"/>
                <w:sz w:val="18"/>
              </w:rPr>
              <w:t>Tipps zur Verwendung der einzelnen Methoden zur Beantwortung von CEQ Nr. 21</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Umfragen</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Können verwendet werden, um innovationsbezogene Daten und Informationen zu sammeln, die nicht in den Begleitungsdatenbanken enthalten sind und insbesondere die zusätzlichen Indikatoren betreffen.</w:t>
            </w:r>
          </w:p>
          <w:p w:rsidR="00A45935" w:rsidRPr="00385368" w:rsidRDefault="00A45935" w:rsidP="00E05D08">
            <w:pPr>
              <w:spacing w:after="120" w:line="280" w:lineRule="atLeast"/>
              <w:rPr>
                <w:rFonts w:eastAsia="Calibri" w:cs="Arial"/>
                <w:sz w:val="18"/>
                <w:szCs w:val="18"/>
              </w:rPr>
            </w:pPr>
            <w:r>
              <w:rPr>
                <w:sz w:val="18"/>
                <w:szCs w:val="18"/>
              </w:rPr>
              <w:t>Die Umfragen können sich an NRN, die operationellen Gruppen der EIP, Projektbegünstigte und andere Innovationsakteure richten.</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Fokusgruppen (dialogbasierte Methode)</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Werden als dialogbasierte Bewertungsmethode verwendet und können für CEQ Nr. 21 wie folgt gestaltet werden:</w:t>
            </w:r>
          </w:p>
          <w:p w:rsidR="00A45935" w:rsidRPr="00385368" w:rsidRDefault="00A45935" w:rsidP="008C0B17">
            <w:pPr>
              <w:numPr>
                <w:ilvl w:val="0"/>
                <w:numId w:val="40"/>
              </w:numPr>
              <w:spacing w:before="60" w:after="120" w:line="280" w:lineRule="atLeast"/>
              <w:ind w:left="317"/>
              <w:rPr>
                <w:rFonts w:cs="Arial"/>
                <w:sz w:val="18"/>
              </w:rPr>
            </w:pPr>
            <w:r>
              <w:rPr>
                <w:sz w:val="18"/>
              </w:rPr>
              <w:t xml:space="preserve">Einrichtung von Fokusgruppen auf unterschiedlichen Ebenen in einer Zwei-Schichten-Architektur (d. h. Berater/Dienste zur Innovationsförderung und lokale Aktionsgruppen). Für beide Ebenen können über das NRN Schulungs- und Vernetzungsaktivitäten angeboten werden. </w:t>
            </w:r>
          </w:p>
          <w:p w:rsidR="00A45935" w:rsidRPr="00385368" w:rsidRDefault="00A45935" w:rsidP="008C0B17">
            <w:pPr>
              <w:numPr>
                <w:ilvl w:val="0"/>
                <w:numId w:val="40"/>
              </w:numPr>
              <w:spacing w:before="60" w:after="120" w:line="280" w:lineRule="atLeast"/>
              <w:ind w:left="317"/>
              <w:rPr>
                <w:rFonts w:cs="Arial"/>
                <w:sz w:val="18"/>
              </w:rPr>
            </w:pPr>
            <w:r>
              <w:rPr>
                <w:sz w:val="18"/>
              </w:rPr>
              <w:t>Der Schwerpunkt liegt auf dem Thema Innovation (z. B. Zusammenstellung von Gruppen mit Teilnehmern unterschiedlicher Sichtweisen, um die Tätigkeiten des NRN zur Innovationsförderung zu bewerten).</w:t>
            </w:r>
          </w:p>
        </w:tc>
      </w:tr>
      <w:tr w:rsidR="00A45935" w:rsidRPr="00E05D08" w:rsidTr="00E05D08">
        <w:tc>
          <w:tcPr>
            <w:tcW w:w="2405" w:type="dxa"/>
            <w:vAlign w:val="center"/>
          </w:tcPr>
          <w:p w:rsidR="00A45935" w:rsidRPr="00385368" w:rsidRDefault="00A45935" w:rsidP="00BC211C">
            <w:pPr>
              <w:spacing w:after="120" w:line="280" w:lineRule="atLeast"/>
              <w:jc w:val="left"/>
              <w:rPr>
                <w:rFonts w:eastAsia="Calibri" w:cs="Arial"/>
                <w:b/>
                <w:sz w:val="18"/>
                <w:szCs w:val="18"/>
              </w:rPr>
            </w:pPr>
            <w:r>
              <w:rPr>
                <w:b/>
                <w:sz w:val="18"/>
                <w:szCs w:val="18"/>
              </w:rPr>
              <w:t>Funktionelle Analyse der Netzwerke (diagnostische Methode)</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Kombination einer Online-Umfrage unter operationellen Gruppen (OG) (mit Differenzierung zwischen OG, die vom NRN eine Art der Unterstützung erhalten haben, z. B. durch die Vermittlungsrolle, Schulungen usw., und OG, die nicht unterstützt wurden) mit einer Reihe ausführlicher Befragungen ausgewählter operationeller Gruppen. Alternativ kann eine Fokusgruppe organisiert werden, mit der die vorläufigen Ergebnisse der Online-Umfrage ausgewertet werden.</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Stakeholderanalyse (diagnostische Methode)</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 xml:space="preserve">Kann sich an Akteure (Stakeholder) im Bereich Innovation auf verschiedenen Ebenen richten: das NRN oder die Netzwerkstrukturen für Dienste zur Innovationsförderung auf Ebene der Mitgliedstaaten (wenn vom NRN abgegrenzt); die Koordinatoren thematischer Netzwerke, die Koordinatoren operationeller Gruppen und sogar die EIP-Dienststelle. </w:t>
            </w:r>
          </w:p>
          <w:p w:rsidR="00A45935" w:rsidRPr="00385368" w:rsidRDefault="00A45935" w:rsidP="00E05D08">
            <w:pPr>
              <w:spacing w:after="120" w:line="280" w:lineRule="atLeast"/>
              <w:rPr>
                <w:rFonts w:eastAsia="Calibri" w:cs="Arial"/>
                <w:sz w:val="18"/>
                <w:szCs w:val="18"/>
              </w:rPr>
            </w:pPr>
            <w:r>
              <w:rPr>
                <w:sz w:val="18"/>
                <w:szCs w:val="18"/>
              </w:rPr>
              <w:t xml:space="preserve">Mit einer Stakeholderanalyse können Informationen zu jenen Indikatoren gesammelt werden, zu denen über die Begleitungsdatenbank keine Daten erfasst werden. Für CEQ Nr. 21 können nur drei Outputindikatoren mithilfe von Begleitungsdaten quantifiziert werden, und selbst bei denen sind die Daten unter Umständen zu generisch oder betreffen keine innovationsbezogenen Aspekte. </w:t>
            </w:r>
            <w:r>
              <w:rPr>
                <w:sz w:val="18"/>
                <w:szCs w:val="18"/>
              </w:rPr>
              <w:lastRenderedPageBreak/>
              <w:t>Beispielsweise wird die Zahl der thematischen und analytischen Austauschmöglichkeiten, die mit Unterstützung des nationalen Netzwerks für den ländlichen Raum geschaffen wurden (O.24), in der Begleitungsdatenbank zwar vielleicht erfasst, jedoch ohne Informationen darüber, welche dieser Austauschmöglichkeiten auf Innovationsthemen ausgerichtet waren.</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sz w:val="18"/>
                <w:szCs w:val="18"/>
              </w:rPr>
            </w:pPr>
            <w:r>
              <w:rPr>
                <w:b/>
                <w:sz w:val="18"/>
                <w:szCs w:val="18"/>
              </w:rPr>
              <w:lastRenderedPageBreak/>
              <w:t xml:space="preserve">Analyse sozialer Netzwerke </w:t>
            </w:r>
            <w:r>
              <w:rPr>
                <w:sz w:val="18"/>
                <w:szCs w:val="18"/>
              </w:rPr>
              <w:t>(diagnostische Methode)</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Analysen sozialer Netzwerke können zu einem thematischen Aspekt durchgeführt werden, hier insbesondere die Förderung der innovationsbezogenen Ziele des NRN, indem Einheiten von Innovationsnetzwerken (z. B. Bestimmung der wichtigsten Innovationsakteure), ihre strukturellen Merkmale (z. B. Zentralität oder Peripheralität von Innovationsakteuren) und die Überschneidungen zwischen ihnen (z. B. Bestimmung der wichtigsten verbindenden Elemente) betrachtet und in einer Fokusgruppe diskutiert werden.</w:t>
            </w:r>
          </w:p>
          <w:p w:rsidR="00A45935" w:rsidRPr="00385368" w:rsidRDefault="00A45935" w:rsidP="00E05D08">
            <w:pPr>
              <w:spacing w:after="120" w:line="280" w:lineRule="atLeast"/>
              <w:rPr>
                <w:rFonts w:eastAsia="Calibri" w:cs="Arial"/>
                <w:sz w:val="18"/>
                <w:szCs w:val="18"/>
              </w:rPr>
            </w:pPr>
            <w:r>
              <w:rPr>
                <w:sz w:val="18"/>
                <w:szCs w:val="18"/>
              </w:rPr>
              <w:t>Mithilfe von Analysen sozialer Netzwerke kann die Beteiligung von Innovationsakteuren am NRN gemessen und die Wirksamkeit innovationsbezogener Outputs bewertet werden (z. B. thematischer und analytischer Austausch, Schulungs- und Netzwerktätigkeiten sowie Sammlung von Projektbeispielen im Bereich Innovation).</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Fallstudien</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Fallstudien können für jede Bewertung angepasst und verwendet werden. Sie bieten die Möglichkeit, einen Methodenmix anzuwenden, und lassen sich sehr flexibel gestalten. Für CEQ Nr. 21 wird empfohlen, Fallstudien um die folgenden innovationsbezogenen Aspekte/Kriterien herum aufzubauen:</w:t>
            </w:r>
          </w:p>
          <w:p w:rsidR="00A45935" w:rsidRPr="00385368" w:rsidRDefault="00A45935" w:rsidP="008C0B17">
            <w:pPr>
              <w:numPr>
                <w:ilvl w:val="0"/>
                <w:numId w:val="41"/>
              </w:numPr>
              <w:spacing w:before="60" w:after="120" w:line="280" w:lineRule="atLeast"/>
              <w:ind w:left="360"/>
              <w:rPr>
                <w:sz w:val="18"/>
              </w:rPr>
            </w:pPr>
            <w:r>
              <w:rPr>
                <w:sz w:val="18"/>
              </w:rPr>
              <w:t>Analyse der Rolle des NRN bei der Einrichtung operationeller Gruppen und somit für die Innovationsförderung in Landwirtschaft, Forstwirtschaft und ländlichen Gebieten.</w:t>
            </w:r>
          </w:p>
          <w:p w:rsidR="00A45935" w:rsidRPr="00385368" w:rsidRDefault="00A45935" w:rsidP="008C0B17">
            <w:pPr>
              <w:numPr>
                <w:ilvl w:val="0"/>
                <w:numId w:val="41"/>
              </w:numPr>
              <w:spacing w:before="60" w:after="120" w:line="280" w:lineRule="atLeast"/>
              <w:ind w:left="360"/>
              <w:rPr>
                <w:sz w:val="18"/>
              </w:rPr>
            </w:pPr>
            <w:r>
              <w:rPr>
                <w:sz w:val="18"/>
              </w:rPr>
              <w:t>Analyse der Beiträge des NRN zur Förderung von Beratern und Diensten zur Innovationsförderung als Coaches in interaktiven Innovationsverfahren (z. B. Festhalten von praxisbezogenen Ideen, Rolle als Vermittler und Multiplikatoren von neuem Wissen).</w:t>
            </w:r>
          </w:p>
          <w:p w:rsidR="00A45935" w:rsidRPr="00385368" w:rsidRDefault="00A45935" w:rsidP="008C0B17">
            <w:pPr>
              <w:numPr>
                <w:ilvl w:val="0"/>
                <w:numId w:val="41"/>
              </w:numPr>
              <w:spacing w:before="60" w:after="120" w:line="280" w:lineRule="atLeast"/>
              <w:ind w:left="360"/>
              <w:rPr>
                <w:sz w:val="18"/>
              </w:rPr>
            </w:pPr>
            <w:r>
              <w:rPr>
                <w:sz w:val="18"/>
              </w:rPr>
              <w:t>Analyse der Rolle von NRN in thematischen Netzwerken, die operationelle Gruppen verbinden, und in diesem Zusammenhang Bewertung der Verbindungen zu Horizont 2020.</w:t>
            </w:r>
          </w:p>
        </w:tc>
      </w:tr>
    </w:tbl>
    <w:p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b/>
          <w:szCs w:val="20"/>
        </w:rPr>
        <w:t>Risiken und Lösungen</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9"/>
      </w:tblGrid>
      <w:tr w:rsidR="00A45935" w:rsidRPr="00E05D08" w:rsidTr="00E05D08">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Risiken</w:t>
            </w:r>
          </w:p>
        </w:tc>
        <w:tc>
          <w:tcPr>
            <w:tcW w:w="4509"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Lösungen</w:t>
            </w:r>
          </w:p>
        </w:tc>
      </w:tr>
      <w:tr w:rsidR="00A45935" w:rsidRPr="00E05D08" w:rsidTr="00E05D08">
        <w:trPr>
          <w:trHeight w:val="699"/>
        </w:trPr>
        <w:tc>
          <w:tcPr>
            <w:tcW w:w="4508" w:type="dxa"/>
          </w:tcPr>
          <w:p w:rsidR="00A45935" w:rsidRPr="00385368" w:rsidRDefault="00A45935" w:rsidP="00E05D08">
            <w:pPr>
              <w:spacing w:after="120" w:line="280" w:lineRule="atLeast"/>
              <w:rPr>
                <w:rFonts w:eastAsia="Calibri" w:cs="Arial"/>
                <w:sz w:val="18"/>
                <w:szCs w:val="18"/>
              </w:rPr>
            </w:pPr>
            <w:r>
              <w:rPr>
                <w:sz w:val="18"/>
                <w:szCs w:val="18"/>
              </w:rPr>
              <w:t xml:space="preserve">Daten zu den drei gemeinsamen Outputindikatoren sind sicherlich verfügbar, beziehen sich aber höchstwahrscheinlich nicht vorrangig auf Innovation. Beispielsweise werden Daten zu thematischen und analytischen Austauschmöglichkeiten unter Umständen nicht aufgeschlüsselt nach Thema, hier </w:t>
            </w:r>
            <w:r>
              <w:rPr>
                <w:sz w:val="18"/>
                <w:szCs w:val="18"/>
              </w:rPr>
              <w:lastRenderedPageBreak/>
              <w:t>speziell Innovation, erfasst. Auch Daten zu Kommunikationswerkzeugen werden womöglich nicht nach Thema aufgegliedert (hier z. B. Kommunikation von Innovationsergebnissen).</w:t>
            </w:r>
          </w:p>
        </w:tc>
        <w:tc>
          <w:tcPr>
            <w:tcW w:w="4509" w:type="dxa"/>
          </w:tcPr>
          <w:p w:rsidR="00A45935" w:rsidRPr="00385368" w:rsidRDefault="00A45935" w:rsidP="007E63EF">
            <w:pPr>
              <w:spacing w:after="120" w:line="280" w:lineRule="atLeast"/>
              <w:rPr>
                <w:sz w:val="18"/>
                <w:szCs w:val="18"/>
              </w:rPr>
            </w:pPr>
            <w:r>
              <w:rPr>
                <w:sz w:val="18"/>
                <w:szCs w:val="18"/>
              </w:rPr>
              <w:lastRenderedPageBreak/>
              <w:t>Die Verwaltungsbehörden könnten für die drei gemeinsamen Outputindikatoren den Innovationsbezug in die Begleitungsdatenbanken aufnehmen.</w:t>
            </w:r>
            <w:r w:rsidRPr="007E63EF">
              <w:rPr>
                <w:rFonts w:eastAsia="Calibri" w:cs="Arial"/>
                <w:sz w:val="18"/>
                <w:szCs w:val="18"/>
                <w:vertAlign w:val="superscript"/>
              </w:rPr>
              <w:footnoteReference w:id="67"/>
            </w:r>
          </w:p>
        </w:tc>
      </w:tr>
      <w:tr w:rsidR="00A45935" w:rsidRPr="00E05D08" w:rsidTr="00E05D08">
        <w:tc>
          <w:tcPr>
            <w:tcW w:w="4508" w:type="dxa"/>
          </w:tcPr>
          <w:p w:rsidR="00A45935" w:rsidRPr="00385368" w:rsidRDefault="00A45935" w:rsidP="00E05D08">
            <w:pPr>
              <w:spacing w:after="120" w:line="280" w:lineRule="atLeast"/>
              <w:rPr>
                <w:rFonts w:eastAsia="Calibri" w:cs="Arial"/>
                <w:sz w:val="18"/>
                <w:szCs w:val="18"/>
              </w:rPr>
            </w:pPr>
            <w:r>
              <w:rPr>
                <w:sz w:val="18"/>
                <w:szCs w:val="18"/>
              </w:rPr>
              <w:t>Für alle anderen vorgeschlagenen Indikatoren würden keine Daten zu Begleitungszwecken gesammelt werden, sofern eine Verwaltungsbehörde/das NRN dies nicht zusätzlich zu den gemeinsamen Datenelementen beschlossen hat.</w:t>
            </w:r>
          </w:p>
        </w:tc>
        <w:tc>
          <w:tcPr>
            <w:tcW w:w="4509" w:type="dxa"/>
          </w:tcPr>
          <w:p w:rsidR="00A45935" w:rsidRPr="00385368" w:rsidRDefault="00A45935" w:rsidP="00E05D08">
            <w:pPr>
              <w:spacing w:after="120" w:line="280" w:lineRule="atLeast"/>
              <w:rPr>
                <w:rFonts w:eastAsia="Calibri" w:cs="Arial"/>
                <w:sz w:val="18"/>
                <w:szCs w:val="18"/>
              </w:rPr>
            </w:pPr>
            <w:r>
              <w:rPr>
                <w:sz w:val="18"/>
                <w:szCs w:val="18"/>
              </w:rPr>
              <w:t>In einer frühen Phase der Umsetzung sollten NRN ihre Aktivitäten, die auf Innovationsförderung ausgerichtet sind, entsprechend kennzeichnen (z. B. Schulung von Innovationsakteuren, thematische Austauschmöglichkeiten zum Thema Innovation, Sammlung bewährter Verfahrensweisen im Bereich Innovation, Unterstützung bei der Einrichtung operationeller Gruppen usw.).</w:t>
            </w:r>
          </w:p>
        </w:tc>
      </w:tr>
      <w:tr w:rsidR="00A45935" w:rsidRPr="00E05D08" w:rsidTr="00E05D08">
        <w:tc>
          <w:tcPr>
            <w:tcW w:w="4508" w:type="dxa"/>
          </w:tcPr>
          <w:p w:rsidR="00A45935" w:rsidRPr="00385368" w:rsidRDefault="00A45935" w:rsidP="00E05D08">
            <w:pPr>
              <w:spacing w:after="120" w:line="280" w:lineRule="atLeast"/>
              <w:rPr>
                <w:rFonts w:eastAsia="Calibri" w:cs="Arial"/>
                <w:sz w:val="18"/>
                <w:szCs w:val="18"/>
              </w:rPr>
            </w:pPr>
            <w:r>
              <w:rPr>
                <w:sz w:val="18"/>
                <w:szCs w:val="18"/>
              </w:rPr>
              <w:t>Bei Verwendung nur einer Methode (qualitativ oder quantitativ) für die Datenanalyse könnte es sein, dass die erhaltenen Ergebnisse nicht zuverlässig sind.</w:t>
            </w:r>
          </w:p>
        </w:tc>
        <w:tc>
          <w:tcPr>
            <w:tcW w:w="4509" w:type="dxa"/>
          </w:tcPr>
          <w:p w:rsidR="00A45935" w:rsidRPr="00385368" w:rsidRDefault="00A45935" w:rsidP="00E05D08">
            <w:pPr>
              <w:spacing w:after="120" w:line="280" w:lineRule="atLeast"/>
              <w:rPr>
                <w:rFonts w:eastAsia="Calibri" w:cs="Arial"/>
                <w:sz w:val="18"/>
                <w:szCs w:val="18"/>
              </w:rPr>
            </w:pPr>
            <w:r>
              <w:rPr>
                <w:sz w:val="18"/>
                <w:szCs w:val="18"/>
              </w:rPr>
              <w:t>Zu empfehlen ist eine Kombination von Bewertungsmethoden, mit denen Informationen fortlaufend oder im Nachhinein erfasst werden, darunter die bereits genannten Methoden (Umfragen, Fokusgruppen, diagnostische Methoden, Fallstudien), und bei denen eine Triangulation möglich ist und fundiertere Ergebnisse erhalten werden können.</w:t>
            </w:r>
          </w:p>
        </w:tc>
      </w:tr>
    </w:tbl>
    <w:p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b/>
          <w:szCs w:val="20"/>
        </w:rPr>
        <w:t>Schlussfolgerungen und Empfehlungen</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Die Schlussfolgerungen und Empfehlungen sollten sich auf Folgendes beziehen:</w:t>
      </w:r>
    </w:p>
    <w:p w:rsidR="00A45935" w:rsidRPr="00E72529" w:rsidRDefault="00A45935" w:rsidP="00676B41">
      <w:pPr>
        <w:pStyle w:val="Hlistbullet"/>
        <w:rPr>
          <w:rFonts w:eastAsia="Calibri"/>
          <w:shd w:val="clear" w:color="auto" w:fill="FFFFFF"/>
        </w:rPr>
      </w:pPr>
      <w:r>
        <w:rPr>
          <w:b/>
          <w:shd w:val="clear" w:color="auto" w:fill="FFFFFF"/>
        </w:rPr>
        <w:t>den Beitrag von NRN zur Innovationsförderung</w:t>
      </w:r>
      <w:r>
        <w:rPr>
          <w:shd w:val="clear" w:color="auto" w:fill="FFFFFF"/>
        </w:rPr>
        <w:t xml:space="preserve"> in Landwirtschaft, Nahrungsmittelerzeugung, Forstwirtschaft und ländlichen Gebieten;</w:t>
      </w:r>
    </w:p>
    <w:p w:rsidR="00A45935" w:rsidRPr="00E72529" w:rsidRDefault="00A45935" w:rsidP="00676B41">
      <w:pPr>
        <w:pStyle w:val="Hlistbullet"/>
        <w:rPr>
          <w:rFonts w:eastAsia="Calibri"/>
          <w:shd w:val="clear" w:color="auto" w:fill="FFFFFF"/>
        </w:rPr>
      </w:pPr>
      <w:r>
        <w:rPr>
          <w:b/>
          <w:shd w:val="clear" w:color="auto" w:fill="FFFFFF"/>
        </w:rPr>
        <w:t>die wesentlichen Faktoren und Bedingungen</w:t>
      </w:r>
      <w:r>
        <w:rPr>
          <w:shd w:val="clear" w:color="auto" w:fill="FFFFFF"/>
        </w:rPr>
        <w:t>, die NRN zu zentralen Akteuren in interaktiven Innovationsprozessen machen;</w:t>
      </w:r>
    </w:p>
    <w:p w:rsidR="00A45935" w:rsidRPr="00E72529" w:rsidRDefault="00A45935" w:rsidP="00676B41">
      <w:pPr>
        <w:pStyle w:val="Hlistbullet"/>
        <w:rPr>
          <w:rFonts w:eastAsia="Calibri"/>
          <w:shd w:val="clear" w:color="auto" w:fill="FFFFFF"/>
        </w:rPr>
      </w:pPr>
      <w:r>
        <w:rPr>
          <w:b/>
          <w:shd w:val="clear" w:color="auto" w:fill="FFFFFF"/>
        </w:rPr>
        <w:t>die Rolle der NRN im Innovationssystem</w:t>
      </w:r>
      <w:r>
        <w:rPr>
          <w:shd w:val="clear" w:color="auto" w:fill="FFFFFF"/>
        </w:rPr>
        <w:t>: 1) Ermittlung von Innovation durch die Sammlung und Verbreitung bewährter Verfahrensweisen, 2) Verbesserung der Innovationsfähigkeit durch Schulungen, Netzwerktätigkeiten, thematische und analytische Austauschmöglichkeiten, 3) Schaffung eines innovationsfördernden Umfelds durch die Unterstützung und Anregung der operationellen Gruppen der EIP.</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Weiterführende Literatur</w:t>
      </w:r>
    </w:p>
    <w:p w:rsidR="00A45935" w:rsidRPr="00E05D08" w:rsidRDefault="00A45935" w:rsidP="00E05D08">
      <w:pPr>
        <w:spacing w:after="120" w:line="280" w:lineRule="atLeast"/>
        <w:mirrorIndents/>
        <w:rPr>
          <w:rFonts w:eastAsia="Calibri" w:cs="Times New Roman"/>
          <w:szCs w:val="20"/>
        </w:rPr>
      </w:pPr>
      <w:r w:rsidRPr="00E05D08">
        <w:rPr>
          <w:rFonts w:eastAsia="Times New Roman" w:cs="Times New Roman"/>
          <w:noProof/>
          <w:sz w:val="18"/>
          <w:szCs w:val="24"/>
          <w:lang w:val="en-GB" w:eastAsia="en-GB"/>
        </w:rPr>
        <mc:AlternateContent>
          <mc:Choice Requires="wps">
            <w:drawing>
              <wp:inline distT="0" distB="0" distL="0" distR="0" wp14:anchorId="185D9846" wp14:editId="59A76D40">
                <wp:extent cx="5625465" cy="2971800"/>
                <wp:effectExtent l="0" t="0" r="13335" b="19050"/>
                <wp:docPr id="552" name="Rectangle: Diagonal Corners Rounded 552"/>
                <wp:cNvGraphicFramePr/>
                <a:graphic xmlns:a="http://schemas.openxmlformats.org/drawingml/2006/main">
                  <a:graphicData uri="http://schemas.microsoft.com/office/word/2010/wordprocessingShape">
                    <wps:wsp>
                      <wps:cNvSpPr/>
                      <wps:spPr>
                        <a:xfrm>
                          <a:off x="0" y="0"/>
                          <a:ext cx="5625465" cy="2971800"/>
                        </a:xfrm>
                        <a:prstGeom prst="round2DiagRect">
                          <a:avLst>
                            <a:gd name="adj1" fmla="val 9900"/>
                            <a:gd name="adj2" fmla="val 0"/>
                          </a:avLst>
                        </a:prstGeom>
                        <a:noFill/>
                        <a:ln w="25400" cap="flat" cmpd="sng" algn="ctr">
                          <a:solidFill>
                            <a:srgbClr val="59638E"/>
                          </a:solidFill>
                          <a:prstDash val="solid"/>
                        </a:ln>
                        <a:effectLst/>
                      </wps:spPr>
                      <wps:txbx>
                        <w:txbxContent>
                          <w:p w:rsidR="00533F8C" w:rsidRDefault="00533F8C" w:rsidP="00E05D08">
                            <w:pPr>
                              <w:pStyle w:val="HStandard"/>
                              <w:rPr>
                                <w:color w:val="000000"/>
                                <w:sz w:val="18"/>
                              </w:rPr>
                            </w:pPr>
                            <w:r>
                              <w:rPr>
                                <w:noProof/>
                                <w:lang w:val="en-GB" w:eastAsia="en-GB"/>
                              </w:rPr>
                              <w:drawing>
                                <wp:inline distT="0" distB="0" distL="0" distR="0" wp14:anchorId="7035E8C7" wp14:editId="5F2FFC26">
                                  <wp:extent cx="360465" cy="360000"/>
                                  <wp:effectExtent l="0" t="0" r="1905" b="2540"/>
                                  <wp:docPr id="713"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33F8C" w:rsidRPr="006F1763" w:rsidRDefault="00533F8C" w:rsidP="00E05D08">
                            <w:pPr>
                              <w:pStyle w:val="HStandard"/>
                              <w:rPr>
                                <w:sz w:val="18"/>
                                <w:szCs w:val="18"/>
                              </w:rPr>
                            </w:pPr>
                            <w:r>
                              <w:rPr>
                                <w:sz w:val="18"/>
                                <w:szCs w:val="18"/>
                              </w:rPr>
                              <w:t xml:space="preserve">Europäischer Evaluierungs-Helpdesk (2016), Leitlinien </w:t>
                            </w:r>
                            <w:hyperlink r:id="rId65" w:history="1">
                              <w:r>
                                <w:rPr>
                                  <w:color w:val="F07E31"/>
                                  <w:sz w:val="18"/>
                                  <w:szCs w:val="18"/>
                                  <w:u w:val="single"/>
                                </w:rPr>
                                <w:t>„Assessment of RDP results:</w:t>
                              </w:r>
                            </w:hyperlink>
                            <w:hyperlink r:id="rId66" w:history="1">
                              <w:r>
                                <w:rPr>
                                  <w:color w:val="F07E31"/>
                                  <w:sz w:val="18"/>
                                  <w:szCs w:val="18"/>
                                  <w:u w:val="single"/>
                                </w:rPr>
                                <w:t xml:space="preserve"> How to prepare for reporting on evaluation in 2017“ (Bewertung der Ergebnisse der Programme zur Entwicklung des ländlichen Raums: Vorbereitung der Berichterstattung über die Bewertung 2017)</w:t>
                              </w:r>
                            </w:hyperlink>
                            <w:r>
                              <w:t xml:space="preserve">, </w:t>
                            </w:r>
                            <w:r>
                              <w:rPr>
                                <w:sz w:val="18"/>
                                <w:szCs w:val="18"/>
                              </w:rPr>
                              <w:t xml:space="preserve">Anhang 11 </w:t>
                            </w:r>
                          </w:p>
                          <w:p w:rsidR="00533F8C" w:rsidRPr="006F1763" w:rsidRDefault="00533F8C" w:rsidP="00E05D08">
                            <w:pPr>
                              <w:pStyle w:val="HStandard"/>
                              <w:rPr>
                                <w:sz w:val="18"/>
                                <w:szCs w:val="18"/>
                              </w:rPr>
                            </w:pPr>
                            <w:r>
                              <w:rPr>
                                <w:sz w:val="18"/>
                                <w:szCs w:val="18"/>
                              </w:rPr>
                              <w:t xml:space="preserve">ENRD (2014), </w:t>
                            </w:r>
                            <w:hyperlink r:id="rId67" w:history="1">
                              <w:r>
                                <w:rPr>
                                  <w:rStyle w:val="Hyperlink"/>
                                  <w:sz w:val="18"/>
                                  <w:szCs w:val="18"/>
                                </w:rPr>
                                <w:t>„NRN Guidebook“ (Handbuch der nationalen Netzwerke für den ländlichen Raum)</w:t>
                              </w:r>
                            </w:hyperlink>
                            <w:r>
                              <w:rPr>
                                <w:sz w:val="18"/>
                                <w:szCs w:val="18"/>
                              </w:rPr>
                              <w:t>, Amt für Veröffentlichungen, Luxemburg</w:t>
                            </w:r>
                          </w:p>
                          <w:p w:rsidR="00533F8C" w:rsidRPr="006F1763" w:rsidRDefault="00533F8C" w:rsidP="00E05D08">
                            <w:pPr>
                              <w:pStyle w:val="HStandard"/>
                              <w:rPr>
                                <w:sz w:val="18"/>
                                <w:szCs w:val="18"/>
                              </w:rPr>
                            </w:pPr>
                            <w:r>
                              <w:t xml:space="preserve">Europäischer Evaluierungs-Helpdesk (2016), Leitlinien </w:t>
                            </w:r>
                            <w:hyperlink r:id="rId68" w:history="1">
                              <w:r>
                                <w:rPr>
                                  <w:rStyle w:val="Hyperlink"/>
                                  <w:sz w:val="18"/>
                                  <w:szCs w:val="18"/>
                                </w:rPr>
                                <w:t>Bewertung nationaler Netzwerke für den ländlichen Raum 2014-2020</w:t>
                              </w:r>
                            </w:hyperlink>
                          </w:p>
                          <w:p w:rsidR="00533F8C" w:rsidRPr="006F1763" w:rsidRDefault="00533F8C" w:rsidP="00E05D08">
                            <w:pPr>
                              <w:pStyle w:val="HStandard"/>
                              <w:rPr>
                                <w:sz w:val="18"/>
                                <w:szCs w:val="18"/>
                              </w:rPr>
                            </w:pPr>
                            <w:r>
                              <w:rPr>
                                <w:sz w:val="18"/>
                                <w:szCs w:val="18"/>
                              </w:rPr>
                              <w:t xml:space="preserve">Europäische Kommission, GD AGRI (2014), </w:t>
                            </w:r>
                            <w:hyperlink r:id="rId69" w:history="1">
                              <w:r>
                                <w:rPr>
                                  <w:rStyle w:val="Hyperlink"/>
                                  <w:sz w:val="18"/>
                                  <w:szCs w:val="18"/>
                                </w:rPr>
                                <w:t>Guidelines on programming for innovation and the implementation of the EIP for agricultural productivity and sustainability</w:t>
                              </w:r>
                            </w:hyperlink>
                            <w:r>
                              <w:t xml:space="preserve"> (Leitlinien für die Programmplanung im Bereich Innovation und für die Durchführung der EIP für landwirtschaftliche Produktivität und Nachhaltigkeit)</w:t>
                            </w:r>
                          </w:p>
                          <w:p w:rsidR="00533F8C" w:rsidRPr="006F1763" w:rsidRDefault="00533F8C" w:rsidP="00E05D08">
                            <w:pPr>
                              <w:pStyle w:val="HStandard"/>
                              <w:rPr>
                                <w:sz w:val="18"/>
                                <w:szCs w:val="18"/>
                              </w:rPr>
                            </w:pPr>
                            <w:r>
                              <w:rPr>
                                <w:sz w:val="18"/>
                                <w:szCs w:val="18"/>
                              </w:rPr>
                              <w:t xml:space="preserve">Europäischer Evaluierungs-Helpdesk (2014), „Intervention logic and evaluation framework for 2014-2020 National Rural Networks“ (Interventionslogik und Bewertungsrahmen für die nationalen Netzwerke für den ländlichen Raum 2014-2020). Hintergrundpapier, vorgestellt beim </w:t>
                            </w:r>
                            <w:hyperlink r:id="rId70" w:history="1">
                              <w:r>
                                <w:rPr>
                                  <w:rStyle w:val="Hyperlink"/>
                                  <w:sz w:val="18"/>
                                  <w:szCs w:val="18"/>
                                </w:rPr>
                                <w:t>Good Practice Workshop „National Rural Networks:</w:t>
                              </w:r>
                            </w:hyperlink>
                            <w:hyperlink r:id="rId71" w:history="1">
                              <w:r>
                                <w:rPr>
                                  <w:rStyle w:val="Hyperlink"/>
                                  <w:sz w:val="18"/>
                                  <w:szCs w:val="18"/>
                                </w:rPr>
                                <w:t xml:space="preserve"> How to show their benefits“ (Nationale Netzwerke für den ländlichen Raum: Wege zum Aufzeigen ihres Nutzens)</w:t>
                              </w:r>
                            </w:hyperlink>
                            <w:r>
                              <w:rPr>
                                <w:sz w:val="18"/>
                                <w:szCs w:val="18"/>
                              </w:rPr>
                              <w:t>, Rom (Italien), 10. und 11. April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85D9846" id="Rectangle: Diagonal Corners Rounded 552" o:spid="_x0000_s1052" style="width:442.95pt;height:234pt;visibility:visible;mso-wrap-style:square;mso-left-percent:-10001;mso-top-percent:-10001;mso-position-horizontal:absolute;mso-position-horizontal-relative:char;mso-position-vertical:absolute;mso-position-vertical-relative:line;mso-left-percent:-10001;mso-top-percent:-10001;v-text-anchor:middle" coordsize="5625465,297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" adj="-11796480,,5400" path="m294208,l5625465,r,l5625465,2677592v,162487,-131721,294208,-294208,294208l,2971800r,l,294208c,131721,131721,,294208,xe" filled="f" strokecolor="#59638e" strokeweight="2pt">
                <v:stroke joinstyle="miter"/>
                <v:formulas/>
                <v:path arrowok="t" o:connecttype="custom" o:connectlocs="294208,0;5625465,0;5625465,0;5625465,2677592;5331257,2971800;0,2971800;0,2971800;0,294208;294208,0" o:connectangles="0,0,0,0,0,0,0,0,0" textboxrect="0,0,5625465,2971800"/>
                <v:textbox>
                  <w:txbxContent>
                    <w:p w:rsidR="00533F8C" w:rsidRDefault="00533F8C" w:rsidP="00E05D08">
                      <w:pPr>
                        <w:pStyle w:val="HStandard"/>
                        <w:rPr>
                          <w:color w:val="000000"/>
                          <w:sz w:val="18"/>
                        </w:rPr>
                      </w:pPr>
                      <w:r>
                        <w:rPr>
                          <w:noProof/>
                          <w:lang w:val="en-GB" w:eastAsia="en-GB"/>
                        </w:rPr>
                        <w:drawing>
                          <wp:inline distT="0" distB="0" distL="0" distR="0" wp14:anchorId="7035E8C7" wp14:editId="5F2FFC26">
                            <wp:extent cx="360465" cy="360000"/>
                            <wp:effectExtent l="0" t="0" r="1905" b="2540"/>
                            <wp:docPr id="713"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33F8C" w:rsidRPr="006F1763" w:rsidRDefault="00533F8C" w:rsidP="00E05D08">
                      <w:pPr>
                        <w:pStyle w:val="HStandard"/>
                        <w:rPr>
                          <w:sz w:val="18"/>
                          <w:szCs w:val="18"/>
                        </w:rPr>
                      </w:pPr>
                      <w:r>
                        <w:rPr>
                          <w:sz w:val="18"/>
                          <w:szCs w:val="18"/>
                        </w:rPr>
                        <w:t xml:space="preserve">Europäischer Evaluierungs-Helpdesk (2016), Leitlinien </w:t>
                      </w:r>
                      <w:hyperlink r:id="rId72" w:history="1">
                        <w:r>
                          <w:rPr>
                            <w:color w:val="F07E31"/>
                            <w:sz w:val="18"/>
                            <w:szCs w:val="18"/>
                            <w:u w:val="single"/>
                          </w:rPr>
                          <w:t>„Assessment of RDP results:</w:t>
                        </w:r>
                      </w:hyperlink>
                      <w:hyperlink r:id="rId73" w:history="1">
                        <w:r>
                          <w:rPr>
                            <w:color w:val="F07E31"/>
                            <w:sz w:val="18"/>
                            <w:szCs w:val="18"/>
                            <w:u w:val="single"/>
                          </w:rPr>
                          <w:t xml:space="preserve"> How to prepare for reporting on evaluation in 2017“ (Bewertung der Ergebnisse der Programme zur Entwicklung des ländlichen Raums: Vorbereitung der Berichterstattung über die Bewertung 2017)</w:t>
                        </w:r>
                      </w:hyperlink>
                      <w:r>
                        <w:t xml:space="preserve">, </w:t>
                      </w:r>
                      <w:r>
                        <w:rPr>
                          <w:sz w:val="18"/>
                          <w:szCs w:val="18"/>
                        </w:rPr>
                        <w:t xml:space="preserve">Anhang 11 </w:t>
                      </w:r>
                    </w:p>
                    <w:p w:rsidR="00533F8C" w:rsidRPr="006F1763" w:rsidRDefault="00533F8C" w:rsidP="00E05D08">
                      <w:pPr>
                        <w:pStyle w:val="HStandard"/>
                        <w:rPr>
                          <w:sz w:val="18"/>
                          <w:szCs w:val="18"/>
                        </w:rPr>
                      </w:pPr>
                      <w:r>
                        <w:rPr>
                          <w:sz w:val="18"/>
                          <w:szCs w:val="18"/>
                        </w:rPr>
                        <w:t xml:space="preserve">ENRD (2014), </w:t>
                      </w:r>
                      <w:hyperlink r:id="rId74" w:history="1">
                        <w:r>
                          <w:rPr>
                            <w:rStyle w:val="Hyperlink"/>
                            <w:sz w:val="18"/>
                            <w:szCs w:val="18"/>
                          </w:rPr>
                          <w:t>„NRN Guidebook“ (Handbuch der nationalen Netzwerke für den ländlichen Raum)</w:t>
                        </w:r>
                      </w:hyperlink>
                      <w:r>
                        <w:rPr>
                          <w:sz w:val="18"/>
                          <w:szCs w:val="18"/>
                        </w:rPr>
                        <w:t>, Amt für Veröffentlichungen, Luxemburg</w:t>
                      </w:r>
                    </w:p>
                    <w:p w:rsidR="00533F8C" w:rsidRPr="006F1763" w:rsidRDefault="00533F8C" w:rsidP="00E05D08">
                      <w:pPr>
                        <w:pStyle w:val="HStandard"/>
                        <w:rPr>
                          <w:sz w:val="18"/>
                          <w:szCs w:val="18"/>
                        </w:rPr>
                      </w:pPr>
                      <w:r>
                        <w:t xml:space="preserve">Europäischer Evaluierungs-Helpdesk (2016), Leitlinien </w:t>
                      </w:r>
                      <w:hyperlink r:id="rId75" w:history="1">
                        <w:r>
                          <w:rPr>
                            <w:rStyle w:val="Hyperlink"/>
                            <w:sz w:val="18"/>
                            <w:szCs w:val="18"/>
                          </w:rPr>
                          <w:t>Bewertung nationaler Netzwerke für den ländlichen Raum 2014-2020</w:t>
                        </w:r>
                      </w:hyperlink>
                    </w:p>
                    <w:p w:rsidR="00533F8C" w:rsidRPr="006F1763" w:rsidRDefault="00533F8C" w:rsidP="00E05D08">
                      <w:pPr>
                        <w:pStyle w:val="HStandard"/>
                        <w:rPr>
                          <w:sz w:val="18"/>
                          <w:szCs w:val="18"/>
                        </w:rPr>
                      </w:pPr>
                      <w:r>
                        <w:rPr>
                          <w:sz w:val="18"/>
                          <w:szCs w:val="18"/>
                        </w:rPr>
                        <w:t xml:space="preserve">Europäische Kommission, GD AGRI (2014), </w:t>
                      </w:r>
                      <w:hyperlink r:id="rId76" w:history="1">
                        <w:r>
                          <w:rPr>
                            <w:rStyle w:val="Hyperlink"/>
                            <w:sz w:val="18"/>
                            <w:szCs w:val="18"/>
                          </w:rPr>
                          <w:t>Guidelines on programming for innovation and the implementation of the EIP for agricultural productivity and sustainability</w:t>
                        </w:r>
                      </w:hyperlink>
                      <w:r>
                        <w:t xml:space="preserve"> (Leitlinien für die Programmplanung im Bereich Innovation und für die Durchführung der EIP für landwirtschaftliche Produktivität und Nachhaltigkeit)</w:t>
                      </w:r>
                    </w:p>
                    <w:p w:rsidR="00533F8C" w:rsidRPr="006F1763" w:rsidRDefault="00533F8C" w:rsidP="00E05D08">
                      <w:pPr>
                        <w:pStyle w:val="HStandard"/>
                        <w:rPr>
                          <w:sz w:val="18"/>
                          <w:szCs w:val="18"/>
                        </w:rPr>
                      </w:pPr>
                      <w:r>
                        <w:rPr>
                          <w:sz w:val="18"/>
                          <w:szCs w:val="18"/>
                        </w:rPr>
                        <w:t xml:space="preserve">Europäischer Evaluierungs-Helpdesk (2014), „Intervention logic and evaluation framework for 2014-2020 National Rural Networks“ (Interventionslogik und Bewertungsrahmen für die nationalen Netzwerke für den ländlichen Raum 2014-2020). Hintergrundpapier, vorgestellt beim </w:t>
                      </w:r>
                      <w:hyperlink r:id="rId77" w:history="1">
                        <w:r>
                          <w:rPr>
                            <w:rStyle w:val="Hyperlink"/>
                            <w:sz w:val="18"/>
                            <w:szCs w:val="18"/>
                          </w:rPr>
                          <w:t>Good Practice Workshop „National Rural Networks:</w:t>
                        </w:r>
                      </w:hyperlink>
                      <w:hyperlink r:id="rId78" w:history="1">
                        <w:r>
                          <w:rPr>
                            <w:rStyle w:val="Hyperlink"/>
                            <w:sz w:val="18"/>
                            <w:szCs w:val="18"/>
                          </w:rPr>
                          <w:t xml:space="preserve"> How to show their benefits“ (Nationale Netzwerke für den ländlichen Raum: Wege zum Aufzeigen ihres Nutzens)</w:t>
                        </w:r>
                      </w:hyperlink>
                      <w:r>
                        <w:rPr>
                          <w:sz w:val="18"/>
                          <w:szCs w:val="18"/>
                        </w:rPr>
                        <w:t>, Rom (Italien), 10. und 11. April 2014</w:t>
                      </w:r>
                    </w:p>
                  </w:txbxContent>
                </v:textbox>
                <w10:anchorlock/>
              </v:shape>
            </w:pict>
          </mc:Fallback>
        </mc:AlternateContent>
      </w:r>
    </w:p>
    <w:p w:rsidR="00A45935" w:rsidRPr="006871D2" w:rsidRDefault="00A45935" w:rsidP="00F66623">
      <w:pPr>
        <w:pStyle w:val="HHeading3"/>
        <w:numPr>
          <w:ilvl w:val="2"/>
          <w:numId w:val="124"/>
        </w:numPr>
        <w:tabs>
          <w:tab w:val="clear" w:pos="567"/>
        </w:tabs>
        <w:spacing w:before="480" w:line="280" w:lineRule="exact"/>
        <w:ind w:left="567" w:hanging="567"/>
      </w:pPr>
      <w:bookmarkStart w:id="123" w:name="_Toc501382134"/>
      <w:bookmarkStart w:id="124" w:name="_Toc508377844"/>
      <w:r>
        <w:t>CEQ Nr. 23: „In welchem Umfang hat das Programm zur Entwicklung des ländlichen Raums zur Erreichung des Kernziels der Strategie Europa 2020, 3 % des BIP der EU in Forschung, Entwicklung und Innovation zu investieren, beigetragen?“</w:t>
      </w:r>
      <w:bookmarkEnd w:id="123"/>
      <w:bookmarkEnd w:id="124"/>
      <w:r>
        <w:t xml:space="preserve">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Wie ist die CEQ zu verstehen?</w:t>
      </w:r>
    </w:p>
    <w:p w:rsidR="00A45935" w:rsidRPr="00E05D08" w:rsidRDefault="00A45935" w:rsidP="00E05D08">
      <w:pPr>
        <w:spacing w:after="120" w:line="280" w:lineRule="atLeast"/>
        <w:mirrorIndents/>
        <w:rPr>
          <w:rFonts w:eastAsia="Times New Roman" w:cs="Times New Roman"/>
          <w:szCs w:val="20"/>
        </w:rPr>
      </w:pPr>
      <w:r>
        <w:t xml:space="preserve">Diese CEQ bezieht sich auf eines der fünf Kernziele der Strategie Europa 2020: „Investition von 3 % des EU-BIP in FuE/Innovation“. Um die Frage zu verstehen, sollten der Kontext und die Messgröße des Kernziels berücksichtigt werden und insbesondere seine Zielstellung, die Bedingungen für Innovation, Forschung und Entwicklung zu verbessern und dafür eine Kombination aus öffentlichen und privaten Geldern einzusetzen. </w:t>
      </w:r>
    </w:p>
    <w:p w:rsidR="00A45935" w:rsidRPr="00E05D08" w:rsidRDefault="00A45935" w:rsidP="00E05D08">
      <w:pPr>
        <w:spacing w:after="120" w:line="280" w:lineRule="atLeast"/>
        <w:mirrorIndents/>
        <w:rPr>
          <w:rFonts w:eastAsia="Times New Roman" w:cs="Times New Roman"/>
          <w:szCs w:val="20"/>
        </w:rPr>
      </w:pPr>
      <w:r>
        <w:t xml:space="preserve">Das Kernziel ist verknüpft mit den Prioritäten der Strategie Europa 2020 für ein intelligentes, nachhaltiges und integratives Wachstum, das sich auf Wissen und Innovation stützt. Die Aufmerksamkeit konzentriert sich darauf, dass sowohl der öffentliche als auch der private Sektor in FuE investieren müssen, wobei jedoch der </w:t>
      </w:r>
      <w:r>
        <w:rPr>
          <w:b/>
        </w:rPr>
        <w:t>Input stärker im Vordergrund</w:t>
      </w:r>
      <w:r>
        <w:t xml:space="preserve"> steht </w:t>
      </w:r>
      <w:r>
        <w:rPr>
          <w:b/>
        </w:rPr>
        <w:t>als die Auswirkungen</w:t>
      </w:r>
      <w:r>
        <w:t>.</w:t>
      </w:r>
      <w:r w:rsidRPr="00E05D08">
        <w:rPr>
          <w:rFonts w:eastAsia="Times New Roman" w:cs="Times New Roman"/>
          <w:szCs w:val="20"/>
          <w:vertAlign w:val="superscript"/>
          <w:lang w:eastAsia="de-DE"/>
        </w:rPr>
        <w:footnoteReference w:id="68"/>
      </w:r>
      <w:r>
        <w:t xml:space="preserve"> Es besteht die klare Notwendigkeit, die Bedingungen für private FuE in der EU zu verbessern, und viele der vorgeschlagenen Maßnahmen in dieser Strategie leisten einen entsprechenden Beitrag. Klar ist auch, dass durch die gemeinsame Betrachtung von FuE und Innovation eine größere Bandbreite an Ausgaben erfasst würde und somit die Relevanz für Unternehmenstätigkeiten und produktivitätssteigernde Faktoren erhöht würde. Die Kommission schlägt vor, an dem Ziel von 3 % festzuhalten und gleichzeitig einen Indikator zu entwickeln, der die Intensität in den Bereichen FuE und Innovation anzeigt. </w:t>
      </w:r>
    </w:p>
    <w:p w:rsidR="00A45935" w:rsidRPr="00E05D08" w:rsidRDefault="00A45935" w:rsidP="00E05D08">
      <w:pPr>
        <w:spacing w:after="120" w:line="280" w:lineRule="atLeast"/>
        <w:mirrorIndents/>
        <w:rPr>
          <w:rFonts w:eastAsia="Times New Roman" w:cs="Times New Roman"/>
          <w:szCs w:val="20"/>
        </w:rPr>
      </w:pPr>
      <w:r>
        <w:t>Dieses Kernziel wurde auf Ebene der EU-Mitgliedstaaten in nationale Zielvorgaben übertragen, die den unterschiedlichen Situationen und Gegebenheiten Rechnung tragen, sodass jeder Mitgliedstaat seine eigenen Fortschritte bei der Umsetzung der Ziele von Europa 2020 überprüfen kann.</w:t>
      </w:r>
      <w:r w:rsidRPr="00E05D08">
        <w:rPr>
          <w:rFonts w:eastAsia="Times New Roman" w:cs="Times New Roman"/>
          <w:szCs w:val="20"/>
          <w:vertAlign w:val="superscript"/>
          <w:lang w:eastAsia="de-DE"/>
        </w:rPr>
        <w:footnoteReference w:id="69"/>
      </w:r>
      <w:r>
        <w:t xml:space="preserve">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lastRenderedPageBreak/>
        <w:t xml:space="preserve">Besondere Herausforderungen </w:t>
      </w:r>
    </w:p>
    <w:p w:rsidR="00A45935" w:rsidRPr="006C63CD" w:rsidRDefault="00A45935" w:rsidP="00676B41">
      <w:pPr>
        <w:pStyle w:val="Hlistbullet"/>
      </w:pPr>
      <w:r>
        <w:rPr>
          <w:b/>
        </w:rPr>
        <w:t xml:space="preserve">Datenverwaltung zur Erfassung hochwertiger Daten zu FuE und Innovation: </w:t>
      </w:r>
      <w:r>
        <w:t>Von Eurostat wird regelmäßig ein umfassender Fortschrittsbericht zu den Leitindikatoren der Kernziele veröffentlicht.</w:t>
      </w:r>
      <w:r w:rsidRPr="00406C98">
        <w:rPr>
          <w:vertAlign w:val="superscript"/>
        </w:rPr>
        <w:footnoteReference w:id="70"/>
      </w:r>
      <w:r>
        <w:t xml:space="preserve"> Bei der Datenerhebung wird dem Frascati-Handbuch (OECD)</w:t>
      </w:r>
      <w:r w:rsidRPr="00406C98">
        <w:rPr>
          <w:vertAlign w:val="superscript"/>
        </w:rPr>
        <w:footnoteReference w:id="71"/>
      </w:r>
      <w:r>
        <w:t xml:space="preserve"> und den Bestimmungen spezifischer Rechtsvorschriften der EU gefolgt.</w:t>
      </w:r>
      <w:r w:rsidRPr="00406C98">
        <w:rPr>
          <w:vertAlign w:val="superscript"/>
        </w:rPr>
        <w:footnoteReference w:id="72"/>
      </w:r>
      <w:r>
        <w:t xml:space="preserve"> Das Frascati-Handbuch bildet auch die Grundlage für die durch Eurostat erfolgende Erfassung von Daten zu dem Näherungsindikator für den </w:t>
      </w:r>
      <w:r>
        <w:rPr>
          <w:shd w:val="clear" w:color="auto" w:fill="FFFFFF"/>
        </w:rPr>
        <w:t>Leitindikator</w:t>
      </w:r>
      <w:r>
        <w:t xml:space="preserve"> „Bruttoinlandsaufwendungen für FuE“ (GERD, en: Gross domestic expenditure on R&amp;D).</w:t>
      </w:r>
      <w:r w:rsidRPr="00406C98">
        <w:rPr>
          <w:vertAlign w:val="superscript"/>
        </w:rPr>
        <w:footnoteReference w:id="73"/>
      </w:r>
      <w:r>
        <w:t xml:space="preserve"> Er bezieht sich auf die </w:t>
      </w:r>
      <w:r>
        <w:rPr>
          <w:color w:val="333333"/>
          <w:shd w:val="clear" w:color="auto" w:fill="FFFFFF"/>
        </w:rPr>
        <w:t>FuE-Ausgaben von Wirtschaftsunternehmen, Hochschuleinrichtungen, staatlichen Einrichtungen und nicht gewinnorientierten Privatorganisationen.</w:t>
      </w:r>
      <w:r>
        <w:t xml:space="preserve"> GERD wird von Eurostat für die Ebenen NUTS 1 und NUTS 2 bereitgestellt. Der Indikator „% von GERD insgesamt“ zeigt die </w:t>
      </w:r>
      <w:r>
        <w:rPr>
          <w:color w:val="333333"/>
          <w:shd w:val="clear" w:color="auto" w:fill="FFFFFF"/>
        </w:rPr>
        <w:t xml:space="preserve">relativen Anteile der verschiedenen Finanzierungsquellen für FuE: Wirtschaft, Staat, Hochschulen und nicht gewinnorientierte Privatorganisationen. Die fünfte ausgewiesene Finanzierungsquelle ist GERD finanziert vom Ausland. </w:t>
      </w:r>
      <w:r>
        <w:t>„% von GERD insgesamt“</w:t>
      </w:r>
      <w:r>
        <w:rPr>
          <w:color w:val="333333"/>
          <w:shd w:val="clear" w:color="auto" w:fill="FFFFFF"/>
        </w:rPr>
        <w:t xml:space="preserve"> wird für die Ebene NUTS 1 bereitgestellt. Obwohl Eurostat die jüngsten Daten veröffentlicht, liegt eine Zeitverzögerung von zwei bis drei Jahren vor. </w:t>
      </w:r>
      <w:r>
        <w:t xml:space="preserve">Eurostat schlüsselt die Daten für GERD und den Anteil an GERD insgesamt nicht nach Wirtschaftszweig (z. B. Nahrungsmittelindustrie, Landwirtschaft usw.) auf. Obwohl sich die Statistiken ausdrücklich auf Ausgaben für Forschung und Entwicklung beziehen, schließen sie bis zu einem bestimmten Punkt, der in der Strategie Europa 2020 festgelegt ist, auch </w:t>
      </w:r>
      <w:r>
        <w:rPr>
          <w:b/>
        </w:rPr>
        <w:t>Ausgaben im Bereich Innovation</w:t>
      </w:r>
      <w:r>
        <w:t xml:space="preserve"> ein. Für Finanzierungsprogramme, mit </w:t>
      </w:r>
      <w:r>
        <w:rPr>
          <w:color w:val="333333"/>
          <w:shd w:val="clear" w:color="auto" w:fill="FFFFFF"/>
        </w:rPr>
        <w:t>denen</w:t>
      </w:r>
      <w:r>
        <w:t xml:space="preserve"> Innovation gefördert wird, dient das Frascati-Handbuch als Referenz. Darin werden wissenschaftliche, technologische und innovationsbezogene Aktivitäten gemessen, wobei die Abgrenzung zwischen FuE- und Innovationsaktivitäten nicht immer klar ist. </w:t>
      </w:r>
    </w:p>
    <w:p w:rsidR="00971E55" w:rsidRDefault="00A45935" w:rsidP="00676B41">
      <w:pPr>
        <w:pStyle w:val="Hlistbullet"/>
      </w:pPr>
      <w:r>
        <w:rPr>
          <w:b/>
        </w:rPr>
        <w:t xml:space="preserve">Bewertung des Beitrags des Programms zur Entwicklung des ländlichen Raums zum Kernziel: </w:t>
      </w:r>
      <w:r>
        <w:t>Die Herausforderung besteht darin, die Beiträge des Programms zur Entwicklung des ländlichen Raums zum Kernziel angemessen und realistisch darzustellen und dabei die Ausrichtung der Programme auf die Strategie Europa 2020 zu berücksichtigen. Im Zuge dieser Bewertungsaufgabe muss auch den Merkmalen von ELER-Interventionen sowie den Besonderheiten der ländlichen Gebiete und Wirtschaftszweige, in denen sie Wirkung entfalten, Rechnung getragen werden. Da ländliche Gebiete im Allgemeinen strukturschwächer sind als städtische Gebiete und die Strategie Europa 2020 auf Investitionen in Wachstumsfelder und -branchen ausgerichtet ist, ist bei Programmen zur Entwicklung des ländlichen Raums ein geringerer Beitrag zu erwarten als bei anderen operationellen Programmen.</w:t>
      </w:r>
      <w:r w:rsidRPr="00406C98">
        <w:rPr>
          <w:vertAlign w:val="superscript"/>
        </w:rPr>
        <w:footnoteReference w:id="74"/>
      </w:r>
      <w:r>
        <w:t xml:space="preserve"> Was jedoch auf nationaler Ebene weniger wichtig für die Volkswirtschaft erscheinen mag, kann für das BIP in ländlichen Gebieten und ihre künftige Entwicklung von großem Wert sein. Daher sollten das Kernziel für die Beiträge des Programms zur Entwicklung des ländlichen Raums berechnet und die CEQ beantwortet werden. </w:t>
      </w:r>
    </w:p>
    <w:p w:rsidR="00971E55" w:rsidRDefault="00971E55">
      <w:pPr>
        <w:jc w:val="left"/>
        <w:rPr>
          <w:rFonts w:eastAsia="Times New Roman" w:cs="Times New Roman"/>
          <w:szCs w:val="20"/>
          <w:lang w:eastAsia="de-DE"/>
        </w:rPr>
      </w:pPr>
      <w:r>
        <w:br w:type="page"/>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Empfohlenes Vorgehen bei der Beantwortung der Nr. 23</w:t>
      </w:r>
    </w:p>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 xml:space="preserve">Interventionslogik </w:t>
      </w:r>
    </w:p>
    <w:p w:rsidR="00697455" w:rsidRDefault="00A45935" w:rsidP="00E05D08">
      <w:pPr>
        <w:spacing w:after="120" w:line="280" w:lineRule="atLeast"/>
        <w:mirrorIndents/>
        <w:rPr>
          <w:rFonts w:eastAsia="Times New Roman" w:cs="Times New Roman"/>
          <w:szCs w:val="20"/>
        </w:rPr>
      </w:pPr>
      <w:r>
        <w:t xml:space="preserve">Alle Maßnahmen/Teilmaßnahmen des Programms zur Entwicklung des ländlichen Raums, die über die drei Pfade zur Innovationsförderung in ländlichen Gebieten beitragen, wie bei der Untersuchung ihres Innovationspotenzials festgestellt (siehe </w:t>
      </w:r>
      <w:hyperlink w:anchor="Screening_Potential" w:history="1">
        <w:r>
          <w:rPr>
            <w:rStyle w:val="Hyperlink"/>
            <w:sz w:val="20"/>
            <w:szCs w:val="20"/>
          </w:rPr>
          <w:t>Kapitel 2.2</w:t>
        </w:r>
      </w:hyperlink>
      <w:r>
        <w:t xml:space="preserve">), sollten als Teil der Interventionslogik in Verbindung mit CEQ Nr. 23 berücksichtigt werden. Damit wird über die Maßnahmen M1, M2 und M16, die primär als investitionsfördernd angesehen werden, hinausgegangen und es werden womöglich auch andere Investitions-, Vermarktungs- und gebietsbezogene Maßnahmen einbezogen, deren Durchführung innovationsfördernd sein könnte (z. B. durch innovationsbezogene Kriterien bei der Projektauswahl). Die im Rahmen dieser Maßnahmen und Teilmaßnahmen durchgeführten Vorhaben werden herangezogen, um die Ausgaben für FuE und Innovation zu ermitteln und den Leitindikator oder seinen Näherungswert (GERD) zu bewerten, und es werden zusätzliche Indikatoren zur Beantwortung von CEQ Nr. 23 verwendet (wie im Rahmen der Untersuchung des Innovationspotenzials ermittelt – siehe </w:t>
      </w:r>
      <w:hyperlink w:anchor="Screening_Potential" w:history="1">
        <w:r>
          <w:rPr>
            <w:rStyle w:val="Hyperlink"/>
            <w:sz w:val="20"/>
            <w:szCs w:val="20"/>
          </w:rPr>
          <w:t>Kapitel 2.2</w:t>
        </w:r>
      </w:hyperlink>
      <w:r>
        <w:t xml:space="preserve">). </w:t>
      </w:r>
    </w:p>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Bewertungselemente für CEQ Nr. 23</w:t>
      </w:r>
    </w:p>
    <w:p w:rsidR="00A45935" w:rsidRPr="00E05D08" w:rsidRDefault="00A45935" w:rsidP="00E05D08">
      <w:pPr>
        <w:spacing w:after="120" w:line="280" w:lineRule="atLeast"/>
        <w:mirrorIndents/>
        <w:rPr>
          <w:rFonts w:eastAsia="Times New Roman" w:cs="Times New Roman"/>
          <w:szCs w:val="20"/>
        </w:rPr>
      </w:pPr>
      <w:r>
        <w:t xml:space="preserve">Im Arbeitspapier </w:t>
      </w:r>
      <w:hyperlink r:id="rId79" w:history="1">
        <w:r>
          <w:rPr>
            <w:rStyle w:val="Hyperlink"/>
            <w:sz w:val="20"/>
            <w:szCs w:val="20"/>
          </w:rPr>
          <w:t>„Common Evaluation Questions for Rural Development Programmes 2014-2020“ (Gemeinsame Bewertungsfragen für die Programme zur Entwicklung des ländlichen Raums 2014-2020)</w:t>
        </w:r>
      </w:hyperlink>
      <w:r>
        <w:t xml:space="preserve"> wird vorgeschlagen, für die Beantwortung der CEQ Nr. 23 zwei Beurteilungskriterien (Investitionen in FuE haben zugenommen und Innovation wurde gefördert), zwei gemeinsame CMES-Indikatoren (T1 – Ausgaben für Maßnahmen gemäß Artikel 14 und 35, und T2 – Gesamtzahl der Kooperationsvorhaben, die im Rahmen der Maßnahme „Zusammenarbeit“ unterstützt werden) und einen zusätzlichen Indikator (FuE-Ausgaben des Programms zur Entwicklung des ländlichen Raums als prozentualer Anteil am BIP) zu verwenden. Diese Elemente reichen jedoch nicht aus, um die Beiträge des Programms zur Entwicklung des ländlichen Raums zu dem Kernziel vollständig zu erfassen. </w:t>
      </w:r>
    </w:p>
    <w:p w:rsidR="00A45935" w:rsidRPr="00E05D08" w:rsidRDefault="00A45935" w:rsidP="00E05D08">
      <w:pPr>
        <w:spacing w:after="120" w:line="280" w:lineRule="atLeast"/>
        <w:mirrorIndents/>
        <w:rPr>
          <w:rFonts w:eastAsia="Times New Roman" w:cs="Times New Roman"/>
          <w:szCs w:val="20"/>
        </w:rPr>
      </w:pPr>
      <w:r>
        <w:t xml:space="preserve">Daher werden in den vorliegenden Leitlinien zusätzliche Bewertungselemente zur Beantwortung der CEQ Nr. 23 vorgeschlagen (siehe </w:t>
      </w:r>
      <w:hyperlink w:anchor="JC_Indic_data" w:history="1">
        <w:r>
          <w:rPr>
            <w:rStyle w:val="Hyperlink"/>
            <w:sz w:val="20"/>
            <w:szCs w:val="20"/>
          </w:rPr>
          <w:t>Tabelle 7</w:t>
        </w:r>
      </w:hyperlink>
      <w:r>
        <w:t>).</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headerReference w:type="first" r:id="rId80"/>
          <w:endnotePr>
            <w:numFmt w:val="decimal"/>
          </w:endnotePr>
          <w:type w:val="continuous"/>
          <w:pgSz w:w="11907" w:h="16840" w:code="9"/>
          <w:pgMar w:top="1440" w:right="1440" w:bottom="1134" w:left="1440" w:header="567" w:footer="1020" w:gutter="0"/>
          <w:cols w:space="708"/>
          <w:noEndnote/>
          <w:titlePg/>
          <w:docGrid w:linePitch="435"/>
        </w:sectPr>
      </w:pPr>
    </w:p>
    <w:p w:rsidR="00A45935" w:rsidRPr="00A90171" w:rsidRDefault="00A45935" w:rsidP="00A90171">
      <w:pPr>
        <w:pStyle w:val="HHeadingtables"/>
        <w:rPr>
          <w:color w:val="6F6F6F"/>
          <w:sz w:val="18"/>
          <w:szCs w:val="18"/>
        </w:rPr>
      </w:pPr>
      <w:bookmarkStart w:id="126" w:name="JC_Indic_data"/>
      <w:bookmarkStart w:id="127" w:name="_Toc508377855"/>
      <w:bookmarkEnd w:id="126"/>
      <w:r>
        <w:rPr>
          <w:color w:val="6F6F6F"/>
          <w:sz w:val="18"/>
          <w:szCs w:val="18"/>
        </w:rPr>
        <w:lastRenderedPageBreak/>
        <w:t>Beurteilungskriterien, Indikatoren und Datenanforderungen zur Beantwortung der CEQ Nr. 23</w:t>
      </w:r>
      <w:bookmarkEnd w:id="127"/>
    </w:p>
    <w:tbl>
      <w:tblPr>
        <w:tblW w:w="147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684"/>
        <w:gridCol w:w="3684"/>
        <w:gridCol w:w="3684"/>
        <w:gridCol w:w="3685"/>
      </w:tblGrid>
      <w:tr w:rsidR="00A45935" w:rsidRPr="00E05D08" w:rsidTr="00E05D08">
        <w:trPr>
          <w:trHeight w:val="294"/>
        </w:trPr>
        <w:tc>
          <w:tcPr>
            <w:tcW w:w="3684" w:type="dxa"/>
            <w:shd w:val="clear" w:color="auto" w:fill="F07E31"/>
            <w:vAlign w:val="center"/>
            <w:hideMark/>
          </w:tcPr>
          <w:p w:rsidR="00A45935" w:rsidRPr="00E05D08" w:rsidRDefault="00734B11" w:rsidP="00E05D08">
            <w:pPr>
              <w:spacing w:before="60" w:after="0" w:line="240" w:lineRule="auto"/>
              <w:jc w:val="center"/>
              <w:rPr>
                <w:rFonts w:eastAsia="Times New Roman" w:cs="Arial"/>
                <w:b/>
                <w:bCs/>
                <w:color w:val="FFFFFF"/>
                <w:sz w:val="18"/>
                <w:szCs w:val="18"/>
              </w:rPr>
            </w:pPr>
            <w:r>
              <w:rPr>
                <w:b/>
                <w:bCs/>
                <w:color w:val="FFFFFF"/>
                <w:sz w:val="18"/>
                <w:szCs w:val="18"/>
              </w:rPr>
              <w:t xml:space="preserve">Beurteilungskriterien </w:t>
            </w:r>
          </w:p>
        </w:tc>
        <w:tc>
          <w:tcPr>
            <w:tcW w:w="3684" w:type="dxa"/>
            <w:shd w:val="clear" w:color="auto" w:fill="F07E31"/>
            <w:vAlign w:val="center"/>
            <w:hideMark/>
          </w:tcPr>
          <w:p w:rsidR="00A45935" w:rsidRPr="00E05D08" w:rsidRDefault="00A45935" w:rsidP="00E05D08">
            <w:pPr>
              <w:spacing w:before="60" w:after="0" w:line="240" w:lineRule="auto"/>
              <w:jc w:val="center"/>
              <w:rPr>
                <w:rFonts w:eastAsia="Times New Roman" w:cs="Arial"/>
                <w:color w:val="FFFFFF"/>
                <w:sz w:val="18"/>
                <w:szCs w:val="18"/>
              </w:rPr>
            </w:pPr>
            <w:r>
              <w:rPr>
                <w:b/>
                <w:bCs/>
                <w:color w:val="FFFFFF"/>
                <w:sz w:val="18"/>
                <w:szCs w:val="18"/>
              </w:rPr>
              <w:t>Indikatoren</w:t>
            </w:r>
          </w:p>
        </w:tc>
        <w:tc>
          <w:tcPr>
            <w:tcW w:w="3684" w:type="dxa"/>
            <w:shd w:val="clear" w:color="auto" w:fill="F07E31"/>
            <w:vAlign w:val="center"/>
          </w:tcPr>
          <w:p w:rsidR="00A45935" w:rsidRPr="00E05D08" w:rsidRDefault="00A45935" w:rsidP="00E05D08">
            <w:pPr>
              <w:spacing w:before="60" w:after="0" w:line="240" w:lineRule="auto"/>
              <w:jc w:val="center"/>
              <w:rPr>
                <w:rFonts w:eastAsia="Times New Roman" w:cs="Arial"/>
                <w:b/>
                <w:bCs/>
                <w:color w:val="FFFFFF"/>
                <w:sz w:val="18"/>
                <w:szCs w:val="18"/>
              </w:rPr>
            </w:pPr>
            <w:r>
              <w:rPr>
                <w:b/>
                <w:bCs/>
                <w:color w:val="FFFFFF"/>
                <w:sz w:val="18"/>
                <w:szCs w:val="18"/>
              </w:rPr>
              <w:t>Datenbedarf</w:t>
            </w:r>
          </w:p>
        </w:tc>
        <w:tc>
          <w:tcPr>
            <w:tcW w:w="3685" w:type="dxa"/>
            <w:shd w:val="clear" w:color="auto" w:fill="F07E31"/>
            <w:vAlign w:val="center"/>
          </w:tcPr>
          <w:p w:rsidR="00A45935" w:rsidRPr="00E05D08" w:rsidRDefault="00A45935" w:rsidP="00E05D08">
            <w:pPr>
              <w:spacing w:before="60" w:after="0" w:line="240" w:lineRule="auto"/>
              <w:jc w:val="center"/>
              <w:rPr>
                <w:rFonts w:eastAsia="Times New Roman" w:cs="Arial"/>
                <w:b/>
                <w:bCs/>
                <w:color w:val="FFFFFF"/>
                <w:sz w:val="18"/>
                <w:szCs w:val="18"/>
              </w:rPr>
            </w:pPr>
            <w:r>
              <w:rPr>
                <w:b/>
                <w:bCs/>
                <w:color w:val="FFFFFF"/>
                <w:sz w:val="18"/>
                <w:szCs w:val="18"/>
              </w:rPr>
              <w:t>Datenquellen</w:t>
            </w:r>
          </w:p>
        </w:tc>
      </w:tr>
      <w:tr w:rsidR="00A45935" w:rsidRPr="00E05D08" w:rsidTr="00E05D08">
        <w:trPr>
          <w:trHeight w:val="418"/>
        </w:trPr>
        <w:tc>
          <w:tcPr>
            <w:tcW w:w="14737" w:type="dxa"/>
            <w:gridSpan w:val="4"/>
            <w:shd w:val="clear" w:color="auto" w:fill="8BAB80"/>
            <w:vAlign w:val="center"/>
          </w:tcPr>
          <w:p w:rsidR="00A45935" w:rsidRPr="00E05D08" w:rsidRDefault="00A45935" w:rsidP="00E05D08">
            <w:pPr>
              <w:spacing w:after="120" w:line="280" w:lineRule="atLeast"/>
              <w:mirrorIndents/>
              <w:rPr>
                <w:rFonts w:eastAsia="Times New Roman" w:cs="Arial"/>
                <w:b/>
                <w:color w:val="FFFFFF"/>
                <w:sz w:val="18"/>
                <w:szCs w:val="18"/>
              </w:rPr>
            </w:pPr>
            <w:r>
              <w:rPr>
                <w:b/>
                <w:color w:val="FFFFFF"/>
                <w:sz w:val="18"/>
                <w:szCs w:val="18"/>
              </w:rPr>
              <w:t>Gemeinsame Bewertungselemente (CMES und entsprechend den Vorschlägen in der Arbeitsunterlage „Common Evaluation Questions for Rural Development Programmes 2014-2020“)</w:t>
            </w:r>
          </w:p>
        </w:tc>
      </w:tr>
      <w:tr w:rsidR="00A45935" w:rsidRPr="00E05D08" w:rsidTr="00E05D08">
        <w:trPr>
          <w:trHeight w:val="1928"/>
        </w:trPr>
        <w:tc>
          <w:tcPr>
            <w:tcW w:w="3684" w:type="dxa"/>
            <w:shd w:val="clear" w:color="auto" w:fill="auto"/>
            <w:vAlign w:val="center"/>
          </w:tcPr>
          <w:p w:rsidR="00A45935" w:rsidRPr="00E05D08" w:rsidRDefault="00A45935" w:rsidP="00BA4FCD">
            <w:pPr>
              <w:spacing w:after="120" w:line="280" w:lineRule="atLeast"/>
              <w:jc w:val="left"/>
              <w:rPr>
                <w:rFonts w:eastAsia="Times New Roman" w:cs="Arial"/>
                <w:sz w:val="18"/>
                <w:szCs w:val="18"/>
              </w:rPr>
            </w:pPr>
            <w:r>
              <w:rPr>
                <w:sz w:val="18"/>
                <w:szCs w:val="18"/>
              </w:rPr>
              <w:t>Die Investitionen in FuE und Innovation haben zugenommen.</w:t>
            </w:r>
            <w:r w:rsidRPr="00E05D08">
              <w:rPr>
                <w:rFonts w:eastAsia="Times New Roman" w:cs="Arial"/>
                <w:sz w:val="18"/>
                <w:szCs w:val="18"/>
                <w:vertAlign w:val="superscript"/>
                <w:lang w:eastAsia="de-AT"/>
              </w:rPr>
              <w:footnoteReference w:id="75"/>
            </w:r>
          </w:p>
          <w:p w:rsidR="00A45935" w:rsidRPr="00E05D08" w:rsidRDefault="00A45935" w:rsidP="00697455">
            <w:pPr>
              <w:spacing w:after="120" w:line="280" w:lineRule="atLeast"/>
              <w:jc w:val="left"/>
              <w:rPr>
                <w:rFonts w:eastAsia="Times New Roman" w:cs="Arial"/>
                <w:sz w:val="18"/>
                <w:szCs w:val="18"/>
              </w:rPr>
            </w:pPr>
            <w:r>
              <w:rPr>
                <w:sz w:val="18"/>
                <w:szCs w:val="18"/>
              </w:rPr>
              <w:t xml:space="preserve">Innovation wurde gefördert. </w:t>
            </w:r>
          </w:p>
        </w:tc>
        <w:tc>
          <w:tcPr>
            <w:tcW w:w="3684" w:type="dxa"/>
            <w:shd w:val="clear" w:color="auto" w:fill="auto"/>
            <w:vAlign w:val="center"/>
            <w:hideMark/>
          </w:tcPr>
          <w:p w:rsidR="00A45935" w:rsidRPr="00E05D08" w:rsidRDefault="00A45935" w:rsidP="00BA4FCD">
            <w:pPr>
              <w:spacing w:after="120" w:line="280" w:lineRule="atLeast"/>
              <w:jc w:val="left"/>
              <w:rPr>
                <w:rFonts w:eastAsia="Times New Roman" w:cs="Arial"/>
                <w:sz w:val="18"/>
                <w:szCs w:val="18"/>
              </w:rPr>
            </w:pPr>
            <w:r>
              <w:rPr>
                <w:sz w:val="18"/>
                <w:szCs w:val="18"/>
              </w:rPr>
              <w:t xml:space="preserve">T1: Prozentsatz der Ausgaben für Maßnahmen der Artikel 14, 15 und 35 der Verordnung (EU) Nr. 1305/2013 in Bezug auf den Gesamtbetrag der Ausgaben für das Programm zur Entwicklung des ländlichen Raums.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T2: Gesamtzahl der Kooperationsvorhaben, die im Rahmen der Maßnahme „Zusammenarbeit“ unterstützt werden (Artikel 35 der Verordnung (EU) Nr. 1305/2013) (Gruppen, Netzwerke/Cluster, Pilotprojekte). </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u w:val="single"/>
              </w:rPr>
              <w:t>Zusätzlicher Indikator:</w:t>
            </w:r>
            <w:r>
              <w:rPr>
                <w:color w:val="57825E"/>
                <w:sz w:val="18"/>
                <w:szCs w:val="18"/>
              </w:rPr>
              <w:t xml:space="preserve"> </w:t>
            </w:r>
          </w:p>
          <w:p w:rsidR="00A45935" w:rsidRPr="00E05D08" w:rsidRDefault="001120E4" w:rsidP="00BA4FCD">
            <w:pPr>
              <w:spacing w:after="120" w:line="280" w:lineRule="atLeast"/>
              <w:jc w:val="left"/>
              <w:rPr>
                <w:rFonts w:eastAsia="Times New Roman" w:cs="Arial"/>
                <w:sz w:val="18"/>
                <w:szCs w:val="18"/>
              </w:rPr>
            </w:pPr>
            <w:r>
              <w:rPr>
                <w:color w:val="57825E"/>
                <w:sz w:val="18"/>
                <w:szCs w:val="18"/>
              </w:rPr>
              <w:t>FuE-Ausgaben des Programms zur Entwicklung des ländlichen Raums als prozentualer Anteil am BIP (GERD „ländliche Entwicklung“).</w:t>
            </w:r>
            <w:r>
              <w:rPr>
                <w:sz w:val="18"/>
                <w:szCs w:val="18"/>
              </w:rPr>
              <w:t xml:space="preserve"> </w:t>
            </w:r>
          </w:p>
        </w:tc>
        <w:tc>
          <w:tcPr>
            <w:tcW w:w="3684" w:type="dxa"/>
          </w:tcPr>
          <w:p w:rsidR="00A45935" w:rsidRPr="00E05D08" w:rsidRDefault="00A45935" w:rsidP="00BA4FCD">
            <w:pPr>
              <w:spacing w:after="120" w:line="280" w:lineRule="atLeast"/>
              <w:jc w:val="left"/>
              <w:rPr>
                <w:rFonts w:eastAsia="Times New Roman" w:cs="Arial"/>
                <w:sz w:val="18"/>
                <w:szCs w:val="18"/>
              </w:rPr>
            </w:pPr>
            <w:r>
              <w:rPr>
                <w:sz w:val="18"/>
                <w:szCs w:val="18"/>
              </w:rPr>
              <w:t>Daten zu den Ausgaben des Programm</w:t>
            </w:r>
            <w:r w:rsidR="000D1B3B">
              <w:rPr>
                <w:sz w:val="18"/>
                <w:szCs w:val="18"/>
              </w:rPr>
              <w:t>s</w:t>
            </w:r>
            <w:r>
              <w:rPr>
                <w:sz w:val="18"/>
                <w:szCs w:val="18"/>
              </w:rPr>
              <w:t xml:space="preserve"> zur Entwicklung des ländlichen Raums für FuE und Innovation.</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Daten zu den Gesamtausgaben des Programms zur Entwicklung des ländlichen Raums. </w:t>
            </w:r>
          </w:p>
          <w:p w:rsidR="00A45935" w:rsidRPr="00E05D08" w:rsidRDefault="00A45935" w:rsidP="00BA4FCD">
            <w:pPr>
              <w:spacing w:after="120" w:line="280" w:lineRule="atLeast"/>
              <w:jc w:val="left"/>
              <w:rPr>
                <w:rFonts w:eastAsia="Times New Roman" w:cs="Arial"/>
                <w:sz w:val="18"/>
                <w:szCs w:val="18"/>
              </w:rPr>
            </w:pPr>
            <w:r>
              <w:rPr>
                <w:sz w:val="18"/>
                <w:szCs w:val="18"/>
              </w:rPr>
              <w:t>Daten zu den Ausgaben des Mitgliedstaats/der Region für FuE und Innovation.</w:t>
            </w:r>
          </w:p>
          <w:p w:rsidR="00A45935" w:rsidRPr="00E05D08" w:rsidRDefault="00A45935" w:rsidP="00BA4FCD">
            <w:pPr>
              <w:spacing w:after="120" w:line="280" w:lineRule="atLeast"/>
              <w:jc w:val="left"/>
              <w:rPr>
                <w:rFonts w:eastAsia="Times New Roman" w:cs="Arial"/>
                <w:sz w:val="18"/>
                <w:szCs w:val="18"/>
              </w:rPr>
            </w:pPr>
            <w:r>
              <w:rPr>
                <w:sz w:val="18"/>
                <w:szCs w:val="18"/>
              </w:rPr>
              <w:t>Daten zum BIP des Mitgliedstaats/der Region.</w:t>
            </w:r>
          </w:p>
        </w:tc>
        <w:tc>
          <w:tcPr>
            <w:tcW w:w="3685" w:type="dxa"/>
          </w:tcPr>
          <w:p w:rsidR="00A45935" w:rsidRPr="00E05D08" w:rsidRDefault="00A45935" w:rsidP="00BA4FCD">
            <w:pPr>
              <w:spacing w:after="120" w:line="280" w:lineRule="atLeast"/>
              <w:jc w:val="left"/>
              <w:rPr>
                <w:rFonts w:eastAsia="Times New Roman" w:cs="Arial"/>
                <w:sz w:val="18"/>
                <w:szCs w:val="18"/>
              </w:rPr>
            </w:pPr>
            <w:r>
              <w:rPr>
                <w:sz w:val="18"/>
                <w:szCs w:val="18"/>
              </w:rPr>
              <w:t>System zur Begleitung von Programmen zur Entwicklung des ländlichen Raums.</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Eurostat.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Nationale/regionale Statistiken. </w:t>
            </w:r>
          </w:p>
        </w:tc>
      </w:tr>
    </w:tbl>
    <w:p w:rsidR="00971E55" w:rsidRDefault="00971E55">
      <w:r>
        <w:br w:type="page"/>
      </w:r>
    </w:p>
    <w:tbl>
      <w:tblPr>
        <w:tblW w:w="147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684"/>
        <w:gridCol w:w="3684"/>
        <w:gridCol w:w="3684"/>
        <w:gridCol w:w="3685"/>
      </w:tblGrid>
      <w:tr w:rsidR="00A45935" w:rsidRPr="00E05D08" w:rsidTr="00E05D08">
        <w:trPr>
          <w:trHeight w:val="404"/>
        </w:trPr>
        <w:tc>
          <w:tcPr>
            <w:tcW w:w="14737" w:type="dxa"/>
            <w:gridSpan w:val="4"/>
            <w:shd w:val="clear" w:color="auto" w:fill="8BAB80"/>
            <w:vAlign w:val="center"/>
          </w:tcPr>
          <w:p w:rsidR="00A45935" w:rsidRPr="00E05D08" w:rsidRDefault="00A45935" w:rsidP="00E05D08">
            <w:pPr>
              <w:spacing w:after="120" w:line="280" w:lineRule="atLeast"/>
              <w:rPr>
                <w:rFonts w:eastAsia="Times New Roman" w:cs="Arial"/>
                <w:b/>
                <w:color w:val="FFFFFF"/>
                <w:sz w:val="18"/>
                <w:szCs w:val="18"/>
              </w:rPr>
            </w:pPr>
            <w:r>
              <w:rPr>
                <w:b/>
                <w:color w:val="FFFFFF"/>
                <w:sz w:val="18"/>
                <w:szCs w:val="18"/>
              </w:rPr>
              <w:lastRenderedPageBreak/>
              <w:t>Zusätzliche Bewertungselemente (optional)</w:t>
            </w:r>
          </w:p>
        </w:tc>
      </w:tr>
      <w:tr w:rsidR="00A45935" w:rsidRPr="00E05D08" w:rsidTr="00E05D08">
        <w:trPr>
          <w:trHeight w:val="1928"/>
        </w:trPr>
        <w:tc>
          <w:tcPr>
            <w:tcW w:w="3684" w:type="dxa"/>
            <w:shd w:val="clear" w:color="auto" w:fill="auto"/>
            <w:vAlign w:val="center"/>
          </w:tcPr>
          <w:p w:rsidR="00A45935" w:rsidRPr="00E05D08" w:rsidRDefault="00A45935" w:rsidP="00697455">
            <w:pPr>
              <w:spacing w:after="120" w:line="280" w:lineRule="atLeast"/>
              <w:jc w:val="left"/>
              <w:rPr>
                <w:rFonts w:eastAsia="Times New Roman" w:cs="Arial"/>
                <w:sz w:val="18"/>
                <w:szCs w:val="18"/>
              </w:rPr>
            </w:pPr>
            <w:r>
              <w:rPr>
                <w:sz w:val="18"/>
                <w:szCs w:val="18"/>
              </w:rPr>
              <w:t>Die Investitionen in FuE und Innovation sowie die Innovation haben zugenommen.</w:t>
            </w:r>
          </w:p>
        </w:tc>
        <w:tc>
          <w:tcPr>
            <w:tcW w:w="3684" w:type="dxa"/>
            <w:shd w:val="clear" w:color="auto" w:fill="auto"/>
            <w:vAlign w:val="center"/>
          </w:tcPr>
          <w:p w:rsidR="001120E4" w:rsidRPr="001120E4" w:rsidRDefault="001120E4" w:rsidP="00BA4FCD">
            <w:pPr>
              <w:spacing w:after="120" w:line="280" w:lineRule="atLeast"/>
              <w:jc w:val="left"/>
              <w:rPr>
                <w:rFonts w:eastAsia="Times New Roman" w:cs="Arial"/>
                <w:color w:val="57825E"/>
                <w:sz w:val="18"/>
                <w:szCs w:val="18"/>
                <w:u w:val="single"/>
              </w:rPr>
            </w:pPr>
            <w:r>
              <w:rPr>
                <w:color w:val="57825E"/>
                <w:sz w:val="18"/>
                <w:szCs w:val="18"/>
                <w:u w:val="single"/>
              </w:rPr>
              <w:t xml:space="preserve">Zusätzliche Indikatoren: </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rPr>
              <w:t>Bruttoinlandsaufwendungen für FuE (GERD) im Verhältnis zum Bruttoinlandsprodukt (BIP).</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rPr>
              <w:t xml:space="preserve">Ausgaben des Programms zur Entwicklung des ländlichen Raums für FuE und Innovation als prozentualer Anteil an den Gesamtausgaben des Programms. </w:t>
            </w:r>
          </w:p>
          <w:p w:rsidR="00A45935" w:rsidRPr="00E05D08" w:rsidRDefault="00942585" w:rsidP="00BA4FCD">
            <w:pPr>
              <w:spacing w:after="120" w:line="280" w:lineRule="atLeast"/>
              <w:jc w:val="left"/>
              <w:rPr>
                <w:rFonts w:eastAsia="Times New Roman" w:cs="Arial"/>
                <w:sz w:val="18"/>
                <w:szCs w:val="18"/>
              </w:rPr>
            </w:pPr>
            <w:r>
              <w:rPr>
                <w:color w:val="57825E"/>
                <w:sz w:val="18"/>
                <w:szCs w:val="18"/>
              </w:rPr>
              <w:t>Ausgaben des Programms zur Entwicklung des ländlichen Raums für FuE und Innovation als prozentualer Anteil an den Bruttoinlandsaufwendungen für FuE und Innovation.</w:t>
            </w:r>
          </w:p>
        </w:tc>
        <w:tc>
          <w:tcPr>
            <w:tcW w:w="3684" w:type="dxa"/>
          </w:tcPr>
          <w:p w:rsidR="001120E4" w:rsidRDefault="001120E4" w:rsidP="00BA4FCD">
            <w:pPr>
              <w:spacing w:after="120" w:line="280" w:lineRule="atLeast"/>
              <w:jc w:val="left"/>
              <w:rPr>
                <w:rFonts w:eastAsia="Times New Roman" w:cs="Arial"/>
                <w:sz w:val="18"/>
                <w:szCs w:val="18"/>
              </w:rPr>
            </w:pPr>
            <w:r>
              <w:rPr>
                <w:sz w:val="18"/>
                <w:szCs w:val="18"/>
              </w:rPr>
              <w:t>Daten zu FuE und Innovation in Übereinstimmung mit dem Frascati-Handbuch.</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Daten zu den Ausgaben des Programms zur Entwicklung des ländlichen Raums für FuE und Innovation, aufgeschlüsselt nach Art des Begünstigten.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Daten zu den Gesamtausgaben des Programms zur Entwicklung des ländlichen Raums. </w:t>
            </w:r>
          </w:p>
          <w:p w:rsidR="00A45935" w:rsidRPr="00E05D08" w:rsidRDefault="00A45935" w:rsidP="00BA4FCD">
            <w:pPr>
              <w:spacing w:after="120" w:line="280" w:lineRule="atLeast"/>
              <w:jc w:val="left"/>
              <w:rPr>
                <w:rFonts w:eastAsia="Times New Roman" w:cs="Arial"/>
                <w:sz w:val="18"/>
                <w:szCs w:val="18"/>
              </w:rPr>
            </w:pPr>
            <w:r>
              <w:rPr>
                <w:sz w:val="18"/>
                <w:szCs w:val="18"/>
              </w:rPr>
              <w:t>Daten zu den Ausgaben des Mitgliedstaats/der Region für FuE und Innovation.</w:t>
            </w:r>
          </w:p>
          <w:p w:rsidR="00A45935" w:rsidRPr="00E05D08" w:rsidRDefault="00A45935" w:rsidP="00BA4FCD">
            <w:pPr>
              <w:spacing w:after="120" w:line="280" w:lineRule="atLeast"/>
              <w:jc w:val="left"/>
              <w:rPr>
                <w:rFonts w:eastAsia="Times New Roman" w:cs="Arial"/>
                <w:sz w:val="18"/>
                <w:szCs w:val="18"/>
              </w:rPr>
            </w:pPr>
            <w:r>
              <w:rPr>
                <w:sz w:val="18"/>
                <w:szCs w:val="18"/>
              </w:rPr>
              <w:t>Daten zum BIP des Mitgliedstaats/der Region.</w:t>
            </w:r>
          </w:p>
        </w:tc>
        <w:tc>
          <w:tcPr>
            <w:tcW w:w="3685" w:type="dxa"/>
          </w:tcPr>
          <w:p w:rsidR="00A45935" w:rsidRPr="00E05D08" w:rsidRDefault="00A45935" w:rsidP="00BA4FCD">
            <w:pPr>
              <w:spacing w:after="120" w:line="280" w:lineRule="atLeast"/>
              <w:jc w:val="left"/>
              <w:rPr>
                <w:rFonts w:eastAsia="Times New Roman" w:cs="Arial"/>
                <w:sz w:val="18"/>
                <w:szCs w:val="18"/>
              </w:rPr>
            </w:pPr>
            <w:r>
              <w:rPr>
                <w:sz w:val="18"/>
                <w:szCs w:val="18"/>
              </w:rPr>
              <w:t>System zur Begleitung von Programmen zur Entwicklung des ländlichen Raums.</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Eurostat.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Nationale/regionale Statistiken. </w:t>
            </w:r>
          </w:p>
        </w:tc>
      </w:tr>
    </w:tbl>
    <w:p w:rsidR="00A45935" w:rsidRPr="00E05D08" w:rsidRDefault="00A45935" w:rsidP="008C0B17">
      <w:pPr>
        <w:numPr>
          <w:ilvl w:val="0"/>
          <w:numId w:val="45"/>
        </w:numPr>
        <w:spacing w:before="60" w:after="120" w:line="280" w:lineRule="atLeast"/>
        <w:rPr>
          <w:rFonts w:eastAsia="Times New Roman" w:cs="Times New Roman"/>
          <w:b/>
          <w:szCs w:val="20"/>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360"/>
        </w:sectPr>
      </w:pPr>
    </w:p>
    <w:p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b/>
          <w:szCs w:val="20"/>
        </w:rPr>
        <w:lastRenderedPageBreak/>
        <w:t>Empfohlene Bewertungsmethode</w:t>
      </w:r>
    </w:p>
    <w:p w:rsidR="00A45935" w:rsidRPr="00E05D08" w:rsidRDefault="00A45935" w:rsidP="00E05D08">
      <w:pPr>
        <w:spacing w:after="120" w:line="280" w:lineRule="atLeast"/>
        <w:mirrorIndents/>
        <w:rPr>
          <w:rFonts w:eastAsia="Times New Roman" w:cs="Times New Roman"/>
          <w:szCs w:val="20"/>
        </w:rPr>
      </w:pPr>
      <w:r>
        <w:t>Der Leitindikator zum Kernziel wird von Eurostat und in nationalen Statistiken erfasst und bezieht sich auf die Bruttoinlandsaufwendungen für FuE (GERD) als Näherungswert für das BIP, auch als FuE-Intensität bezeichnet. In den Statistiken werden die FuE-Ausgaben von vier Sektoren zusammengestellt: 1) Unternehmenssektor, 2) Staatssektor, 3) Hochschulsektor und 4) Sektor der nicht gewinnorientierten Privatorganisationen. Ausführlichere Informationen zur Berechnung der einzelnen Indikatoren sind in Tabelle 8 enthalten.</w:t>
      </w:r>
    </w:p>
    <w:p w:rsidR="00F73706" w:rsidRPr="0059311F" w:rsidRDefault="00F73706" w:rsidP="00F73706">
      <w:pPr>
        <w:pStyle w:val="Hlistbullet"/>
      </w:pPr>
      <w:r>
        <w:t xml:space="preserve">Die Daten zu den gemeinsamen Indikatoren T1 und T2 werden direkt über das Begleitungssystem des Programms zur Entwicklung des ländlichen Raums gesammelt (Vorhabendatenbank). </w:t>
      </w:r>
    </w:p>
    <w:p w:rsidR="00F73706" w:rsidRPr="00F73706" w:rsidRDefault="00F73706" w:rsidP="00F73706">
      <w:pPr>
        <w:pStyle w:val="Hlistbullet"/>
      </w:pPr>
      <w:r>
        <w:t xml:space="preserve">Daten zum Kernziel </w:t>
      </w:r>
      <w:r>
        <w:rPr>
          <w:i/>
        </w:rPr>
        <w:t>„Bruttoinlandsaufwendungen für FuE (GERD) im Verhältnis zum Bruttoinlandsprodukt (BIP)“</w:t>
      </w:r>
      <w:r>
        <w:t xml:space="preserve"> können von Eurostat auf den Ebenen NUTS 1 und NUTS 2 erfasst werden.</w:t>
      </w:r>
    </w:p>
    <w:p w:rsidR="00F73706" w:rsidRPr="00F73706" w:rsidRDefault="00F73706" w:rsidP="00F73706">
      <w:pPr>
        <w:pStyle w:val="Hlistbullet"/>
      </w:pPr>
      <w:r>
        <w:t xml:space="preserve">Der zusätzliche Indikator </w:t>
      </w:r>
      <w:r>
        <w:rPr>
          <w:i/>
        </w:rPr>
        <w:t>„FuE-Ausgaben des Programms zur Entwicklung des ländlichen Raums als prozentualer Anteil am BIP“</w:t>
      </w:r>
      <w:r>
        <w:t xml:space="preserve"> (im Folgenden GERD „ländliche Entwicklung“)</w:t>
      </w:r>
      <w:r>
        <w:rPr>
          <w:sz w:val="18"/>
          <w:szCs w:val="18"/>
        </w:rPr>
        <w:t xml:space="preserve"> </w:t>
      </w:r>
      <w:r>
        <w:t>bezieht sich auf die Ausgaben des Programms zur Entwicklung des ländlichen Raums für FuE für einschlägige Maßnahmen/Teilmaßnahmen im Verhältnis zum BIP:</w:t>
      </w:r>
    </w:p>
    <w:p w:rsidR="00F73706" w:rsidRPr="00F73706" w:rsidRDefault="00F73706" w:rsidP="00F73706">
      <w:pPr>
        <w:pStyle w:val="Hlistbullet2"/>
      </w:pPr>
      <w:r>
        <w:t xml:space="preserve">Daten zum BIP werden in nationalen Statistiken erfasst und stehen auch aus EU-Quellen (Eurostat) zur Verfügung. </w:t>
      </w:r>
    </w:p>
    <w:p w:rsidR="00F73706" w:rsidRPr="00F73706" w:rsidRDefault="00F73706" w:rsidP="00F73706">
      <w:pPr>
        <w:pStyle w:val="Hlistbullet2"/>
      </w:pPr>
      <w:r>
        <w:t xml:space="preserve">Daten zu den Ausgaben des Programms zur Entwicklung des ländlichen Raums für FuE und Innovation können aus dem Begleitungssystem des Programms gewonnen werden, indem die Ausgaben in Verbindung mit Vorhaben mit Innovationspotenzial (ermittelt im Rahmen der Untersuchung des Innovationspotenzials – siehe </w:t>
      </w:r>
      <w:hyperlink w:anchor="Screening_Potential" w:history="1">
        <w:r>
          <w:rPr>
            <w:rStyle w:val="Hyperlink"/>
            <w:sz w:val="20"/>
          </w:rPr>
          <w:t>Kapitel 2.2</w:t>
        </w:r>
      </w:hyperlink>
      <w:r>
        <w:t xml:space="preserve">) zusammengerechnet und durch die Zahl der Begünstigen in den im Frascati-Handbuch genannten Sektoren geteilt werden. </w:t>
      </w:r>
    </w:p>
    <w:p w:rsidR="00F73706" w:rsidRPr="00F73706" w:rsidRDefault="00F73706" w:rsidP="00F73706">
      <w:pPr>
        <w:pStyle w:val="Hlistbullet"/>
      </w:pPr>
      <w:r>
        <w:t xml:space="preserve">Der zusätzliche Indikator </w:t>
      </w:r>
      <w:r>
        <w:rPr>
          <w:i/>
        </w:rPr>
        <w:t>„Ausgaben des Programms zur Entwicklung des ländlichen Raums für FuE und Innovation als prozentualer Anteil an den Gesamtausgaben des Programms“</w:t>
      </w:r>
      <w:r>
        <w:t xml:space="preserve"> bezieht sich auf die Höhe der Haushaltsmittel aus dem Programm zur Entwicklung des ländlichen Raums, die zur Förderung von FuE und Innovation vorgesehen sind. Daten für diesen Indikator können auch aus dem Begleitungssystem des Programms zur Entwicklung des ländlichen Raums gewonnen werden, wenn die Vorhabendatenbank so aufgebaut ist, dass auch die Informationen zu Projekten mit hohem Innovationspotenzial, ermittelt in der vor der Bewertung erfolgten Untersuchung, nachverfolgt werden können.</w:t>
      </w:r>
    </w:p>
    <w:p w:rsidR="00A45935" w:rsidRPr="00E05D08" w:rsidRDefault="00F73706" w:rsidP="00F73706">
      <w:pPr>
        <w:pStyle w:val="Hlistbullet"/>
      </w:pPr>
      <w:r>
        <w:t xml:space="preserve">Der zusätzliche Indikator </w:t>
      </w:r>
      <w:r>
        <w:rPr>
          <w:i/>
        </w:rPr>
        <w:t>„Ausgaben des Programms zur Entwicklung des ländlichen Raums für FuE und Innovation als prozentualer Anteil an den Bruttoinlandsaufwendungen für FuE und Innovation“</w:t>
      </w:r>
      <w:r>
        <w:t xml:space="preserve"> bezieht sich auf das Verhältnis zwischen Investitionen des Programms zur Entwicklung des ländlichen Raums in FuE und Innovation einerseits und den Bruttoinlandsaufwendungen für FuE andererseits. Diesbezügliche Daten können aus dem Begleitungssystem des Programms zur Entwicklung des ländlichen Raums, aus nationalen und regionalen Statistiken und von Eurostat erhalten werden.</w:t>
      </w:r>
    </w:p>
    <w:p w:rsidR="00A45935" w:rsidRPr="00E05D08" w:rsidRDefault="00A45935" w:rsidP="00E05D08">
      <w:pPr>
        <w:spacing w:after="120" w:line="280" w:lineRule="atLeast"/>
        <w:mirrorIndents/>
        <w:rPr>
          <w:rFonts w:eastAsia="Times New Roman" w:cs="Times New Roman"/>
          <w:szCs w:val="20"/>
        </w:rPr>
      </w:pPr>
      <w:r>
        <w:t>Die Zahlen zu den Indikatoren können vorab (geplante Beteiligungen) und im Zuge der Bewertung für den jährlichen Durchführungsbericht 2019 sowie während der Ex-post-Bewertung (tatsächliche Beteiligungen zum Zeitpunkt der Bewertung) berechnet werden, woraus sich die Möglichkeit ergibt, die geplanten mit den tatsächlichen Beteiligungen zu vergleichen. Das Beispiel in Tabelle 8 zeigt die geplanten und tatsächlichen Werte für gemeinsame und zusätzliche Indikatoren:</w:t>
      </w:r>
    </w:p>
    <w:p w:rsidR="00A45935" w:rsidRPr="00E05D08" w:rsidRDefault="00A45935" w:rsidP="00E05D08">
      <w:pPr>
        <w:spacing w:after="0" w:line="240" w:lineRule="auto"/>
        <w:rPr>
          <w:rFonts w:eastAsia="Times New Roman" w:cs="Times New Roman"/>
          <w:b/>
          <w:sz w:val="16"/>
          <w:szCs w:val="20"/>
          <w:highlight w:val="yellow"/>
        </w:rPr>
      </w:pPr>
      <w:bookmarkStart w:id="128" w:name="_Hlk501698024"/>
      <w:r>
        <w:br w:type="page"/>
      </w:r>
    </w:p>
    <w:p w:rsidR="00A45935" w:rsidRPr="00D62992" w:rsidRDefault="00A45935" w:rsidP="00D62992">
      <w:pPr>
        <w:pStyle w:val="HHeadingtables"/>
        <w:rPr>
          <w:color w:val="6F6F6F"/>
          <w:sz w:val="18"/>
          <w:szCs w:val="18"/>
        </w:rPr>
      </w:pPr>
      <w:bookmarkStart w:id="129" w:name="_Toc508377856"/>
      <w:r>
        <w:rPr>
          <w:color w:val="6F6F6F"/>
          <w:sz w:val="18"/>
          <w:szCs w:val="18"/>
        </w:rPr>
        <w:lastRenderedPageBreak/>
        <w:t>Beispiel für die geplanten und tatsächlichen Werte von gemeinsamen und zusätzlichen Indikatoren</w:t>
      </w:r>
      <w:bookmarkEnd w:id="129"/>
      <w:r>
        <w:rPr>
          <w:color w:val="6F6F6F"/>
          <w:sz w:val="18"/>
          <w:szCs w:val="18"/>
        </w:rPr>
        <w:t xml:space="preserve"> </w:t>
      </w:r>
    </w:p>
    <w:tbl>
      <w:tblPr>
        <w:tblW w:w="91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1882"/>
        <w:gridCol w:w="3348"/>
        <w:gridCol w:w="1494"/>
        <w:gridCol w:w="1493"/>
        <w:gridCol w:w="911"/>
      </w:tblGrid>
      <w:tr w:rsidR="00F73706" w:rsidRPr="00F73706" w:rsidTr="00BC211C">
        <w:trPr>
          <w:trHeight w:val="192"/>
        </w:trPr>
        <w:tc>
          <w:tcPr>
            <w:tcW w:w="1202" w:type="dxa"/>
            <w:shd w:val="clear" w:color="auto" w:fill="F07E31"/>
            <w:vAlign w:val="center"/>
            <w:hideMark/>
          </w:tcPr>
          <w:p w:rsidR="00F73706" w:rsidRPr="00253803" w:rsidRDefault="00F73706" w:rsidP="00F73706">
            <w:pPr>
              <w:spacing w:before="60" w:after="120" w:line="220" w:lineRule="atLeast"/>
              <w:ind w:right="154"/>
              <w:jc w:val="center"/>
              <w:rPr>
                <w:rFonts w:eastAsia="Times New Roman" w:cs="Arial"/>
                <w:b/>
                <w:bCs/>
                <w:color w:val="FFFFFF"/>
                <w:sz w:val="18"/>
                <w:szCs w:val="20"/>
                <w:lang w:eastAsia="de-DE"/>
              </w:rPr>
            </w:pPr>
          </w:p>
        </w:tc>
        <w:tc>
          <w:tcPr>
            <w:tcW w:w="4175"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Indikatoren</w:t>
            </w:r>
          </w:p>
        </w:tc>
        <w:tc>
          <w:tcPr>
            <w:tcW w:w="1495"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Geplant</w:t>
            </w:r>
          </w:p>
        </w:tc>
        <w:tc>
          <w:tcPr>
            <w:tcW w:w="1494"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Tatsächlich</w:t>
            </w:r>
          </w:p>
        </w:tc>
        <w:tc>
          <w:tcPr>
            <w:tcW w:w="762" w:type="dxa"/>
            <w:shd w:val="clear" w:color="auto" w:fill="F07E31"/>
            <w:vAlign w:val="center"/>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Berechn.</w:t>
            </w:r>
          </w:p>
        </w:tc>
      </w:tr>
      <w:tr w:rsidR="00F73706" w:rsidRPr="00F73706" w:rsidTr="00BC211C">
        <w:trPr>
          <w:trHeight w:val="310"/>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Dateneinträge für das Programm zur Entwicklung des ländlichen Raums (Vorhabendatenbank)</w:t>
            </w: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Gesamtausgaben des Programms zur Entwicklung des ländlichen Raums (aggregiert).</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800 000 000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790 000 000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a</w:t>
            </w:r>
          </w:p>
        </w:tc>
      </w:tr>
      <w:tr w:rsidR="00F73706" w:rsidRPr="00F73706" w:rsidTr="00BC211C">
        <w:trPr>
          <w:trHeight w:val="363"/>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Ausgaben des Programms zur Entwicklung des ländlichen Raums nach Artikel 14, 15 und 35 der Verordnung (EU) Nr. 1305/2013 (aggregiert).</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40 000 000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30 000 000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b</w:t>
            </w:r>
          </w:p>
        </w:tc>
      </w:tr>
      <w:tr w:rsidR="00F73706" w:rsidRPr="00F73706" w:rsidTr="00BC211C">
        <w:trPr>
          <w:trHeight w:val="631"/>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Ausgaben des Programms zur Entwicklung des ländlichen Raums für alle Maßnahmen/Teilmaßnahmen des Programms, mit denen in FuE investiert und Innovation potenziell gefördert werden kann (aggregiert).</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120 000 000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140 000 000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c</w:t>
            </w:r>
          </w:p>
        </w:tc>
      </w:tr>
      <w:tr w:rsidR="00F73706" w:rsidRPr="00F73706" w:rsidTr="00BC211C">
        <w:trPr>
          <w:trHeight w:val="631"/>
        </w:trPr>
        <w:tc>
          <w:tcPr>
            <w:tcW w:w="1202" w:type="dxa"/>
            <w:vMerge w:val="restart"/>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Kontextdaten</w:t>
            </w:r>
          </w:p>
        </w:tc>
        <w:tc>
          <w:tcPr>
            <w:tcW w:w="4175" w:type="dxa"/>
            <w:shd w:val="clear" w:color="auto" w:fill="auto"/>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Nationales/regionales BIP (aller Sektoren) (jährlich).</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200 000 000 000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200 000 000 000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d</w:t>
            </w:r>
          </w:p>
        </w:tc>
      </w:tr>
      <w:tr w:rsidR="00F73706" w:rsidRPr="00F73706" w:rsidTr="00BC211C">
        <w:trPr>
          <w:trHeight w:val="631"/>
        </w:trPr>
        <w:tc>
          <w:tcPr>
            <w:tcW w:w="1202" w:type="dxa"/>
            <w:vMerge/>
            <w:vAlign w:val="center"/>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tcPr>
          <w:p w:rsidR="00F73706" w:rsidRPr="00F73706" w:rsidRDefault="00F31494" w:rsidP="00F73706">
            <w:pPr>
              <w:spacing w:before="60" w:after="120" w:line="220" w:lineRule="atLeast"/>
              <w:jc w:val="left"/>
              <w:rPr>
                <w:rFonts w:eastAsia="Times New Roman" w:cs="Arial"/>
                <w:sz w:val="18"/>
                <w:szCs w:val="20"/>
              </w:rPr>
            </w:pPr>
            <w:r>
              <w:rPr>
                <w:sz w:val="18"/>
                <w:szCs w:val="20"/>
              </w:rPr>
              <w:t>Bruttoinlandsaufwendungen für FuE (GERD) aller Sektoren (jährlich).</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3 000 000 000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3 000 000 000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e</w:t>
            </w:r>
          </w:p>
        </w:tc>
      </w:tr>
      <w:tr w:rsidR="00F73706" w:rsidRPr="00F73706" w:rsidTr="00BC211C">
        <w:trPr>
          <w:trHeight w:val="542"/>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Werte für gemeinsame Zielindikatoren </w:t>
            </w: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T1: Prozentsatz der Ausgaben für Maßnahmen der Artikel 14, 15 und 35 der Verordnung (EU) Nr. 1305/2013 in Bezug auf den Gesamtbetrag der Ausgaben für das Programm zur Entwicklung des ländlichen Raums.</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5 %</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4 %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f=</w:t>
            </w:r>
            <w:r>
              <w:rPr>
                <w:color w:val="F07E31"/>
                <w:sz w:val="18"/>
                <w:szCs w:val="20"/>
              </w:rPr>
              <w:br/>
              <w:t>b*100/a</w:t>
            </w:r>
          </w:p>
        </w:tc>
      </w:tr>
      <w:tr w:rsidR="00F73706" w:rsidRPr="00F73706" w:rsidTr="00BC211C">
        <w:trPr>
          <w:trHeight w:val="542"/>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T2: Gesamtzahl der Kooperationsvorhaben, die im Rahmen der Maßnahme „Zusammenarbeit“ unterstützt werden (Artikel 35 der Verordnung (EU) Nr. 1305/2013) (Gruppen, Netzwerke/Cluster, Pilotprojekte).</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30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50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g</w:t>
            </w:r>
          </w:p>
        </w:tc>
      </w:tr>
      <w:tr w:rsidR="00F73706" w:rsidRPr="00F73706" w:rsidTr="00BC211C">
        <w:trPr>
          <w:trHeight w:val="561"/>
        </w:trPr>
        <w:tc>
          <w:tcPr>
            <w:tcW w:w="1202" w:type="dxa"/>
            <w:vMerge w:val="restart"/>
            <w:shd w:val="clear" w:color="auto" w:fill="auto"/>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Werte für zusätzliche Ergebnisindikatoren </w:t>
            </w: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Bruttoinlandsaufwendungen für FuE (GERD) im Verhältnis zum Bruttoinlandsprodukt (BIP).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h= e*100/d</w:t>
            </w:r>
          </w:p>
        </w:tc>
      </w:tr>
      <w:tr w:rsidR="00F73706" w:rsidRPr="00F73706" w:rsidTr="00BC211C">
        <w:trPr>
          <w:trHeight w:val="561"/>
        </w:trPr>
        <w:tc>
          <w:tcPr>
            <w:tcW w:w="1202" w:type="dxa"/>
            <w:vMerge/>
            <w:shd w:val="clear" w:color="auto" w:fill="auto"/>
            <w:vAlign w:val="center"/>
            <w:hideMark/>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after="120" w:line="220" w:lineRule="atLeast"/>
              <w:jc w:val="left"/>
              <w:rPr>
                <w:rFonts w:eastAsia="Times New Roman" w:cs="Arial"/>
                <w:color w:val="57825E"/>
                <w:sz w:val="18"/>
                <w:szCs w:val="20"/>
              </w:rPr>
            </w:pPr>
            <w:r>
              <w:rPr>
                <w:color w:val="57825E"/>
                <w:sz w:val="18"/>
                <w:szCs w:val="18"/>
              </w:rPr>
              <w:t xml:space="preserve">FuE-Ausgaben des Programms zur Entwicklung des ländlichen Raums als prozentualer Anteil am BIP (GERD „ländliche Entwicklung“).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0,06 %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0,07 %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 xml:space="preserve">i= </w:t>
            </w:r>
            <w:r>
              <w:rPr>
                <w:color w:val="F07E31"/>
                <w:sz w:val="18"/>
                <w:szCs w:val="18"/>
              </w:rPr>
              <w:br/>
              <w:t>c*100/d</w:t>
            </w:r>
          </w:p>
        </w:tc>
      </w:tr>
      <w:tr w:rsidR="00F73706" w:rsidRPr="00F73706" w:rsidTr="00BC211C">
        <w:trPr>
          <w:trHeight w:val="650"/>
        </w:trPr>
        <w:tc>
          <w:tcPr>
            <w:tcW w:w="1202" w:type="dxa"/>
            <w:vMerge/>
            <w:shd w:val="clear" w:color="auto" w:fill="auto"/>
            <w:vAlign w:val="center"/>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Ausgaben des Programms zur Entwicklung des ländlichen Raums für FuE und Innovation als prozentualer Anteil an den Gesamtausgaben des Programms.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17,72 %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j=</w:t>
            </w:r>
            <w:r>
              <w:rPr>
                <w:color w:val="F07E31"/>
                <w:sz w:val="18"/>
                <w:szCs w:val="18"/>
              </w:rPr>
              <w:br/>
              <w:t>c*100/a</w:t>
            </w:r>
          </w:p>
        </w:tc>
      </w:tr>
      <w:tr w:rsidR="00F73706" w:rsidRPr="00B1500A" w:rsidTr="00BC211C">
        <w:trPr>
          <w:trHeight w:val="610"/>
        </w:trPr>
        <w:tc>
          <w:tcPr>
            <w:tcW w:w="1202" w:type="dxa"/>
            <w:vMerge/>
            <w:shd w:val="clear" w:color="auto" w:fill="auto"/>
            <w:vAlign w:val="center"/>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Ausgaben des Programms zur Entwicklung des ländlichen Raums für FuE und Innovation als prozentualer Anteil an den Bruttoinlandsaufwendungen für FuE und Innovation.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4,00 %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4,67 %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k=</w:t>
            </w:r>
            <w:r>
              <w:rPr>
                <w:color w:val="F07E31"/>
                <w:sz w:val="18"/>
                <w:szCs w:val="18"/>
              </w:rPr>
              <w:br/>
              <w:t>c*100/e</w:t>
            </w:r>
          </w:p>
        </w:tc>
      </w:tr>
    </w:tbl>
    <w:p w:rsidR="00971E55" w:rsidRDefault="00971E55">
      <w:pPr>
        <w:jc w:val="left"/>
        <w:rPr>
          <w:b/>
          <w:szCs w:val="20"/>
        </w:rPr>
      </w:pPr>
      <w:r>
        <w:rPr>
          <w:b/>
          <w:szCs w:val="20"/>
        </w:rPr>
        <w:br w:type="page"/>
      </w:r>
    </w:p>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lastRenderedPageBreak/>
        <w:t xml:space="preserve">Risiken und Lösungen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8"/>
      </w:tblGrid>
      <w:tr w:rsidR="00A45935" w:rsidRPr="00E05D08" w:rsidTr="00F73706">
        <w:trPr>
          <w:tblHeader/>
        </w:trPr>
        <w:tc>
          <w:tcPr>
            <w:tcW w:w="4508" w:type="dxa"/>
            <w:shd w:val="clear" w:color="auto" w:fill="F07E31"/>
          </w:tcPr>
          <w:bookmarkEnd w:id="128"/>
          <w:p w:rsidR="00A45935" w:rsidRPr="00E05D08" w:rsidRDefault="00A45935" w:rsidP="00E05D08">
            <w:pPr>
              <w:spacing w:after="120" w:line="280" w:lineRule="atLeast"/>
              <w:mirrorIndents/>
              <w:jc w:val="center"/>
              <w:rPr>
                <w:b/>
                <w:color w:val="FFFFFF"/>
                <w:sz w:val="18"/>
                <w:szCs w:val="18"/>
              </w:rPr>
            </w:pPr>
            <w:r>
              <w:rPr>
                <w:b/>
                <w:color w:val="FFFFFF"/>
                <w:sz w:val="18"/>
                <w:szCs w:val="18"/>
              </w:rPr>
              <w:t>Risiko</w:t>
            </w:r>
          </w:p>
        </w:tc>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Lösung</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sz w:val="18"/>
                <w:szCs w:val="18"/>
              </w:rPr>
            </w:pPr>
            <w:r>
              <w:rPr>
                <w:sz w:val="18"/>
                <w:szCs w:val="18"/>
              </w:rPr>
              <w:t>Falsche Einschätzung des Potenzials verschiedener Maßnahmen des Programms zur Entwicklung des ländlichen Raums im Hinblick auf die Innovationsförderung in ländlichen Gebieten, vor allem bei Maßnahmen, die anders als M1, M2, M16, M19 oder M20 nicht typisch innovationsbezogen sind, was zu Fehlern bei der Berechnung der Ausgaben des Programms zur Entwicklung des ländlichen Raums für FuE und Innovation führen kann.</w:t>
            </w:r>
          </w:p>
          <w:p w:rsidR="00A45935" w:rsidRPr="00A86A02" w:rsidRDefault="00A45935" w:rsidP="00BA4FCD">
            <w:pPr>
              <w:spacing w:after="120" w:line="280" w:lineRule="atLeast"/>
              <w:jc w:val="left"/>
              <w:rPr>
                <w:rFonts w:eastAsia="Calibri" w:cs="Arial"/>
                <w:b/>
                <w:sz w:val="18"/>
                <w:szCs w:val="18"/>
              </w:rPr>
            </w:pPr>
          </w:p>
        </w:tc>
        <w:tc>
          <w:tcPr>
            <w:tcW w:w="4508" w:type="dxa"/>
          </w:tcPr>
          <w:p w:rsidR="00A45935" w:rsidRPr="00D13817" w:rsidRDefault="00A45935" w:rsidP="00BA4FCD">
            <w:pPr>
              <w:spacing w:after="120" w:line="280" w:lineRule="atLeast"/>
              <w:jc w:val="left"/>
              <w:rPr>
                <w:rFonts w:eastAsia="Calibri" w:cs="Arial"/>
                <w:sz w:val="18"/>
                <w:szCs w:val="18"/>
              </w:rPr>
            </w:pPr>
            <w:r>
              <w:rPr>
                <w:sz w:val="18"/>
                <w:szCs w:val="18"/>
              </w:rPr>
              <w:t xml:space="preserve">Dieses Risiko kann teilweise beseitigt werden, indem vor Beginn der Bewertung eine sorgfältige Beurteilung des Innovationspotenzials des Programms zur Entwicklung des ländlichen Raums erfolgt. Die Kennzeichnung von Maßnahmen des Programms zur Entwicklung des ländlichen Raums, die ein hohes Innovationspotenzial entfalten können, erleichtert die Bewertung ihrer tatsächlichen diesbezüglichen Fähigkeit. Wenn die Bewerter beispielsweise wissen, welche Maßnahmen eine starke Wirkung auf die Entwicklung neuer Ideen haben könnten, prüfen sie zum Zeitpunkt der Bewertung die „innovative Leistungsfähigkeit“ dieser Maßnahmen und beziehen deren Ausgaben in die Berechnung der entsprechenden Indikatoren ein. </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t>Mangelnde Verfügbarkeit und Qualität (im geforderten Format) von Daten zu FuE und Innovation aus nationalen und regionalen Statistiken. Wenn hochwertige Daten fehlen, besteht die Gefahr, dass die Bewerter keine geeigneten Techniken für die Veranschlagung der in FuE und Innovation investierten Ausgaben verwenden. Dadurch kann die Möglichkeit eingeschränkt sein, realistische Werte für die vorgeschlagenen zusätzlichen Indikatoren zu erhalten.</w:t>
            </w:r>
          </w:p>
        </w:tc>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t>Zur Vermeidung dieser Gefahr ist es wichtig, dass die Bewerter über die erforderlichen Kapazitäten und Instrumente (z. B. Koeffizienten) verfügen, um für die nationale/regionale Ebene statistische Werte ermitteln zu können.</w:t>
            </w:r>
          </w:p>
        </w:tc>
      </w:tr>
    </w:tbl>
    <w:p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b/>
          <w:szCs w:val="20"/>
        </w:rPr>
        <w:t xml:space="preserve">Schlussfolgerungen und Empfehlungen </w:t>
      </w:r>
    </w:p>
    <w:p w:rsidR="00A45935" w:rsidRPr="00E05D08" w:rsidRDefault="00A45935" w:rsidP="00E05D08">
      <w:pPr>
        <w:spacing w:after="120" w:line="280" w:lineRule="atLeast"/>
        <w:mirrorIndents/>
        <w:rPr>
          <w:rFonts w:eastAsia="Times New Roman" w:cs="Times New Roman"/>
          <w:szCs w:val="20"/>
        </w:rPr>
      </w:pPr>
      <w:r>
        <w:t>Die Schlussfolgerungen und Empfehlungen zu CEQ Nr. 23 sollten sich auf Folgendes beziehen:</w:t>
      </w:r>
    </w:p>
    <w:p w:rsidR="00A45935" w:rsidRPr="00545C6C" w:rsidRDefault="00A45935" w:rsidP="000026C6">
      <w:pPr>
        <w:pStyle w:val="Hlistbullet"/>
      </w:pPr>
      <w:r>
        <w:rPr>
          <w:b/>
        </w:rPr>
        <w:t>Höhe der Investitionen in FuE und Innovation</w:t>
      </w:r>
      <w:r>
        <w:t xml:space="preserve"> aus dem Programm zur Entwicklung des ländlichen Raums im Verhältnis zu den Gesamtinvestitionen in FuE und Innovation in den Mitgliedstaaten/Regionen.</w:t>
      </w:r>
    </w:p>
    <w:p w:rsidR="00A45935" w:rsidRPr="00545C6C" w:rsidRDefault="00A45935" w:rsidP="000026C6">
      <w:pPr>
        <w:pStyle w:val="Hlistbullet"/>
      </w:pPr>
      <w:r>
        <w:rPr>
          <w:b/>
        </w:rPr>
        <w:t>Potenzial einzelner Maßnahmen für Investitionen in FuE und Innovation</w:t>
      </w:r>
      <w:r>
        <w:t xml:space="preserve"> in den Bereichen Landwirtschaft, Nahrungsmittelerzeugung, Forstwirtschaft und in ländlichen Gebieten. </w:t>
      </w:r>
    </w:p>
    <w:p w:rsidR="00A45935" w:rsidRPr="00E05D08" w:rsidRDefault="00A45935" w:rsidP="00F31494">
      <w:pPr>
        <w:pStyle w:val="HHeading4"/>
        <w:rPr>
          <w:rFonts w:eastAsia="Calibri"/>
        </w:rPr>
      </w:pPr>
      <w:r>
        <w:lastRenderedPageBreak/>
        <w:t>Weiterführende Literatur</w:t>
      </w:r>
    </w:p>
    <w:p w:rsidR="00A45935" w:rsidRPr="00E05D08" w:rsidRDefault="00A45935" w:rsidP="00F31494">
      <w:pPr>
        <w:pStyle w:val="HStandard"/>
      </w:pPr>
      <w:r w:rsidRPr="00E05D08">
        <w:rPr>
          <w:noProof/>
          <w:lang w:val="en-GB" w:eastAsia="en-GB"/>
        </w:rPr>
        <mc:AlternateContent>
          <mc:Choice Requires="wps">
            <w:drawing>
              <wp:inline distT="0" distB="0" distL="0" distR="0" wp14:anchorId="07171675" wp14:editId="1BC530B1">
                <wp:extent cx="5765165" cy="3238500"/>
                <wp:effectExtent l="0" t="0" r="26035" b="19050"/>
                <wp:docPr id="559" name="Rectangle: Diagonal Corners Rounded 559"/>
                <wp:cNvGraphicFramePr/>
                <a:graphic xmlns:a="http://schemas.openxmlformats.org/drawingml/2006/main">
                  <a:graphicData uri="http://schemas.microsoft.com/office/word/2010/wordprocessingShape">
                    <wps:wsp>
                      <wps:cNvSpPr/>
                      <wps:spPr>
                        <a:xfrm>
                          <a:off x="0" y="0"/>
                          <a:ext cx="5765165" cy="3238500"/>
                        </a:xfrm>
                        <a:prstGeom prst="round2DiagRect">
                          <a:avLst>
                            <a:gd name="adj1" fmla="val 9341"/>
                            <a:gd name="adj2" fmla="val 0"/>
                          </a:avLst>
                        </a:prstGeom>
                        <a:noFill/>
                        <a:ln w="25400" cap="flat" cmpd="sng" algn="ctr">
                          <a:solidFill>
                            <a:srgbClr val="59638E"/>
                          </a:solidFill>
                          <a:prstDash val="solid"/>
                        </a:ln>
                        <a:effectLst/>
                      </wps:spPr>
                      <wps:txbx>
                        <w:txbxContent>
                          <w:p w:rsidR="00533F8C" w:rsidRDefault="00533F8C" w:rsidP="00E05D08">
                            <w:pPr>
                              <w:pStyle w:val="HStandard"/>
                              <w:rPr>
                                <w:color w:val="000000"/>
                                <w:sz w:val="18"/>
                              </w:rPr>
                            </w:pPr>
                            <w:r>
                              <w:rPr>
                                <w:noProof/>
                                <w:lang w:val="en-GB" w:eastAsia="en-GB"/>
                              </w:rPr>
                              <w:drawing>
                                <wp:inline distT="0" distB="0" distL="0" distR="0" wp14:anchorId="0E4BD99E" wp14:editId="0EE84636">
                                  <wp:extent cx="360465" cy="360000"/>
                                  <wp:effectExtent l="0" t="0" r="1905" b="2540"/>
                                  <wp:docPr id="714"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33F8C" w:rsidRPr="008D17C8" w:rsidRDefault="00533F8C" w:rsidP="00E05D08">
                            <w:pPr>
                              <w:pStyle w:val="HStandard"/>
                              <w:rPr>
                                <w:sz w:val="18"/>
                                <w:szCs w:val="18"/>
                              </w:rPr>
                            </w:pPr>
                            <w:r>
                              <w:rPr>
                                <w:sz w:val="18"/>
                                <w:szCs w:val="18"/>
                              </w:rPr>
                              <w:t>Europäische Kommission (2010), EUROPA 2020 –</w:t>
                            </w:r>
                            <w:r>
                              <w:t xml:space="preserve"> </w:t>
                            </w:r>
                            <w:hyperlink r:id="rId81" w:history="1">
                              <w:r>
                                <w:rPr>
                                  <w:rStyle w:val="Hyperlink"/>
                                  <w:sz w:val="18"/>
                                  <w:szCs w:val="18"/>
                                </w:rPr>
                                <w:t>Eine Strategie für intelligentes, nachhaltiges und integratives Wachstum</w:t>
                              </w:r>
                            </w:hyperlink>
                          </w:p>
                          <w:p w:rsidR="00533F8C" w:rsidRPr="008D17C8" w:rsidRDefault="00533F8C" w:rsidP="00E05D08">
                            <w:pPr>
                              <w:pStyle w:val="HStandard"/>
                              <w:rPr>
                                <w:sz w:val="18"/>
                                <w:szCs w:val="18"/>
                              </w:rPr>
                            </w:pPr>
                            <w:r w:rsidRPr="00A86A02">
                              <w:rPr>
                                <w:sz w:val="18"/>
                                <w:szCs w:val="18"/>
                                <w:lang w:val="en-GB"/>
                              </w:rPr>
                              <w:t xml:space="preserve">Eurostat (2017), </w:t>
                            </w:r>
                            <w:hyperlink r:id="rId82" w:history="1">
                              <w:r w:rsidRPr="00A86A02">
                                <w:rPr>
                                  <w:rStyle w:val="Hyperlink"/>
                                  <w:sz w:val="18"/>
                                  <w:szCs w:val="18"/>
                                  <w:lang w:val="en-GB"/>
                                </w:rPr>
                                <w:t>„Smarter, greener, more inclusive?</w:t>
                              </w:r>
                            </w:hyperlink>
                            <w:hyperlink r:id="rId83" w:history="1">
                              <w:r w:rsidRPr="00A86A02">
                                <w:rPr>
                                  <w:rStyle w:val="Hyperlink"/>
                                  <w:sz w:val="18"/>
                                  <w:szCs w:val="18"/>
                                  <w:lang w:val="en-GB"/>
                                </w:rPr>
                                <w:t xml:space="preserve"> </w:t>
                              </w:r>
                              <w:r>
                                <w:rPr>
                                  <w:rStyle w:val="Hyperlink"/>
                                  <w:sz w:val="18"/>
                                  <w:szCs w:val="18"/>
                                </w:rPr>
                                <w:t>Indicators to support the Europe 2020 Strategy“</w:t>
                              </w:r>
                            </w:hyperlink>
                            <w:r>
                              <w:t xml:space="preserve"> (Intelligenter, ökologischer, integrativer? – Indikatoren zur Unterstützung der Strategie Europa 2020)</w:t>
                            </w:r>
                          </w:p>
                          <w:p w:rsidR="00533F8C" w:rsidRPr="008D17C8" w:rsidRDefault="00533F8C" w:rsidP="00E05D08">
                            <w:pPr>
                              <w:pStyle w:val="HStandard"/>
                              <w:rPr>
                                <w:sz w:val="18"/>
                                <w:szCs w:val="18"/>
                              </w:rPr>
                            </w:pPr>
                            <w:r>
                              <w:rPr>
                                <w:sz w:val="18"/>
                                <w:szCs w:val="18"/>
                              </w:rPr>
                              <w:t xml:space="preserve">Dietz, S. (2017), </w:t>
                            </w:r>
                            <w:hyperlink r:id="rId84" w:history="1">
                              <w:r>
                                <w:rPr>
                                  <w:rStyle w:val="Hyperlink"/>
                                  <w:sz w:val="18"/>
                                  <w:szCs w:val="18"/>
                                </w:rPr>
                                <w:t>ELER im Kontext der Strategie „Europa 2020“</w:t>
                              </w:r>
                            </w:hyperlink>
                            <w:r>
                              <w:rPr>
                                <w:sz w:val="18"/>
                                <w:szCs w:val="18"/>
                              </w:rPr>
                              <w:t>, Präsentation auf der MEN-D Jahresveranstaltung 2017</w:t>
                            </w:r>
                          </w:p>
                          <w:p w:rsidR="00533F8C" w:rsidRPr="00385368" w:rsidRDefault="00533F8C" w:rsidP="00E05D08">
                            <w:pPr>
                              <w:pStyle w:val="HStandard"/>
                              <w:rPr>
                                <w:sz w:val="18"/>
                                <w:szCs w:val="18"/>
                              </w:rPr>
                            </w:pPr>
                            <w:r>
                              <w:rPr>
                                <w:sz w:val="18"/>
                                <w:szCs w:val="18"/>
                              </w:rPr>
                              <w:t xml:space="preserve">MEN-D (2015), </w:t>
                            </w:r>
                            <w:hyperlink r:id="rId85" w:history="1">
                              <w:r>
                                <w:rPr>
                                  <w:rStyle w:val="Hyperlink"/>
                                  <w:sz w:val="18"/>
                                  <w:szCs w:val="18"/>
                                </w:rPr>
                                <w:t>Monitoring und Evaluierung der ELER-Förderperiode 2014-2020:</w:t>
                              </w:r>
                            </w:hyperlink>
                            <w:hyperlink r:id="rId86" w:history="1">
                              <w:r>
                                <w:rPr>
                                  <w:rStyle w:val="Hyperlink"/>
                                  <w:sz w:val="18"/>
                                  <w:szCs w:val="18"/>
                                </w:rPr>
                                <w:t xml:space="preserve"> Auswertung der Methoden und Erfahrungen der Ex-Ante Bewertung.</w:t>
                              </w:r>
                            </w:hyperlink>
                          </w:p>
                          <w:p w:rsidR="00533F8C" w:rsidRPr="000041C9" w:rsidRDefault="00533F8C" w:rsidP="00E05D08">
                            <w:pPr>
                              <w:pStyle w:val="HStandard"/>
                              <w:rPr>
                                <w:sz w:val="18"/>
                                <w:szCs w:val="18"/>
                              </w:rPr>
                            </w:pPr>
                            <w:r>
                              <w:rPr>
                                <w:sz w:val="18"/>
                                <w:szCs w:val="18"/>
                              </w:rPr>
                              <w:t xml:space="preserve">MEN-D (2017), </w:t>
                            </w:r>
                            <w:hyperlink r:id="rId87" w:history="1">
                              <w:r>
                                <w:rPr>
                                  <w:rStyle w:val="Hyperlink"/>
                                  <w:sz w:val="18"/>
                                  <w:szCs w:val="18"/>
                                </w:rPr>
                                <w:t>„EAFRD in the context of the Europe 2020 Strategy – evaluation of contributions and future challenges“ (ELER im Kontext der Strategie Europa 2020 – Evaluierung der Beiträge und künftige Herausforderungen)</w:t>
                              </w:r>
                            </w:hyperlink>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171675" id="Rectangle: Diagonal Corners Rounded 559" o:spid="_x0000_s1053" style="width:453.95pt;height:255pt;visibility:visible;mso-wrap-style:square;mso-left-percent:-10001;mso-top-percent:-10001;mso-position-horizontal:absolute;mso-position-horizontal-relative:char;mso-position-vertical:absolute;mso-position-vertical-relative:line;mso-left-percent:-10001;mso-top-percent:-10001;v-text-anchor:middle" coordsize="5765165,3238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" adj="-11796480,,5400" path="m302508,l5765165,r,l5765165,2935992v,167071,-135437,302508,-302508,302508l,3238500r,l,302508c,135437,135437,,302508,xe" filled="f" strokecolor="#59638e" strokeweight="2pt">
                <v:stroke joinstyle="miter"/>
                <v:formulas/>
                <v:path arrowok="t" o:connecttype="custom" o:connectlocs="302508,0;5765165,0;5765165,0;5765165,2935992;5462657,3238500;0,3238500;0,3238500;0,302508;302508,0" o:connectangles="0,0,0,0,0,0,0,0,0" textboxrect="0,0,5765165,3238500"/>
                <v:textbox>
                  <w:txbxContent>
                    <w:p w:rsidR="00533F8C" w:rsidRDefault="00533F8C" w:rsidP="00E05D08">
                      <w:pPr>
                        <w:pStyle w:val="HStandard"/>
                        <w:rPr>
                          <w:color w:val="000000"/>
                          <w:sz w:val="18"/>
                        </w:rPr>
                      </w:pPr>
                      <w:r>
                        <w:rPr>
                          <w:noProof/>
                          <w:lang w:val="en-GB" w:eastAsia="en-GB"/>
                        </w:rPr>
                        <w:drawing>
                          <wp:inline distT="0" distB="0" distL="0" distR="0" wp14:anchorId="0E4BD99E" wp14:editId="0EE84636">
                            <wp:extent cx="360465" cy="360000"/>
                            <wp:effectExtent l="0" t="0" r="1905" b="2540"/>
                            <wp:docPr id="714"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33F8C" w:rsidRPr="008D17C8" w:rsidRDefault="00533F8C" w:rsidP="00E05D08">
                      <w:pPr>
                        <w:pStyle w:val="HStandard"/>
                        <w:rPr>
                          <w:sz w:val="18"/>
                          <w:szCs w:val="18"/>
                        </w:rPr>
                      </w:pPr>
                      <w:r>
                        <w:rPr>
                          <w:sz w:val="18"/>
                          <w:szCs w:val="18"/>
                        </w:rPr>
                        <w:t>Europäische Kommission (2010), EUROPA 2020 –</w:t>
                      </w:r>
                      <w:r>
                        <w:t xml:space="preserve"> </w:t>
                      </w:r>
                      <w:hyperlink r:id="rId88" w:history="1">
                        <w:r>
                          <w:rPr>
                            <w:rStyle w:val="Hyperlink"/>
                            <w:sz w:val="18"/>
                            <w:szCs w:val="18"/>
                          </w:rPr>
                          <w:t>Eine Strategie für intelligentes, nachhaltiges und integratives Wachstum</w:t>
                        </w:r>
                      </w:hyperlink>
                    </w:p>
                    <w:p w:rsidR="00533F8C" w:rsidRPr="008D17C8" w:rsidRDefault="00533F8C" w:rsidP="00E05D08">
                      <w:pPr>
                        <w:pStyle w:val="HStandard"/>
                        <w:rPr>
                          <w:sz w:val="18"/>
                          <w:szCs w:val="18"/>
                        </w:rPr>
                      </w:pPr>
                      <w:r w:rsidRPr="00A86A02">
                        <w:rPr>
                          <w:sz w:val="18"/>
                          <w:szCs w:val="18"/>
                          <w:lang w:val="en-GB"/>
                        </w:rPr>
                        <w:t xml:space="preserve">Eurostat (2017), </w:t>
                      </w:r>
                      <w:hyperlink r:id="rId89" w:history="1">
                        <w:r w:rsidRPr="00A86A02">
                          <w:rPr>
                            <w:rStyle w:val="Hyperlink"/>
                            <w:sz w:val="18"/>
                            <w:szCs w:val="18"/>
                            <w:lang w:val="en-GB"/>
                          </w:rPr>
                          <w:t>„Smarter, greener, more inclusive?</w:t>
                        </w:r>
                      </w:hyperlink>
                      <w:hyperlink r:id="rId90" w:history="1">
                        <w:r w:rsidRPr="00A86A02">
                          <w:rPr>
                            <w:rStyle w:val="Hyperlink"/>
                            <w:sz w:val="18"/>
                            <w:szCs w:val="18"/>
                            <w:lang w:val="en-GB"/>
                          </w:rPr>
                          <w:t xml:space="preserve"> </w:t>
                        </w:r>
                        <w:r>
                          <w:rPr>
                            <w:rStyle w:val="Hyperlink"/>
                            <w:sz w:val="18"/>
                            <w:szCs w:val="18"/>
                          </w:rPr>
                          <w:t>Indicators to support the Europe 2020 Strategy“</w:t>
                        </w:r>
                      </w:hyperlink>
                      <w:r>
                        <w:t xml:space="preserve"> (Intelligenter, ökologischer, integrativer? – Indikatoren zur Unterstützung der Strategie Europa 2020)</w:t>
                      </w:r>
                    </w:p>
                    <w:p w:rsidR="00533F8C" w:rsidRPr="008D17C8" w:rsidRDefault="00533F8C" w:rsidP="00E05D08">
                      <w:pPr>
                        <w:pStyle w:val="HStandard"/>
                        <w:rPr>
                          <w:sz w:val="18"/>
                          <w:szCs w:val="18"/>
                        </w:rPr>
                      </w:pPr>
                      <w:r>
                        <w:rPr>
                          <w:sz w:val="18"/>
                          <w:szCs w:val="18"/>
                        </w:rPr>
                        <w:t xml:space="preserve">Dietz, S. (2017), </w:t>
                      </w:r>
                      <w:hyperlink r:id="rId91" w:history="1">
                        <w:r>
                          <w:rPr>
                            <w:rStyle w:val="Hyperlink"/>
                            <w:sz w:val="18"/>
                            <w:szCs w:val="18"/>
                          </w:rPr>
                          <w:t>ELER im Kontext der Strategie „Europa 2020“</w:t>
                        </w:r>
                      </w:hyperlink>
                      <w:r>
                        <w:rPr>
                          <w:sz w:val="18"/>
                          <w:szCs w:val="18"/>
                        </w:rPr>
                        <w:t>, Präsentation auf der MEN-D Jahresveranstaltung 2017</w:t>
                      </w:r>
                    </w:p>
                    <w:p w:rsidR="00533F8C" w:rsidRPr="00385368" w:rsidRDefault="00533F8C" w:rsidP="00E05D08">
                      <w:pPr>
                        <w:pStyle w:val="HStandard"/>
                        <w:rPr>
                          <w:sz w:val="18"/>
                          <w:szCs w:val="18"/>
                        </w:rPr>
                      </w:pPr>
                      <w:r>
                        <w:rPr>
                          <w:sz w:val="18"/>
                          <w:szCs w:val="18"/>
                        </w:rPr>
                        <w:t xml:space="preserve">MEN-D (2015), </w:t>
                      </w:r>
                      <w:hyperlink r:id="rId92" w:history="1">
                        <w:r>
                          <w:rPr>
                            <w:rStyle w:val="Hyperlink"/>
                            <w:sz w:val="18"/>
                            <w:szCs w:val="18"/>
                          </w:rPr>
                          <w:t>Monitoring und Evaluierung der ELER-Förderperiode 2014-2020:</w:t>
                        </w:r>
                      </w:hyperlink>
                      <w:hyperlink r:id="rId93" w:history="1">
                        <w:r>
                          <w:rPr>
                            <w:rStyle w:val="Hyperlink"/>
                            <w:sz w:val="18"/>
                            <w:szCs w:val="18"/>
                          </w:rPr>
                          <w:t xml:space="preserve"> Auswertung der Methoden und Erfahrungen der Ex-Ante Bewertung.</w:t>
                        </w:r>
                      </w:hyperlink>
                    </w:p>
                    <w:p w:rsidR="00533F8C" w:rsidRPr="000041C9" w:rsidRDefault="00533F8C" w:rsidP="00E05D08">
                      <w:pPr>
                        <w:pStyle w:val="HStandard"/>
                        <w:rPr>
                          <w:sz w:val="18"/>
                          <w:szCs w:val="18"/>
                        </w:rPr>
                      </w:pPr>
                      <w:r>
                        <w:rPr>
                          <w:sz w:val="18"/>
                          <w:szCs w:val="18"/>
                        </w:rPr>
                        <w:t xml:space="preserve">MEN-D (2017), </w:t>
                      </w:r>
                      <w:hyperlink r:id="rId94" w:history="1">
                        <w:r>
                          <w:rPr>
                            <w:rStyle w:val="Hyperlink"/>
                            <w:sz w:val="18"/>
                            <w:szCs w:val="18"/>
                          </w:rPr>
                          <w:t>„EAFRD in the context of the Europe 2020 Strategy – evaluation of contributions and future challenges“ (ELER im Kontext der Strategie Europa 2020 – Evaluierung der Beiträge und künftige Herausforderungen)</w:t>
                        </w:r>
                      </w:hyperlink>
                      <w:r>
                        <w:rPr>
                          <w:sz w:val="18"/>
                          <w:szCs w:val="18"/>
                        </w:rPr>
                        <w:t xml:space="preserve">. </w:t>
                      </w:r>
                    </w:p>
                  </w:txbxContent>
                </v:textbox>
                <w10:anchorlock/>
              </v:shape>
            </w:pict>
          </mc:Fallback>
        </mc:AlternateContent>
      </w:r>
    </w:p>
    <w:p w:rsidR="00A45935" w:rsidRPr="00324C42" w:rsidRDefault="00A45935" w:rsidP="00D13817">
      <w:pPr>
        <w:pStyle w:val="HHeading3"/>
        <w:numPr>
          <w:ilvl w:val="2"/>
          <w:numId w:val="125"/>
        </w:numPr>
        <w:tabs>
          <w:tab w:val="clear" w:pos="567"/>
        </w:tabs>
        <w:spacing w:before="480" w:line="280" w:lineRule="exact"/>
        <w:ind w:left="567" w:hanging="567"/>
      </w:pPr>
      <w:bookmarkStart w:id="130" w:name="_Toc501382135"/>
      <w:bookmarkStart w:id="131" w:name="_Toc508377845"/>
      <w:r>
        <w:t>CEQ Nr. 30: „In welchem Umfang hat das Programm zur Entwicklung des ländlichen Raums zur Förderung von Innovationen beigetragen?“</w:t>
      </w:r>
      <w:bookmarkEnd w:id="130"/>
      <w:bookmarkEnd w:id="131"/>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Wie ist die CEQ zu verstehen?</w:t>
      </w:r>
    </w:p>
    <w:p w:rsidR="00A45935" w:rsidRPr="00E05D08" w:rsidRDefault="00A45935" w:rsidP="00E05D08">
      <w:pPr>
        <w:spacing w:after="120" w:line="280" w:lineRule="atLeast"/>
        <w:mirrorIndents/>
        <w:rPr>
          <w:rFonts w:eastAsia="Times New Roman" w:cs="Arial"/>
          <w:szCs w:val="20"/>
        </w:rPr>
      </w:pPr>
      <w:r>
        <w:t xml:space="preserve">CEQ Nr. 30 bezieht sich auf den Prozess der Innovationsförderung. Die Frage ist demnach konzeptionell sehr breit angelegt, da </w:t>
      </w:r>
      <w:r>
        <w:rPr>
          <w:b/>
          <w:szCs w:val="20"/>
        </w:rPr>
        <w:t>Innovation</w:t>
      </w:r>
      <w:r>
        <w:t xml:space="preserve"> </w:t>
      </w:r>
      <w:r>
        <w:rPr>
          <w:b/>
          <w:szCs w:val="20"/>
        </w:rPr>
        <w:t>aus den Interaktionen der Akteure im Innovationssystem</w:t>
      </w:r>
      <w:r>
        <w:t xml:space="preserve"> hervorgeht.</w:t>
      </w:r>
      <w:r>
        <w:rPr>
          <w:b/>
          <w:szCs w:val="20"/>
        </w:rPr>
        <w:t xml:space="preserve"> </w:t>
      </w:r>
      <w:r>
        <w:t xml:space="preserve">Da die Bewertung dieser Prozesse Zeit braucht, lässt sich die Frage erst beantworten, wenn die Interventionen des Programms zur Entwicklung des ländlichen Raums bereits weit vorangeschritten sind (Stand im jährlichen Durchführungsbericht 2019) oder abgeschlossen wurden (Ex-post-Bewertung). </w:t>
      </w:r>
    </w:p>
    <w:p w:rsidR="00A45935" w:rsidRPr="00E05D08" w:rsidRDefault="00A45935" w:rsidP="00E05D08">
      <w:pPr>
        <w:spacing w:after="120" w:line="280" w:lineRule="atLeast"/>
        <w:mirrorIndents/>
        <w:rPr>
          <w:rFonts w:eastAsia="Times New Roman" w:cs="Arial"/>
          <w:szCs w:val="20"/>
        </w:rPr>
      </w:pPr>
      <w:r>
        <w:t xml:space="preserve">Für die EU ist von Interesse, welchen Innovationsbeitrag das Programm zur Entwicklung des ländlichen Raums im großen Maßstab geleistet hat, das heißt es geht um erfolgreiche Innovationsprozesse, die zu verhältnismäßig großen Veränderungen geführt haben (z. B. die Einführung einer neuen Technologie durch eine vergleichsweise große Zahl von Landwirten). Der Ausgangspunkt für die Beantwortung von CEQ Nr. 30 besteht daher darin, zu bestimmen, zu welchen großen Veränderungen das Programm zur Entwicklung des ländlichen Raums beigetragen haben soll und wo zumindest ein Teil dieses Beitrags auf die Förderung von Innovation zurückzuführen ist. Diese großen Veränderungen können durch eine Bewertung der Wirkungsindikatoren und die Erfassung weiterer Informationen bestimmt werden (z. B. durch Aktenprüfungen und Befragungen von Interessengruppen entsprechend den Ergebnissen der Untersuchung des Innovationspotenzials, siehe </w:t>
      </w:r>
      <w:r>
        <w:rPr>
          <w:color w:val="F07E31"/>
          <w:szCs w:val="20"/>
        </w:rPr>
        <w:t>Kapitel 2.2</w:t>
      </w:r>
      <w:r>
        <w:t xml:space="preserve">). Die Erkenntnisse werden auch zur Beantwortung anderer CEQ als Nr. 30 verwendet (CEQ Nr. 24 bis 29). </w:t>
      </w:r>
    </w:p>
    <w:p w:rsidR="00A45935" w:rsidRPr="00E05D08" w:rsidRDefault="00A45935" w:rsidP="00E05D08">
      <w:pPr>
        <w:spacing w:after="120" w:line="280" w:lineRule="atLeast"/>
        <w:mirrorIndents/>
        <w:rPr>
          <w:rFonts w:eastAsia="Times New Roman" w:cs="Arial"/>
          <w:szCs w:val="20"/>
        </w:rPr>
      </w:pPr>
      <w:r>
        <w:t xml:space="preserve">Eine a priori vorausgesetzte Annahme aus Kapitel 1.1 ist, dass die Maßnahmen/Teilmaßnahmen des Programms zur Entwicklung des ländlichen Raums über drei miteinander verknüpfte Pfade zur </w:t>
      </w:r>
      <w:r>
        <w:rPr>
          <w:b/>
          <w:szCs w:val="20"/>
        </w:rPr>
        <w:t>Innovationsförderung</w:t>
      </w:r>
      <w:r>
        <w:t xml:space="preserve"> beitragen (siehe </w:t>
      </w:r>
      <w:hyperlink w:anchor="Pathways" w:history="1">
        <w:r>
          <w:rPr>
            <w:rStyle w:val="Hyperlink"/>
            <w:sz w:val="20"/>
            <w:szCs w:val="20"/>
          </w:rPr>
          <w:t>Abbildung 1</w:t>
        </w:r>
      </w:hyperlink>
      <w:r>
        <w:t xml:space="preserve">). Der Nutzen der drei Pfade für den Bewerter besteht darin, dass er den Innovationsprozess mit ihrer Hilfe aufgliedern und besser verstehen kann. Dementsprechend wird in diesen Leitlinien vorgeschlagen, für CEQ Nr. 30 zu jedem der drei Pfade eine Teilfrage zu formulieren: </w:t>
      </w:r>
    </w:p>
    <w:p w:rsidR="00A45935" w:rsidRPr="00BE70EE" w:rsidRDefault="00A45935" w:rsidP="000026C6">
      <w:pPr>
        <w:pStyle w:val="Hlistbullet"/>
      </w:pPr>
      <w:r>
        <w:lastRenderedPageBreak/>
        <w:t>In welchem Umfang hat das Programm zur Entwicklung des ländlichen Raums Innovation durch die Förderung von Innovationspotenzial gefördert? (Pfad 1)</w:t>
      </w:r>
    </w:p>
    <w:p w:rsidR="00A45935" w:rsidRPr="00BE70EE" w:rsidRDefault="00A45935" w:rsidP="000026C6">
      <w:pPr>
        <w:pStyle w:val="Hlistbullet"/>
      </w:pPr>
      <w:r>
        <w:t>In welchem Umfang hat das Programm zur Entwicklung des ländlichen Raums Innovation durch die Verbesserung der Innovationsfähigkeit gefördert? (Pfad 2)</w:t>
      </w:r>
    </w:p>
    <w:p w:rsidR="00A45935" w:rsidRPr="00BE70EE" w:rsidRDefault="00A45935" w:rsidP="000026C6">
      <w:pPr>
        <w:pStyle w:val="Hlistbullet"/>
      </w:pPr>
      <w:r>
        <w:t>In welchem Umfang hat das Programm zur Entwicklung des ländlichen Raums Innovation durch die Schaffung eines innovationsfördernden Umfelds gefördert? (Pfad 3)</w:t>
      </w:r>
    </w:p>
    <w:p w:rsidR="00A45935" w:rsidRPr="00E05D08" w:rsidRDefault="00A45935" w:rsidP="00690E70">
      <w:pPr>
        <w:spacing w:after="120" w:line="280" w:lineRule="atLeast"/>
        <w:mirrorIndents/>
        <w:rPr>
          <w:rFonts w:eastAsia="Times New Roman" w:cs="Arial"/>
          <w:szCs w:val="20"/>
        </w:rPr>
      </w:pPr>
      <w:r>
        <w:t xml:space="preserve">Die Wechselbeziehungen zwischen den Pfaden spielen ebenfalls eine wichtige Rolle. Der Prozess der gemeinsamen Förderung von Innovationspotenzial (z. B. durch die Entwicklung und Einführung einer neuen Technologie) verbessert ebenso die Innovationsfähigkeit der beteiligten Personen und Organisationen wie auch das Innovationssystem selbst. Bei der Beantwortung der drei Teilfragen und der CEQ Nr. 30 sollte auch auf die Wechselbeziehungen zwischen den Pfaden eingegangen werden.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Besondere Herausforderungen </w:t>
      </w:r>
    </w:p>
    <w:p w:rsidR="00A45935" w:rsidRPr="00241663" w:rsidRDefault="00A45935" w:rsidP="000026C6">
      <w:pPr>
        <w:pStyle w:val="Hlistbullet"/>
      </w:pPr>
      <w:r>
        <w:rPr>
          <w:b/>
        </w:rPr>
        <w:t>Entwicklung zusätzlicher Bewertungselemente</w:t>
      </w:r>
      <w:r>
        <w:t xml:space="preserve"> zur Beantwortung von CEQ Nr. 30 (qualitative und quantitative Beurteilungskriterien und Indikatoren). </w:t>
      </w:r>
    </w:p>
    <w:p w:rsidR="00A45935" w:rsidRPr="00241663" w:rsidRDefault="00A45935" w:rsidP="000026C6">
      <w:pPr>
        <w:pStyle w:val="Hlistbullet"/>
      </w:pPr>
      <w:r>
        <w:rPr>
          <w:b/>
        </w:rPr>
        <w:t>Anwendung von Bewertungsmethoden</w:t>
      </w:r>
      <w:r>
        <w:t xml:space="preserve">, mit denen die Veränderungen, die bei </w:t>
      </w:r>
      <w:r>
        <w:rPr>
          <w:u w:val="single"/>
        </w:rPr>
        <w:t>allen drei</w:t>
      </w:r>
      <w:r>
        <w:t xml:space="preserve"> Pfaden des Innovationssystems in ländlichen Gebieten beobachtet werden, den Interventionen des Programms zur Entwicklung des ländlichen Raums zugeschrieben werden können. </w:t>
      </w:r>
    </w:p>
    <w:p w:rsidR="00A45935" w:rsidRPr="00241663" w:rsidRDefault="00A45935" w:rsidP="000026C6">
      <w:pPr>
        <w:pStyle w:val="Hlistbullet"/>
      </w:pPr>
      <w:r>
        <w:rPr>
          <w:b/>
        </w:rPr>
        <w:t>Bewertung der Veränderungen</w:t>
      </w:r>
      <w:r>
        <w:t xml:space="preserve">, die auf die vom Programm zur Entwicklung des ländlichen Raums geförderten Innovationen zurückzuführen sind.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Empfohlenes Vorgehen bei der Beantwortung von CEQ Nr. 30</w:t>
      </w:r>
    </w:p>
    <w:p w:rsidR="00A45935" w:rsidRPr="00237EDF" w:rsidRDefault="00A45935" w:rsidP="00647766">
      <w:pPr>
        <w:numPr>
          <w:ilvl w:val="0"/>
          <w:numId w:val="62"/>
        </w:numPr>
        <w:spacing w:before="120" w:after="120" w:line="280" w:lineRule="atLeast"/>
        <w:ind w:left="567" w:hanging="567"/>
        <w:mirrorIndents/>
        <w:rPr>
          <w:rFonts w:eastAsia="Calibri" w:cs="Times New Roman"/>
          <w:b/>
          <w:szCs w:val="20"/>
        </w:rPr>
      </w:pPr>
      <w:r>
        <w:rPr>
          <w:b/>
          <w:szCs w:val="20"/>
        </w:rPr>
        <w:t xml:space="preserve">Interventionslogik </w:t>
      </w:r>
    </w:p>
    <w:p w:rsidR="00971E55" w:rsidRDefault="00A45935" w:rsidP="00E05D08">
      <w:pPr>
        <w:spacing w:after="120" w:line="280" w:lineRule="atLeast"/>
        <w:mirrorIndents/>
      </w:pPr>
      <w:r>
        <w:t>Das im Programm zur Entwicklung des ländlichen Raums verfolgte Konzept für Innovation wird während der Programmgestaltung festgelegt.</w:t>
      </w:r>
      <w:r w:rsidRPr="00E05D08">
        <w:rPr>
          <w:rFonts w:eastAsia="Times New Roman" w:cs="Times New Roman"/>
          <w:szCs w:val="20"/>
          <w:vertAlign w:val="superscript"/>
          <w:lang w:eastAsia="de-DE"/>
        </w:rPr>
        <w:footnoteReference w:id="76"/>
      </w:r>
      <w:r>
        <w:t xml:space="preserve"> Bei der Untersuchung des Innovationspotenzials der Maßnahmen/Teilmaßnahmen des Programms zur Entwicklung des ländlichen Raums in der Vorbereitungsphase der Bewertung werden alle Maßnahmen/Teilmaßnahmen (nicht nur M1, M2, M16, M19 und TA) auf ihr Potenzial hin untersucht, Ideen zu fördern, die Innovationsfähigkeit zu verbessern und ein innovationsförderndes Umfeld zu schaffen. Dementsprechend sollten </w:t>
      </w:r>
      <w:r>
        <w:rPr>
          <w:b/>
          <w:szCs w:val="20"/>
        </w:rPr>
        <w:t>alle Maßnahmen und Teilmaßnahmen des Programms zur Entwicklung des ländlichen Raums, bei denen ein erhebliches Innovationspotenzial festgestellt wurde</w:t>
      </w:r>
      <w:r>
        <w:t xml:space="preserve">, Teil der innovationsbezogenen Interventionslogik des Programms sein, durch die seine Durchführung in Richtung Innovation gelenkt wird. Der Bewerter nutzt diese Logik als Hilfsmittel für seine Einschätzung, wie das Programm zur Entwicklung des ländlichen Raums zu Innovation beigetragen hat (siehe </w:t>
      </w:r>
      <w:hyperlink w:anchor="Example_IL" w:history="1">
        <w:r>
          <w:rPr>
            <w:rStyle w:val="Hyperlink"/>
            <w:sz w:val="20"/>
            <w:szCs w:val="20"/>
          </w:rPr>
          <w:t>Abbildung 11</w:t>
        </w:r>
      </w:hyperlink>
      <w:r>
        <w:t>).</w:t>
      </w:r>
    </w:p>
    <w:p w:rsidR="00971E55" w:rsidRDefault="00971E55">
      <w:pPr>
        <w:jc w:val="left"/>
      </w:pPr>
      <w:r>
        <w:br w:type="page"/>
      </w:r>
    </w:p>
    <w:p w:rsidR="00A45935" w:rsidRDefault="00A45935" w:rsidP="00E05D08">
      <w:pPr>
        <w:spacing w:after="120" w:line="280" w:lineRule="atLeast"/>
        <w:mirrorIndents/>
        <w:rPr>
          <w:rFonts w:eastAsia="Times New Roman" w:cs="Arial"/>
          <w:szCs w:val="20"/>
        </w:rPr>
      </w:pPr>
    </w:p>
    <w:p w:rsidR="00A45935" w:rsidRPr="00916AB5" w:rsidRDefault="00BE1F31" w:rsidP="000026C6">
      <w:pPr>
        <w:pStyle w:val="HHeadingfigures"/>
      </w:pPr>
      <w:bookmarkStart w:id="132" w:name="Example_IL"/>
      <w:bookmarkStart w:id="133" w:name="_Toc508377967"/>
      <w:bookmarkEnd w:id="132"/>
      <w:r>
        <w:t>Beispiel einer Interventionslogik für CEQ Nr. 30</w:t>
      </w:r>
      <w:bookmarkEnd w:id="133"/>
    </w:p>
    <w:p w:rsidR="00A45935" w:rsidRPr="001F3D91" w:rsidRDefault="001F3D91" w:rsidP="002C2C15">
      <w:pPr>
        <w:suppressAutoHyphens/>
        <w:spacing w:before="60" w:after="140" w:line="240" w:lineRule="auto"/>
        <w:mirrorIndents/>
        <w:jc w:val="center"/>
        <w:rPr>
          <w:rFonts w:eastAsia="Times New Roman" w:cs="Times New Roman"/>
          <w:i/>
          <w:noProof/>
          <w:sz w:val="16"/>
          <w:szCs w:val="20"/>
          <w:lang w:eastAsia="en-GB"/>
        </w:rPr>
      </w:pPr>
      <w:r w:rsidRPr="001F3D91">
        <w:rPr>
          <w:noProof/>
          <w:lang w:val="en-GB" w:eastAsia="en-GB"/>
        </w:rPr>
        <w:drawing>
          <wp:inline distT="0" distB="0" distL="0" distR="0" wp14:anchorId="49DCB04C" wp14:editId="3264310C">
            <wp:extent cx="5732145" cy="3221717"/>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32145" cy="3221717"/>
                    </a:xfrm>
                    <a:prstGeom prst="rect">
                      <a:avLst/>
                    </a:prstGeom>
                    <a:noFill/>
                    <a:ln>
                      <a:noFill/>
                    </a:ln>
                  </pic:spPr>
                </pic:pic>
              </a:graphicData>
            </a:graphic>
          </wp:inline>
        </w:drawing>
      </w:r>
    </w:p>
    <w:p w:rsidR="00A45935" w:rsidRPr="00E05D08" w:rsidRDefault="00A45935" w:rsidP="00916AB5">
      <w:pPr>
        <w:suppressAutoHyphens/>
        <w:spacing w:before="60" w:after="140" w:line="240" w:lineRule="auto"/>
        <w:mirrorIndents/>
        <w:jc w:val="center"/>
        <w:rPr>
          <w:rFonts w:eastAsia="Times New Roman" w:cs="Times New Roman"/>
          <w:i/>
          <w:sz w:val="16"/>
          <w:szCs w:val="20"/>
        </w:rPr>
      </w:pPr>
      <w:r>
        <w:rPr>
          <w:i/>
          <w:sz w:val="16"/>
          <w:szCs w:val="20"/>
        </w:rPr>
        <w:t>Quelle: Europäischer Evaluierungs-Helpdesk für ländliche Entwicklung, 2017.</w:t>
      </w:r>
    </w:p>
    <w:p w:rsidR="00A45935" w:rsidRPr="00E05D08" w:rsidRDefault="00A45935" w:rsidP="00E05D08">
      <w:pPr>
        <w:spacing w:after="120" w:line="280" w:lineRule="atLeast"/>
        <w:mirrorIndents/>
        <w:rPr>
          <w:rFonts w:eastAsia="Times New Roman" w:cs="Arial"/>
          <w:szCs w:val="20"/>
        </w:rPr>
      </w:pPr>
      <w:r w:rsidRPr="00E05D08">
        <w:rPr>
          <w:rFonts w:eastAsia="Times New Roman" w:cs="Times New Roman"/>
          <w:noProof/>
          <w:sz w:val="18"/>
          <w:szCs w:val="24"/>
          <w:lang w:val="en-GB" w:eastAsia="en-GB"/>
        </w:rPr>
        <mc:AlternateContent>
          <mc:Choice Requires="wps">
            <w:drawing>
              <wp:inline distT="0" distB="0" distL="0" distR="0" wp14:anchorId="6B3D9C6F" wp14:editId="35A72FCF">
                <wp:extent cx="5732145" cy="2638425"/>
                <wp:effectExtent l="0" t="0" r="20955" b="28575"/>
                <wp:docPr id="560" name="Rectangle: Diagonal Corners Rounded 560"/>
                <wp:cNvGraphicFramePr/>
                <a:graphic xmlns:a="http://schemas.openxmlformats.org/drawingml/2006/main">
                  <a:graphicData uri="http://schemas.microsoft.com/office/word/2010/wordprocessingShape">
                    <wps:wsp>
                      <wps:cNvSpPr/>
                      <wps:spPr>
                        <a:xfrm>
                          <a:off x="0" y="0"/>
                          <a:ext cx="5732145" cy="2638425"/>
                        </a:xfrm>
                        <a:prstGeom prst="round2DiagRect">
                          <a:avLst>
                            <a:gd name="adj1" fmla="val 11556"/>
                            <a:gd name="adj2" fmla="val 0"/>
                          </a:avLst>
                        </a:prstGeom>
                        <a:noFill/>
                        <a:ln w="25400" cap="flat" cmpd="sng" algn="ctr">
                          <a:solidFill>
                            <a:srgbClr val="F07E31"/>
                          </a:solidFill>
                          <a:prstDash val="solid"/>
                        </a:ln>
                        <a:effectLst/>
                      </wps:spPr>
                      <wps:txbx>
                        <w:txbxContent>
                          <w:p w:rsidR="00533F8C" w:rsidRPr="0079762F" w:rsidRDefault="00533F8C" w:rsidP="00E05D08">
                            <w:pPr>
                              <w:pStyle w:val="HStandard"/>
                              <w:rPr>
                                <w:rFonts w:cs="Arial"/>
                                <w:sz w:val="18"/>
                              </w:rPr>
                            </w:pPr>
                            <w:r w:rsidRPr="000041C9">
                              <w:rPr>
                                <w:noProof/>
                                <w:sz w:val="18"/>
                                <w:szCs w:val="18"/>
                                <w:lang w:val="en-GB" w:eastAsia="en-GB"/>
                              </w:rPr>
                              <w:drawing>
                                <wp:inline distT="0" distB="0" distL="0" distR="0" wp14:anchorId="6806C537" wp14:editId="66C8CF08">
                                  <wp:extent cx="353060" cy="359410"/>
                                  <wp:effectExtent l="0" t="0" r="8890" b="2540"/>
                                  <wp:docPr id="71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In diesem Beispiel wird für die Maßnahmen (Kreise) unter den Schwerpunktbereichen (Rechtecke) erwartet, dass sie alleinstehend oder in Kombination mit anderen Maßnahmen auf unterschiedliche Weise (die drei Pfade als Piktogramme dargestellt) die Innovation fördern. Beispielsweise wird bei den Maßnahmen M16 und M2 unter Schwerpunktbereich 3A (Einbeziehung von Primärerzeugern in die Nahrungsmittelkette) und Schwerpunktbereich 5A (Effizienzsteigerung bei der Wassernutzung) davon ausgegangen, dass sie gemeinsam über alle drei Pfade zur Innovationsförderung beitragen. In einem anderen Fall – unter Schwerpunktbereich 5B – sollen beide Maßnahmen in Kombination mit M4 Innovation durch die kollaborative Verbesserung der Innovationsfähigkeit fördern. </w:t>
                            </w:r>
                          </w:p>
                          <w:p w:rsidR="00533F8C" w:rsidRPr="00ED3BAD" w:rsidRDefault="00533F8C" w:rsidP="00E05D08">
                            <w:pPr>
                              <w:pStyle w:val="HStandard"/>
                              <w:rPr>
                                <w:sz w:val="18"/>
                                <w:szCs w:val="18"/>
                              </w:rPr>
                            </w:pPr>
                            <w:r>
                              <w:rPr>
                                <w:sz w:val="18"/>
                              </w:rPr>
                              <w:t>Von Maßnahmen mit Innovationspotenzial wird erwartet, dass sie Outputs hervorbringen, die über die drei Pfade zu Ergebnissen bei der Innovationsförderung führen und so letztlich die Verwirklichung politischer Ziele beeinflussen.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B3D9C6F" id="Rectangle: Diagonal Corners Rounded 560" o:spid="_x0000_s1054" style="width:451.35pt;height:207.75pt;visibility:visible;mso-wrap-style:square;mso-left-percent:-10001;mso-top-percent:-10001;mso-position-horizontal:absolute;mso-position-horizontal-relative:char;mso-position-vertical:absolute;mso-position-vertical-relative:line;mso-left-percent:-10001;mso-top-percent:-10001;v-text-anchor:middle" coordsize="5732145,2638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" adj="-11796480,,5400" path="m304896,l5732145,r,l5732145,2333529v,168389,-136507,304896,-304896,304896l,2638425r,l,304896c,136507,136507,,304896,xe" filled="f" strokecolor="#f07e31" strokeweight="2pt">
                <v:stroke joinstyle="miter"/>
                <v:formulas/>
                <v:path arrowok="t" o:connecttype="custom" o:connectlocs="304896,0;5732145,0;5732145,0;5732145,2333529;5427249,2638425;0,2638425;0,2638425;0,304896;304896,0" o:connectangles="0,0,0,0,0,0,0,0,0" textboxrect="0,0,5732145,2638425"/>
                <v:textbox>
                  <w:txbxContent>
                    <w:p w:rsidR="00533F8C" w:rsidRPr="0079762F" w:rsidRDefault="00533F8C" w:rsidP="00E05D08">
                      <w:pPr>
                        <w:pStyle w:val="HStandard"/>
                        <w:rPr>
                          <w:rFonts w:cs="Arial"/>
                          <w:sz w:val="18"/>
                        </w:rPr>
                      </w:pPr>
                      <w:r w:rsidRPr="000041C9">
                        <w:rPr>
                          <w:noProof/>
                          <w:sz w:val="18"/>
                          <w:szCs w:val="18"/>
                          <w:lang w:val="en-GB" w:eastAsia="en-GB"/>
                        </w:rPr>
                        <w:drawing>
                          <wp:inline distT="0" distB="0" distL="0" distR="0" wp14:anchorId="6806C537" wp14:editId="66C8CF08">
                            <wp:extent cx="353060" cy="359410"/>
                            <wp:effectExtent l="0" t="0" r="8890" b="2540"/>
                            <wp:docPr id="71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In diesem Beispiel wird für die Maßnahmen (Kreise) unter den Schwerpunktbereichen (Rechtecke) erwartet, dass sie alleinstehend oder in Kombination mit anderen Maßnahmen auf unterschiedliche Weise (die drei Pfade als Piktogramme dargestellt) die Innovation fördern. Beispielsweise wird bei den Maßnahmen M16 und M2 unter Schwerpunktbereich 3A (Einbeziehung von Primärerzeugern in die Nahrungsmittelkette) und Schwerpunktbereich 5A (Effizienzsteigerung bei der Wassernutzung) davon ausgegangen, dass sie gemeinsam über alle drei Pfade zur Innovationsförderung beitragen. In einem anderen Fall – unter Schwerpunktbereich 5B – sollen beide Maßnahmen in Kombination mit M4 Innovation durch die kollaborative Verbesserung der Innovationsfähigkeit fördern. </w:t>
                      </w:r>
                    </w:p>
                    <w:p w:rsidR="00533F8C" w:rsidRPr="00ED3BAD" w:rsidRDefault="00533F8C" w:rsidP="00E05D08">
                      <w:pPr>
                        <w:pStyle w:val="HStandard"/>
                        <w:rPr>
                          <w:sz w:val="18"/>
                          <w:szCs w:val="18"/>
                        </w:rPr>
                      </w:pPr>
                      <w:r>
                        <w:rPr>
                          <w:sz w:val="18"/>
                        </w:rPr>
                        <w:t>Von Maßnahmen mit Innovationspotenzial wird erwartet, dass sie Outputs hervorbringen, die über die drei Pfade zu Ergebnissen bei der Innovationsförderung führen und so letztlich die Verwirklichung politischer Ziele beeinflussen.</w:t>
                      </w:r>
                    </w:p>
                  </w:txbxContent>
                </v:textbox>
                <w10:anchorlock/>
              </v:shape>
            </w:pict>
          </mc:Fallback>
        </mc:AlternateContent>
      </w:r>
    </w:p>
    <w:p w:rsidR="00A45935" w:rsidRPr="00E05D08" w:rsidRDefault="00A45935" w:rsidP="00E05D08">
      <w:pPr>
        <w:spacing w:after="120" w:line="280" w:lineRule="atLeast"/>
        <w:mirrorIndents/>
        <w:rPr>
          <w:rFonts w:eastAsia="Times New Roman" w:cs="Arial"/>
          <w:szCs w:val="20"/>
          <w:lang w:eastAsia="de-DE"/>
        </w:rPr>
        <w:sectPr w:rsidR="00A45935" w:rsidRPr="00E05D08" w:rsidSect="001F6F07">
          <w:headerReference w:type="even" r:id="rId96"/>
          <w:headerReference w:type="first" r:id="rId97"/>
          <w:endnotePr>
            <w:numFmt w:val="decimal"/>
          </w:endnotePr>
          <w:pgSz w:w="11907" w:h="16840" w:code="9"/>
          <w:pgMar w:top="1134" w:right="1440" w:bottom="1440" w:left="1440" w:header="567" w:footer="1020" w:gutter="0"/>
          <w:cols w:space="708"/>
          <w:noEndnote/>
          <w:titlePg/>
          <w:docGrid w:linePitch="435"/>
        </w:sectPr>
      </w:pPr>
    </w:p>
    <w:p w:rsidR="00A45935" w:rsidRPr="00E05D08" w:rsidRDefault="006C146F" w:rsidP="00E05D08">
      <w:pPr>
        <w:spacing w:after="120" w:line="280" w:lineRule="atLeast"/>
        <w:mirrorIndents/>
        <w:rPr>
          <w:rFonts w:eastAsia="Times New Roman" w:cs="Arial"/>
          <w:szCs w:val="20"/>
        </w:rPr>
      </w:pPr>
      <w:r>
        <w:t>Da Innovationen</w:t>
      </w:r>
      <w:r w:rsidR="00A45935">
        <w:t xml:space="preserve"> komplex</w:t>
      </w:r>
      <w:r>
        <w:t xml:space="preserve"> sind</w:t>
      </w:r>
      <w:r w:rsidR="00A45935">
        <w:t xml:space="preserve"> und </w:t>
      </w:r>
      <w:r>
        <w:t>Neues hervorbringen,</w:t>
      </w:r>
      <w:r w:rsidR="00A45935">
        <w:t xml:space="preserve"> wird davon ausgegangen, dass zwischen dem vorhergesagten Innovationspotenzial und jenen Interventionen des Programms zur Entwicklung des ländlichen Raums, die zu positiven Veränderungen geführt haben, keine vollkommene Übereinstimmung herrschen wird. Daher besteht die Aufgabe des Bewerters während der Bewertung darin, das prognostizierte Innovationspotenzial des Programms mit den tatsächlichen Beiträgen zu Veränderungen zu vergleichen.</w:t>
      </w:r>
    </w:p>
    <w:p w:rsidR="00A45935" w:rsidRPr="00E05D08" w:rsidRDefault="00A45935" w:rsidP="008C0B17">
      <w:pPr>
        <w:numPr>
          <w:ilvl w:val="0"/>
          <w:numId w:val="62"/>
        </w:numPr>
        <w:spacing w:before="120" w:after="120" w:line="280" w:lineRule="atLeast"/>
        <w:ind w:left="567" w:hanging="567"/>
        <w:mirrorIndents/>
        <w:rPr>
          <w:rFonts w:eastAsia="Times New Roman" w:cs="Times New Roman"/>
          <w:b/>
          <w:szCs w:val="20"/>
        </w:rPr>
      </w:pPr>
      <w:r>
        <w:rPr>
          <w:b/>
          <w:szCs w:val="20"/>
        </w:rPr>
        <w:t xml:space="preserve">Bewertungselemente </w:t>
      </w:r>
    </w:p>
    <w:p w:rsidR="00A45935" w:rsidRPr="00E05D08" w:rsidRDefault="00A45935" w:rsidP="00E05D08">
      <w:pPr>
        <w:spacing w:after="120" w:line="280" w:lineRule="atLeast"/>
        <w:mirrorIndents/>
        <w:rPr>
          <w:rFonts w:eastAsia="Times New Roman" w:cs="Times New Roman"/>
          <w:szCs w:val="20"/>
        </w:rPr>
      </w:pPr>
      <w:r>
        <w:t>Im Arbeitspapier</w:t>
      </w:r>
      <w:r w:rsidR="00E80C9F">
        <w:t xml:space="preserve"> </w:t>
      </w:r>
      <w:hyperlink r:id="rId98" w:history="1">
        <w:r>
          <w:rPr>
            <w:rStyle w:val="Hyperlink"/>
            <w:sz w:val="20"/>
            <w:szCs w:val="20"/>
          </w:rPr>
          <w:t>„Common Evaluation Questions for R</w:t>
        </w:r>
        <w:r w:rsidR="00E80C9F">
          <w:rPr>
            <w:rStyle w:val="Hyperlink"/>
            <w:sz w:val="20"/>
            <w:szCs w:val="20"/>
          </w:rPr>
          <w:t>DP</w:t>
        </w:r>
        <w:r>
          <w:rPr>
            <w:rStyle w:val="Hyperlink"/>
            <w:sz w:val="20"/>
            <w:szCs w:val="20"/>
          </w:rPr>
          <w:t>s 2014-2020“</w:t>
        </w:r>
      </w:hyperlink>
      <w:r>
        <w:t xml:space="preserve"> (Gemeinsame Bewertungsfragen für die Programme zur Entwicklung des ländlichen Raums 2014-2020) werden ein Beurteilungskriterium (Innovation in ländlichen Gebieten und Wirtschaftszweigen wurde gefördert) und ein gemeinsamer Indikator (T1 – Ausgaben im Zusammenhang mit den Artikeln 14, 15 und 35) </w:t>
      </w:r>
      <w:r>
        <w:lastRenderedPageBreak/>
        <w:t xml:space="preserve">vorgeschlagen. Darüber hinaus wird empfohlen, zur Beantwortung der CEQ Nr. 30 zusätzliche quantitative und qualitative Informationen zu Innovation zu erfassen. Diese Elemente reichen jedoch nicht aus, um die Beiträge des Programms zur Entwicklung des ländlichen Raums zur Innovationsförderung vollständig zu erfassen. </w:t>
      </w:r>
    </w:p>
    <w:p w:rsidR="00A45935" w:rsidRPr="00E05D08" w:rsidRDefault="00A45935" w:rsidP="00E05D08">
      <w:pPr>
        <w:spacing w:after="120" w:line="280" w:lineRule="atLeast"/>
        <w:mirrorIndents/>
        <w:rPr>
          <w:rFonts w:eastAsia="Times New Roman" w:cs="Times New Roman"/>
          <w:szCs w:val="20"/>
        </w:rPr>
      </w:pPr>
      <w:r>
        <w:t xml:space="preserve">Aus diesem Grund wird in den vorliegenden Leitlinien vorgeschlagen, gegebenenfalls zusätzliche Bewertungselemente zur Beantwortung der CEQ Nr. 30 zu verwenden (siehe </w:t>
      </w:r>
      <w:hyperlink w:anchor="CEQ_fostering" w:history="1">
        <w:r>
          <w:rPr>
            <w:rStyle w:val="Hyperlink"/>
            <w:sz w:val="20"/>
            <w:szCs w:val="20"/>
          </w:rPr>
          <w:t>Tabelle 9</w:t>
        </w:r>
      </w:hyperlink>
      <w:r>
        <w:t xml:space="preserve">). Für CEQ Nr. 30 sind die Bewertungselemente mit den drei Teilfragen zu den drei Pfaden des Innovationsprozesses verbunden. Die vorgeschlagenen Beurteilungskriterien sind mit den Merkmalen jedes Pfades verknüpft. Daraus wird ersichtlich, ob dem Pfad während der Umsetzung der Maßnahmen des Programms zur Entwicklung des ländlichen Raums so gefolgt wurde, wie in der Untersuchung des Innovationspotenzials ermittelt. </w:t>
      </w:r>
    </w:p>
    <w:p w:rsidR="00A45935" w:rsidRPr="00E05D08" w:rsidRDefault="00A45935" w:rsidP="00E05D08">
      <w:pPr>
        <w:spacing w:after="120" w:line="280" w:lineRule="atLeast"/>
        <w:mirrorIndents/>
        <w:rPr>
          <w:rFonts w:eastAsia="Times New Roman" w:cs="Times New Roman"/>
          <w:szCs w:val="20"/>
        </w:rPr>
      </w:pPr>
      <w:r>
        <w:t xml:space="preserve">Abgesehen von den gemeinsamen Indikatoren sind die vorgeschlagenen Elemente nicht verbindlich und die Akteure in den Mitgliedstaaten können ihre eigenen Beurteilungskriterien und zusätzlichen Indikatoren entwickeln. </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endnotePr>
            <w:numFmt w:val="decimal"/>
          </w:endnotePr>
          <w:type w:val="continuous"/>
          <w:pgSz w:w="11907" w:h="16840" w:code="9"/>
          <w:pgMar w:top="1134" w:right="1440" w:bottom="1440" w:left="1440" w:header="567" w:footer="1020" w:gutter="0"/>
          <w:cols w:space="708"/>
          <w:noEndnote/>
          <w:titlePg/>
          <w:docGrid w:linePitch="435"/>
        </w:sectPr>
      </w:pPr>
    </w:p>
    <w:p w:rsidR="00A45935" w:rsidRPr="009C734C" w:rsidRDefault="00A45935" w:rsidP="009C734C">
      <w:pPr>
        <w:pStyle w:val="HHeadingtables"/>
        <w:rPr>
          <w:color w:val="6F6F6F"/>
          <w:sz w:val="18"/>
          <w:szCs w:val="18"/>
        </w:rPr>
      </w:pPr>
      <w:bookmarkStart w:id="134" w:name="CEQ_fostering"/>
      <w:bookmarkStart w:id="135" w:name="_Toc508377857"/>
      <w:bookmarkEnd w:id="134"/>
      <w:r>
        <w:rPr>
          <w:color w:val="6F6F6F"/>
          <w:sz w:val="18"/>
          <w:szCs w:val="18"/>
        </w:rPr>
        <w:lastRenderedPageBreak/>
        <w:t>Bewertungselemente für CEQ Nr. 30</w:t>
      </w:r>
      <w:bookmarkEnd w:id="135"/>
      <w:r>
        <w:rPr>
          <w:color w:val="6F6F6F"/>
          <w:sz w:val="18"/>
          <w:szCs w:val="18"/>
        </w:rPr>
        <w:t xml:space="preserve"> </w:t>
      </w:r>
    </w:p>
    <w:p w:rsidR="00A45935" w:rsidRPr="00E05D08" w:rsidRDefault="00A45935" w:rsidP="00E05D08">
      <w:pPr>
        <w:spacing w:after="120" w:line="280" w:lineRule="atLeast"/>
        <w:mirrorIndents/>
        <w:rPr>
          <w:rFonts w:eastAsia="Times New Roman" w:cs="Arial"/>
          <w:i/>
          <w:szCs w:val="20"/>
        </w:rPr>
      </w:pPr>
      <w:r>
        <w:rPr>
          <w:i/>
          <w:szCs w:val="20"/>
        </w:rPr>
        <w:t xml:space="preserve">Bewertungselemente (Teilfragen, Beurteilungskriterien und Indikatoren), die zusätzlich zu den aus dem Arbeitspapier </w:t>
      </w:r>
      <w:hyperlink r:id="rId99" w:history="1">
        <w:r>
          <w:rPr>
            <w:rStyle w:val="Hyperlink"/>
            <w:sz w:val="20"/>
            <w:szCs w:val="20"/>
          </w:rPr>
          <w:t>Common Evaluation Questions for RDPs 2014-2020</w:t>
        </w:r>
      </w:hyperlink>
      <w:r w:rsidR="00BC42A6" w:rsidRPr="00BC42A6">
        <w:rPr>
          <w:rStyle w:val="Hyperlink"/>
          <w:sz w:val="20"/>
          <w:szCs w:val="20"/>
          <w:u w:val="none"/>
        </w:rPr>
        <w:t xml:space="preserve"> </w:t>
      </w:r>
      <w:r>
        <w:t xml:space="preserve">(Gemeinsame Bewertungsfragen für </w:t>
      </w:r>
      <w:r w:rsidR="00E80C9F">
        <w:t xml:space="preserve">die </w:t>
      </w:r>
      <w:r>
        <w:t>Programme zur Entwicklung des ländlichen Raums 2014-2020)</w:t>
      </w:r>
      <w:r w:rsidR="006864FC">
        <w:t xml:space="preserve"> </w:t>
      </w:r>
      <w:r>
        <w:rPr>
          <w:i/>
          <w:szCs w:val="20"/>
        </w:rPr>
        <w:t xml:space="preserve">übernommenen Elementen angegeben werden, sind kursiv gesetzt. </w:t>
      </w:r>
    </w:p>
    <w:tbl>
      <w:tblPr>
        <w:tblStyle w:val="TableGrid1"/>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955"/>
        <w:gridCol w:w="2658"/>
        <w:gridCol w:w="3278"/>
        <w:gridCol w:w="2693"/>
        <w:gridCol w:w="2672"/>
      </w:tblGrid>
      <w:tr w:rsidR="00A45935" w:rsidRPr="00E05D08" w:rsidTr="00F73706">
        <w:trPr>
          <w:tblHeader/>
        </w:trPr>
        <w:tc>
          <w:tcPr>
            <w:tcW w:w="2988"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Teilfragen</w:t>
            </w:r>
          </w:p>
        </w:tc>
        <w:tc>
          <w:tcPr>
            <w:tcW w:w="2127"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Beurteilungskriterien</w:t>
            </w:r>
          </w:p>
        </w:tc>
        <w:tc>
          <w:tcPr>
            <w:tcW w:w="3302"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Ergebnisindikatoren</w:t>
            </w:r>
          </w:p>
        </w:tc>
        <w:tc>
          <w:tcPr>
            <w:tcW w:w="2715"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Daten- und Informationsbedarf</w:t>
            </w:r>
          </w:p>
        </w:tc>
        <w:tc>
          <w:tcPr>
            <w:tcW w:w="2715"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Datenquellen</w:t>
            </w:r>
          </w:p>
        </w:tc>
      </w:tr>
      <w:tr w:rsidR="00A45935" w:rsidRPr="00E05D08" w:rsidTr="00F73706">
        <w:trPr>
          <w:trHeight w:val="1408"/>
        </w:trPr>
        <w:tc>
          <w:tcPr>
            <w:tcW w:w="2988" w:type="dxa"/>
          </w:tcPr>
          <w:p w:rsidR="00A45935" w:rsidRPr="00385368" w:rsidRDefault="00A45935" w:rsidP="00F73706">
            <w:pPr>
              <w:spacing w:line="220" w:lineRule="atLeast"/>
              <w:jc w:val="left"/>
              <w:rPr>
                <w:rFonts w:cs="Arial"/>
                <w:i/>
                <w:sz w:val="18"/>
                <w:szCs w:val="16"/>
              </w:rPr>
            </w:pPr>
            <w:r>
              <w:rPr>
                <w:i/>
                <w:sz w:val="18"/>
                <w:szCs w:val="16"/>
              </w:rPr>
              <w:t>In welchem Umfang hat das Programm zur Entwicklung des ländlichen Raums Innovation durch die Förderung von Innovationspotenzial gefördert (Pfad 1)?</w:t>
            </w:r>
          </w:p>
        </w:tc>
        <w:tc>
          <w:tcPr>
            <w:tcW w:w="2127" w:type="dxa"/>
          </w:tcPr>
          <w:p w:rsidR="00A45935" w:rsidRPr="00385368" w:rsidRDefault="00A45935" w:rsidP="008A260B">
            <w:pPr>
              <w:spacing w:line="220" w:lineRule="atLeast"/>
              <w:jc w:val="left"/>
              <w:rPr>
                <w:rFonts w:ascii="Helvetica" w:hAnsi="Helvetica"/>
                <w:sz w:val="18"/>
              </w:rPr>
            </w:pPr>
            <w:r>
              <w:rPr>
                <w:i/>
                <w:sz w:val="18"/>
                <w:szCs w:val="16"/>
              </w:rPr>
              <w:t>Zusätzliches Beurteilungskriterium: Verbreitung innovativer Ideen, Prozesse, Modelle und/oder Technologien, die durch das Programm zur Entwicklung des ländlichen Raums eingeführt wurden.</w:t>
            </w:r>
          </w:p>
        </w:tc>
        <w:tc>
          <w:tcPr>
            <w:tcW w:w="3302" w:type="dxa"/>
          </w:tcPr>
          <w:p w:rsidR="00A45935" w:rsidRPr="00385368" w:rsidRDefault="00A45935" w:rsidP="00F73706">
            <w:pPr>
              <w:spacing w:line="220" w:lineRule="atLeast"/>
              <w:jc w:val="left"/>
              <w:rPr>
                <w:rFonts w:cs="Arial"/>
                <w:sz w:val="18"/>
                <w:szCs w:val="16"/>
              </w:rPr>
            </w:pPr>
            <w:r>
              <w:rPr>
                <w:sz w:val="18"/>
                <w:szCs w:val="16"/>
              </w:rPr>
              <w:t xml:space="preserve">T1: Prozentsatz der Ausgaben für Maßnahmen </w:t>
            </w:r>
            <w:r w:rsidR="00D837EC">
              <w:rPr>
                <w:sz w:val="18"/>
                <w:szCs w:val="16"/>
              </w:rPr>
              <w:t>gemäß</w:t>
            </w:r>
            <w:r>
              <w:rPr>
                <w:sz w:val="18"/>
                <w:szCs w:val="16"/>
              </w:rPr>
              <w:t xml:space="preserve"> Artikel 14, 15 und 35 der Verordnung (EU) Nr. 1305/2013 in Bezug auf den Gesamtbetrag der Ausgaben für das Programm zur Entwicklung des ländlichen Raums. </w:t>
            </w:r>
          </w:p>
          <w:p w:rsidR="001275FF" w:rsidRPr="00A86A02" w:rsidRDefault="001275FF" w:rsidP="00F73706">
            <w:pPr>
              <w:spacing w:line="220" w:lineRule="atLeast"/>
              <w:jc w:val="left"/>
              <w:rPr>
                <w:rFonts w:cs="Arial"/>
                <w:sz w:val="18"/>
                <w:szCs w:val="16"/>
              </w:rPr>
            </w:pPr>
          </w:p>
          <w:p w:rsidR="00A45935" w:rsidRPr="00A86A02"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Zahl der unterstützten innovativen Aktionen, die durch operationelle Gruppen der EIP durchgeführt und verbreitet wurden.</w:t>
            </w:r>
          </w:p>
          <w:p w:rsidR="001275FF" w:rsidRPr="00A86A02" w:rsidRDefault="001275FF" w:rsidP="00F73706">
            <w:pPr>
              <w:spacing w:line="220" w:lineRule="atLeast"/>
              <w:jc w:val="left"/>
              <w:rPr>
                <w:rFonts w:cs="Arial"/>
                <w:sz w:val="18"/>
                <w:szCs w:val="16"/>
              </w:rPr>
            </w:pPr>
          </w:p>
          <w:p w:rsidR="00A45935" w:rsidRPr="00A86A02"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i/>
                <w:sz w:val="18"/>
                <w:szCs w:val="16"/>
              </w:rPr>
            </w:pPr>
            <w:r>
              <w:rPr>
                <w:i/>
                <w:color w:val="57825E"/>
                <w:sz w:val="18"/>
                <w:szCs w:val="16"/>
                <w:u w:val="single"/>
              </w:rPr>
              <w:t>Zusätzlicher Ergebnisindikator</w:t>
            </w:r>
            <w:r>
              <w:rPr>
                <w:i/>
                <w:color w:val="57825E"/>
                <w:sz w:val="18"/>
                <w:szCs w:val="16"/>
              </w:rPr>
              <w:t xml:space="preserve">: Verbreitungsgrad innovativer Ideen, Prozesse, Modelle und/oder Technologien, die durch die beteiligten Akteure eingeführt wurden. </w:t>
            </w:r>
          </w:p>
        </w:tc>
        <w:tc>
          <w:tcPr>
            <w:tcW w:w="2715" w:type="dxa"/>
          </w:tcPr>
          <w:p w:rsidR="00A45935" w:rsidRPr="00385368" w:rsidRDefault="00A45935" w:rsidP="00F73706">
            <w:pPr>
              <w:spacing w:line="220" w:lineRule="atLeast"/>
              <w:jc w:val="left"/>
              <w:rPr>
                <w:rFonts w:cs="Arial"/>
                <w:sz w:val="18"/>
                <w:szCs w:val="16"/>
              </w:rPr>
            </w:pPr>
            <w:r>
              <w:rPr>
                <w:sz w:val="18"/>
                <w:szCs w:val="16"/>
              </w:rPr>
              <w:t>Daten zu Ausgaben für Vorhaben unter M1, M2 und M16.</w:t>
            </w:r>
          </w:p>
          <w:p w:rsidR="00A45935" w:rsidRPr="00A86A02" w:rsidRDefault="00A45935" w:rsidP="00F73706">
            <w:pPr>
              <w:spacing w:line="220" w:lineRule="atLeast"/>
              <w:jc w:val="left"/>
              <w:rPr>
                <w:rFonts w:cs="Arial"/>
                <w:sz w:val="18"/>
                <w:szCs w:val="16"/>
              </w:rPr>
            </w:pPr>
          </w:p>
          <w:p w:rsidR="00A45935" w:rsidRPr="00A86A02" w:rsidRDefault="00A45935" w:rsidP="00F73706">
            <w:pPr>
              <w:spacing w:line="220" w:lineRule="atLeast"/>
              <w:jc w:val="left"/>
              <w:rPr>
                <w:rFonts w:cs="Arial"/>
                <w:sz w:val="18"/>
                <w:szCs w:val="16"/>
              </w:rPr>
            </w:pPr>
          </w:p>
          <w:p w:rsidR="00A45935" w:rsidRPr="00A86A02" w:rsidRDefault="00A45935" w:rsidP="00F73706">
            <w:pPr>
              <w:spacing w:line="220" w:lineRule="atLeast"/>
              <w:jc w:val="left"/>
              <w:rPr>
                <w:rFonts w:cs="Arial"/>
                <w:sz w:val="18"/>
                <w:szCs w:val="16"/>
              </w:rPr>
            </w:pPr>
          </w:p>
          <w:p w:rsidR="00D837EC" w:rsidRDefault="00D837EC" w:rsidP="00F73706">
            <w:pPr>
              <w:spacing w:line="220" w:lineRule="atLeast"/>
              <w:jc w:val="left"/>
              <w:rPr>
                <w:sz w:val="18"/>
                <w:szCs w:val="16"/>
              </w:rPr>
            </w:pPr>
          </w:p>
          <w:p w:rsidR="00D837EC" w:rsidRDefault="00D837EC" w:rsidP="00F73706">
            <w:pPr>
              <w:spacing w:line="220" w:lineRule="atLeast"/>
              <w:jc w:val="left"/>
              <w:rPr>
                <w:sz w:val="18"/>
                <w:szCs w:val="16"/>
              </w:rPr>
            </w:pPr>
          </w:p>
          <w:p w:rsidR="00D837EC" w:rsidRDefault="00D837EC" w:rsidP="00F73706">
            <w:pPr>
              <w:spacing w:line="220" w:lineRule="atLeast"/>
              <w:jc w:val="left"/>
              <w:rPr>
                <w:sz w:val="18"/>
                <w:szCs w:val="16"/>
              </w:rPr>
            </w:pPr>
          </w:p>
          <w:p w:rsidR="00A45935" w:rsidRPr="00385368" w:rsidRDefault="00A45935" w:rsidP="00F73706">
            <w:pPr>
              <w:spacing w:line="220" w:lineRule="atLeast"/>
              <w:jc w:val="left"/>
              <w:rPr>
                <w:rFonts w:cs="Arial"/>
                <w:sz w:val="18"/>
                <w:szCs w:val="16"/>
              </w:rPr>
            </w:pPr>
            <w:r>
              <w:rPr>
                <w:sz w:val="18"/>
                <w:szCs w:val="16"/>
              </w:rPr>
              <w:t xml:space="preserve">Daten zu innovativen Aktionen, die durch die operationellen Gruppen der EIP durchgeführt wurden. </w:t>
            </w:r>
          </w:p>
          <w:p w:rsidR="00A45935" w:rsidRPr="00A86A02" w:rsidRDefault="00A45935" w:rsidP="00F73706">
            <w:pPr>
              <w:spacing w:line="220" w:lineRule="atLeast"/>
              <w:jc w:val="left"/>
              <w:rPr>
                <w:rFonts w:cs="Arial"/>
                <w:sz w:val="18"/>
                <w:szCs w:val="16"/>
              </w:rPr>
            </w:pPr>
          </w:p>
          <w:p w:rsidR="00A45935" w:rsidRPr="00A86A02"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 xml:space="preserve">Daten und Informationen zu hervorgebrachten innovativen Ideen, Modellen, Technologien. </w:t>
            </w:r>
          </w:p>
          <w:p w:rsidR="00A45935" w:rsidRPr="00A86A02" w:rsidRDefault="00A45935" w:rsidP="00F73706">
            <w:pPr>
              <w:spacing w:line="220" w:lineRule="atLeast"/>
              <w:jc w:val="left"/>
              <w:rPr>
                <w:rFonts w:cs="Arial"/>
                <w:sz w:val="18"/>
                <w:szCs w:val="16"/>
              </w:rPr>
            </w:pPr>
          </w:p>
          <w:p w:rsidR="00A45935" w:rsidRPr="00A86A02" w:rsidRDefault="00A45935" w:rsidP="00F73706">
            <w:pPr>
              <w:spacing w:line="220" w:lineRule="atLeast"/>
              <w:jc w:val="left"/>
              <w:rPr>
                <w:rFonts w:cs="Arial"/>
                <w:sz w:val="18"/>
                <w:szCs w:val="16"/>
              </w:rPr>
            </w:pPr>
          </w:p>
        </w:tc>
        <w:tc>
          <w:tcPr>
            <w:tcW w:w="2715" w:type="dxa"/>
          </w:tcPr>
          <w:p w:rsidR="00A45935" w:rsidRPr="00385368" w:rsidRDefault="00A45935" w:rsidP="00F73706">
            <w:pPr>
              <w:spacing w:line="220" w:lineRule="atLeast"/>
              <w:jc w:val="left"/>
              <w:rPr>
                <w:rFonts w:cs="Arial"/>
                <w:sz w:val="18"/>
                <w:szCs w:val="16"/>
              </w:rPr>
            </w:pPr>
            <w:r>
              <w:rPr>
                <w:sz w:val="18"/>
                <w:szCs w:val="16"/>
              </w:rPr>
              <w:t xml:space="preserve">System zur Begleitung von Programmen zur Entwicklung des ländlichen Raums. </w:t>
            </w:r>
          </w:p>
          <w:p w:rsidR="00A45935" w:rsidRPr="00A86A02" w:rsidRDefault="00A45935" w:rsidP="00F73706">
            <w:pPr>
              <w:spacing w:line="220" w:lineRule="atLeast"/>
              <w:jc w:val="left"/>
              <w:rPr>
                <w:rFonts w:cs="Arial"/>
                <w:sz w:val="18"/>
                <w:szCs w:val="16"/>
              </w:rPr>
            </w:pPr>
          </w:p>
          <w:p w:rsidR="00A45935" w:rsidRPr="00A86A02" w:rsidRDefault="00A45935" w:rsidP="00F73706">
            <w:pPr>
              <w:spacing w:line="220" w:lineRule="atLeast"/>
              <w:jc w:val="left"/>
              <w:rPr>
                <w:rFonts w:cs="Arial"/>
                <w:sz w:val="18"/>
                <w:szCs w:val="16"/>
              </w:rPr>
            </w:pPr>
          </w:p>
          <w:p w:rsidR="00A45935" w:rsidRPr="00A86A02" w:rsidRDefault="00A45935" w:rsidP="00F73706">
            <w:pPr>
              <w:spacing w:line="220" w:lineRule="atLeast"/>
              <w:jc w:val="left"/>
              <w:rPr>
                <w:rFonts w:cs="Arial"/>
                <w:sz w:val="18"/>
                <w:szCs w:val="16"/>
              </w:rPr>
            </w:pPr>
          </w:p>
          <w:p w:rsidR="00A45935" w:rsidRPr="00A86A02" w:rsidRDefault="00A45935" w:rsidP="00F73706">
            <w:pPr>
              <w:spacing w:line="220" w:lineRule="atLeast"/>
              <w:jc w:val="left"/>
              <w:rPr>
                <w:rFonts w:cs="Arial"/>
                <w:sz w:val="18"/>
                <w:szCs w:val="16"/>
              </w:rPr>
            </w:pPr>
          </w:p>
          <w:p w:rsidR="00A45935" w:rsidRPr="00A86A02" w:rsidRDefault="00A45935" w:rsidP="00F73706">
            <w:pPr>
              <w:spacing w:line="220" w:lineRule="atLeast"/>
              <w:jc w:val="left"/>
              <w:rPr>
                <w:rFonts w:cs="Arial"/>
                <w:sz w:val="18"/>
                <w:szCs w:val="16"/>
              </w:rPr>
            </w:pPr>
          </w:p>
          <w:p w:rsidR="00D837EC" w:rsidRDefault="00D837EC" w:rsidP="00F73706">
            <w:pPr>
              <w:spacing w:line="220" w:lineRule="atLeast"/>
              <w:jc w:val="left"/>
              <w:rPr>
                <w:sz w:val="18"/>
                <w:szCs w:val="16"/>
              </w:rPr>
            </w:pPr>
          </w:p>
          <w:p w:rsidR="00A45935" w:rsidRPr="00385368" w:rsidRDefault="00A45935" w:rsidP="00F73706">
            <w:pPr>
              <w:spacing w:line="220" w:lineRule="atLeast"/>
              <w:jc w:val="left"/>
              <w:rPr>
                <w:rFonts w:cs="Arial"/>
                <w:sz w:val="18"/>
                <w:szCs w:val="16"/>
              </w:rPr>
            </w:pPr>
            <w:r>
              <w:rPr>
                <w:sz w:val="18"/>
                <w:szCs w:val="16"/>
              </w:rPr>
              <w:t>System zur Begleitung von Programmen zur Entwicklung des ländlichen Raums und Befragungen.</w:t>
            </w:r>
          </w:p>
          <w:p w:rsidR="00A45935" w:rsidRPr="00A86A02" w:rsidRDefault="00A45935" w:rsidP="00F73706">
            <w:pPr>
              <w:spacing w:line="220" w:lineRule="atLeast"/>
              <w:jc w:val="left"/>
              <w:rPr>
                <w:rFonts w:cs="Arial"/>
                <w:sz w:val="18"/>
                <w:szCs w:val="16"/>
              </w:rPr>
            </w:pPr>
          </w:p>
          <w:p w:rsidR="00A45935" w:rsidRPr="00A86A02"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System zur Begleitung von Programmen zur Entwicklung des ländlichen Raums und Umfragen, Befragungen.</w:t>
            </w:r>
          </w:p>
        </w:tc>
      </w:tr>
      <w:tr w:rsidR="00A45935" w:rsidRPr="00E05D08" w:rsidTr="00F73706">
        <w:tc>
          <w:tcPr>
            <w:tcW w:w="2988" w:type="dxa"/>
          </w:tcPr>
          <w:p w:rsidR="00A45935" w:rsidRPr="00385368" w:rsidRDefault="00A45935" w:rsidP="00F73706">
            <w:pPr>
              <w:spacing w:line="220" w:lineRule="atLeast"/>
              <w:jc w:val="left"/>
              <w:rPr>
                <w:rFonts w:cs="Arial"/>
                <w:i/>
                <w:sz w:val="18"/>
                <w:szCs w:val="16"/>
              </w:rPr>
            </w:pPr>
            <w:r>
              <w:rPr>
                <w:i/>
                <w:sz w:val="18"/>
                <w:szCs w:val="16"/>
              </w:rPr>
              <w:t>In welchem Umfang hat das Programm zur Entwicklung des ländlichen Raums Innovation durch die Verbesserung der Innovationsfähigkeit gefördert (Pfad 2)?</w:t>
            </w:r>
          </w:p>
        </w:tc>
        <w:tc>
          <w:tcPr>
            <w:tcW w:w="2127" w:type="dxa"/>
          </w:tcPr>
          <w:p w:rsidR="00A45935" w:rsidRPr="00E05D08" w:rsidRDefault="00A45935" w:rsidP="00F73706">
            <w:pPr>
              <w:spacing w:line="220" w:lineRule="atLeast"/>
              <w:jc w:val="left"/>
              <w:rPr>
                <w:rFonts w:eastAsia="Calibri" w:cs="Arial"/>
                <w:i/>
                <w:sz w:val="18"/>
                <w:szCs w:val="16"/>
              </w:rPr>
            </w:pPr>
            <w:r>
              <w:rPr>
                <w:i/>
                <w:sz w:val="18"/>
                <w:szCs w:val="16"/>
              </w:rPr>
              <w:t xml:space="preserve">Zusätzliches Beurteilungskriterium: Das Programm zur Entwicklung des ländlichen Raums hat die funktionellen Verbindungen zwischen verschiedenen Arten von Akteuren gestärkt. </w:t>
            </w:r>
          </w:p>
          <w:p w:rsidR="00A45935" w:rsidRPr="00A86A02" w:rsidRDefault="00A45935" w:rsidP="00F73706">
            <w:pPr>
              <w:spacing w:line="220" w:lineRule="atLeast"/>
              <w:jc w:val="left"/>
              <w:rPr>
                <w:rFonts w:eastAsia="Calibri" w:cs="Arial"/>
                <w:i/>
                <w:sz w:val="18"/>
                <w:szCs w:val="16"/>
              </w:rPr>
            </w:pPr>
          </w:p>
          <w:p w:rsidR="00A45935" w:rsidRPr="00A86A02" w:rsidRDefault="00A45935" w:rsidP="00F73706">
            <w:pPr>
              <w:spacing w:line="220" w:lineRule="atLeast"/>
              <w:jc w:val="left"/>
              <w:rPr>
                <w:rFonts w:eastAsia="Calibri" w:cs="Arial"/>
                <w:i/>
                <w:sz w:val="18"/>
                <w:szCs w:val="16"/>
              </w:rPr>
            </w:pPr>
          </w:p>
          <w:p w:rsidR="00A45935" w:rsidRPr="00A86A02" w:rsidRDefault="00A45935" w:rsidP="00F73706">
            <w:pPr>
              <w:spacing w:line="220" w:lineRule="atLeast"/>
              <w:jc w:val="left"/>
              <w:rPr>
                <w:rFonts w:eastAsia="Calibri" w:cs="Arial"/>
                <w:i/>
                <w:sz w:val="18"/>
                <w:szCs w:val="16"/>
              </w:rPr>
            </w:pPr>
          </w:p>
          <w:p w:rsidR="00A45935" w:rsidRPr="00A86A02" w:rsidRDefault="00A45935" w:rsidP="00F73706">
            <w:pPr>
              <w:spacing w:line="220" w:lineRule="atLeast"/>
              <w:jc w:val="left"/>
              <w:rPr>
                <w:rFonts w:eastAsia="Calibri" w:cs="Arial"/>
                <w:i/>
                <w:sz w:val="18"/>
                <w:szCs w:val="16"/>
              </w:rPr>
            </w:pPr>
          </w:p>
          <w:p w:rsidR="00A45935" w:rsidRPr="00A86A02" w:rsidRDefault="00A45935" w:rsidP="00F73706">
            <w:pPr>
              <w:spacing w:line="220" w:lineRule="atLeast"/>
              <w:jc w:val="left"/>
              <w:rPr>
                <w:rFonts w:eastAsia="Calibri" w:cs="Arial"/>
                <w:i/>
                <w:sz w:val="18"/>
                <w:szCs w:val="16"/>
              </w:rPr>
            </w:pPr>
          </w:p>
          <w:p w:rsidR="00A45935" w:rsidRPr="00A86A02" w:rsidRDefault="00A45935" w:rsidP="00F73706">
            <w:pPr>
              <w:spacing w:line="220" w:lineRule="atLeast"/>
              <w:jc w:val="left"/>
              <w:rPr>
                <w:rFonts w:eastAsia="Calibri" w:cs="Arial"/>
                <w:i/>
                <w:sz w:val="18"/>
                <w:szCs w:val="16"/>
              </w:rPr>
            </w:pPr>
          </w:p>
          <w:p w:rsidR="00D837EC" w:rsidRDefault="00D837EC" w:rsidP="00F73706">
            <w:pPr>
              <w:spacing w:line="220" w:lineRule="atLeast"/>
              <w:jc w:val="left"/>
              <w:rPr>
                <w:i/>
                <w:sz w:val="18"/>
                <w:szCs w:val="16"/>
              </w:rPr>
            </w:pPr>
          </w:p>
          <w:p w:rsidR="00D837EC" w:rsidRDefault="00D837EC" w:rsidP="00F73706">
            <w:pPr>
              <w:spacing w:line="220" w:lineRule="atLeast"/>
              <w:jc w:val="left"/>
              <w:rPr>
                <w:i/>
                <w:sz w:val="18"/>
                <w:szCs w:val="16"/>
              </w:rPr>
            </w:pPr>
          </w:p>
          <w:p w:rsidR="00D837EC" w:rsidRDefault="00D837EC" w:rsidP="00F73706">
            <w:pPr>
              <w:spacing w:line="220" w:lineRule="atLeast"/>
              <w:jc w:val="left"/>
              <w:rPr>
                <w:i/>
                <w:sz w:val="18"/>
                <w:szCs w:val="16"/>
              </w:rPr>
            </w:pPr>
          </w:p>
          <w:p w:rsidR="00D837EC" w:rsidRDefault="00D837EC" w:rsidP="00F73706">
            <w:pPr>
              <w:spacing w:line="220" w:lineRule="atLeast"/>
              <w:jc w:val="left"/>
              <w:rPr>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Zusätzliches Beurteilungskriterium: Lernplattformen und andere Arten von institutionellen Räumen für Austausch, Reflexion und Lernen wurden eingerichtet und weiterentwickelt.</w:t>
            </w:r>
          </w:p>
          <w:p w:rsidR="00A45935" w:rsidRPr="00A86A02" w:rsidRDefault="00A45935" w:rsidP="00F73706">
            <w:pPr>
              <w:spacing w:line="220" w:lineRule="atLeast"/>
              <w:jc w:val="left"/>
              <w:rPr>
                <w:rFonts w:eastAsia="Calibri" w:cs="Arial"/>
                <w:i/>
                <w:sz w:val="18"/>
                <w:szCs w:val="16"/>
              </w:rPr>
            </w:pPr>
          </w:p>
          <w:p w:rsidR="00D837EC" w:rsidRDefault="00D837EC" w:rsidP="00F73706">
            <w:pPr>
              <w:spacing w:line="220" w:lineRule="atLeast"/>
              <w:jc w:val="left"/>
              <w:rPr>
                <w:i/>
                <w:sz w:val="18"/>
                <w:szCs w:val="16"/>
              </w:rPr>
            </w:pPr>
          </w:p>
          <w:p w:rsidR="00D837EC" w:rsidRDefault="00D837EC" w:rsidP="00F73706">
            <w:pPr>
              <w:spacing w:line="220" w:lineRule="atLeast"/>
              <w:jc w:val="left"/>
              <w:rPr>
                <w:i/>
                <w:sz w:val="18"/>
                <w:szCs w:val="16"/>
              </w:rPr>
            </w:pPr>
          </w:p>
          <w:p w:rsidR="00D837EC" w:rsidRDefault="00D837EC" w:rsidP="00F73706">
            <w:pPr>
              <w:spacing w:line="220" w:lineRule="atLeast"/>
              <w:jc w:val="left"/>
              <w:rPr>
                <w:i/>
                <w:sz w:val="18"/>
                <w:szCs w:val="16"/>
              </w:rPr>
            </w:pPr>
          </w:p>
          <w:p w:rsidR="00D837EC" w:rsidRDefault="00D837EC" w:rsidP="00F73706">
            <w:pPr>
              <w:spacing w:line="220" w:lineRule="atLeast"/>
              <w:jc w:val="left"/>
              <w:rPr>
                <w:i/>
                <w:sz w:val="18"/>
                <w:szCs w:val="16"/>
              </w:rPr>
            </w:pPr>
          </w:p>
          <w:p w:rsidR="00A45935" w:rsidRPr="00385368" w:rsidRDefault="00A45935" w:rsidP="00F73706">
            <w:pPr>
              <w:spacing w:line="220" w:lineRule="atLeast"/>
              <w:jc w:val="left"/>
              <w:rPr>
                <w:rFonts w:cs="Arial"/>
                <w:sz w:val="18"/>
                <w:szCs w:val="16"/>
              </w:rPr>
            </w:pPr>
            <w:r>
              <w:rPr>
                <w:i/>
                <w:sz w:val="18"/>
                <w:szCs w:val="16"/>
              </w:rPr>
              <w:t xml:space="preserve">Zusätzliches Beurteilungskriterium: Der Informationsfluss zwischen unterschiedlichen Akteuren in dem Innovationssystem, in dem die Veränderung stattgefunden hat, hat sich verbessert. </w:t>
            </w:r>
          </w:p>
        </w:tc>
        <w:tc>
          <w:tcPr>
            <w:tcW w:w="3302" w:type="dxa"/>
          </w:tcPr>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lastRenderedPageBreak/>
              <w:t>Zusätzlicher Ergebnisindikator:</w:t>
            </w:r>
            <w:r>
              <w:rPr>
                <w:i/>
                <w:color w:val="57825E"/>
                <w:sz w:val="18"/>
                <w:szCs w:val="16"/>
              </w:rPr>
              <w:t xml:space="preserve"> Zahl der formalen Partnerschaften, die durch das Programm zur Entwicklung des ländlichen Raums vermittelt wurden und mit den Veränderungen bei den Prioritäten für die Entwicklung des ländlichen Raums, zu denen das Programm beigetragen hat, verbunden sind. </w:t>
            </w:r>
          </w:p>
          <w:p w:rsidR="00A45935" w:rsidRPr="00A86A02"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cs="Arial"/>
                <w:sz w:val="18"/>
                <w:szCs w:val="16"/>
              </w:rPr>
            </w:pPr>
            <w:r>
              <w:rPr>
                <w:sz w:val="18"/>
                <w:szCs w:val="16"/>
              </w:rPr>
              <w:lastRenderedPageBreak/>
              <w:t xml:space="preserve">Prozentualer Anstieg der Zahl und Arten der an Kooperationsprojekten beteiligten Partner (Arbeitspapier zu CEQ für das Programm zur Entwicklung des ländlichen Raums 2014-2020). </w:t>
            </w:r>
          </w:p>
          <w:p w:rsidR="00A45935" w:rsidRPr="00A86A02" w:rsidRDefault="00A45935" w:rsidP="00F73706">
            <w:pPr>
              <w:spacing w:line="220" w:lineRule="atLeast"/>
              <w:jc w:val="left"/>
              <w:rPr>
                <w:rFonts w:cs="Arial"/>
                <w:color w:val="57825E"/>
                <w:sz w:val="18"/>
                <w:szCs w:val="16"/>
              </w:rPr>
            </w:pPr>
          </w:p>
          <w:p w:rsidR="00A45935" w:rsidRPr="00385368" w:rsidRDefault="00A45935" w:rsidP="00F73706">
            <w:pPr>
              <w:spacing w:line="220" w:lineRule="atLeast"/>
              <w:jc w:val="left"/>
              <w:rPr>
                <w:rFonts w:eastAsia="Calibri" w:cs="Arial"/>
                <w:color w:val="57825E"/>
                <w:sz w:val="18"/>
                <w:szCs w:val="16"/>
              </w:rPr>
            </w:pPr>
            <w:r>
              <w:rPr>
                <w:i/>
                <w:color w:val="57825E"/>
                <w:sz w:val="18"/>
                <w:szCs w:val="16"/>
                <w:u w:val="single"/>
              </w:rPr>
              <w:t>Zusätzlicher Ergebnisindikator:</w:t>
            </w:r>
            <w:r>
              <w:rPr>
                <w:i/>
                <w:color w:val="57825E"/>
                <w:sz w:val="18"/>
                <w:szCs w:val="16"/>
              </w:rPr>
              <w:t xml:space="preserve"> Zahl und Qualität der Plattformen und „Räume“, mit denen Innovation gefördert wird und die durch das Programm zur Entwicklung des ländlichen Raums eingerichtet oder weiterentwickelt wurden, z. B. Anwendergemeinschaften, Innovationsplattformen, Veranstaltungen für Reflexion und Lernen. </w:t>
            </w:r>
          </w:p>
          <w:p w:rsidR="00560E46" w:rsidRPr="00A86A02" w:rsidRDefault="00560E46" w:rsidP="00F73706">
            <w:pPr>
              <w:spacing w:line="220" w:lineRule="atLeast"/>
              <w:jc w:val="left"/>
              <w:rPr>
                <w:rFonts w:eastAsia="Calibri" w:cs="Arial"/>
                <w:color w:val="57825E"/>
                <w:sz w:val="18"/>
                <w:szCs w:val="16"/>
              </w:rPr>
            </w:pPr>
          </w:p>
          <w:p w:rsidR="00560E46" w:rsidRPr="00A86A02" w:rsidRDefault="00560E46" w:rsidP="00F73706">
            <w:pPr>
              <w:spacing w:line="220" w:lineRule="atLeast"/>
              <w:jc w:val="left"/>
              <w:rPr>
                <w:rFonts w:eastAsia="Calibri" w:cs="Arial"/>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 xml:space="preserve">Zusätzlicher Ergebnisindikator: </w:t>
            </w:r>
            <w:r>
              <w:rPr>
                <w:i/>
                <w:color w:val="57825E"/>
                <w:sz w:val="18"/>
                <w:szCs w:val="16"/>
              </w:rPr>
              <w:t xml:space="preserve">Verringerung der durchschnittlichen Länge von Netzwerkpfaden und der Netzwerkvielfalt (Maßnahmen zur Analyse sozialer Netzwerke). </w:t>
            </w:r>
          </w:p>
        </w:tc>
        <w:tc>
          <w:tcPr>
            <w:tcW w:w="2715" w:type="dxa"/>
          </w:tcPr>
          <w:p w:rsidR="00A45935" w:rsidRPr="00385368" w:rsidRDefault="00A45935" w:rsidP="00F73706">
            <w:pPr>
              <w:spacing w:line="220" w:lineRule="atLeast"/>
              <w:jc w:val="left"/>
              <w:rPr>
                <w:rFonts w:eastAsia="Calibri" w:cs="Arial"/>
                <w:sz w:val="18"/>
                <w:szCs w:val="16"/>
              </w:rPr>
            </w:pPr>
            <w:r>
              <w:rPr>
                <w:sz w:val="18"/>
                <w:szCs w:val="16"/>
              </w:rPr>
              <w:lastRenderedPageBreak/>
              <w:t>Informationen zu formalen Beziehungen.</w:t>
            </w:r>
          </w:p>
          <w:p w:rsidR="00A45935" w:rsidRPr="00A86A02" w:rsidRDefault="00A45935" w:rsidP="00F73706">
            <w:pPr>
              <w:spacing w:line="220" w:lineRule="atLeast"/>
              <w:jc w:val="left"/>
              <w:rPr>
                <w:rFonts w:eastAsia="Calibri" w:cs="Arial"/>
                <w:sz w:val="18"/>
                <w:szCs w:val="16"/>
              </w:rPr>
            </w:pPr>
          </w:p>
          <w:p w:rsidR="00A45935" w:rsidRPr="00A86A02" w:rsidRDefault="00A45935" w:rsidP="00F73706">
            <w:pPr>
              <w:spacing w:line="220" w:lineRule="atLeast"/>
              <w:jc w:val="left"/>
              <w:rPr>
                <w:rFonts w:eastAsia="Calibri" w:cs="Arial"/>
                <w:sz w:val="18"/>
                <w:szCs w:val="16"/>
              </w:rPr>
            </w:pPr>
          </w:p>
          <w:p w:rsidR="00A45935" w:rsidRPr="00A86A02" w:rsidRDefault="00A45935" w:rsidP="00F73706">
            <w:pPr>
              <w:spacing w:line="220" w:lineRule="atLeast"/>
              <w:jc w:val="left"/>
              <w:rPr>
                <w:rFonts w:eastAsia="Calibri" w:cs="Arial"/>
                <w:sz w:val="18"/>
                <w:szCs w:val="16"/>
              </w:rPr>
            </w:pPr>
          </w:p>
          <w:p w:rsidR="00A45935" w:rsidRPr="00A86A02" w:rsidRDefault="00A45935" w:rsidP="00F73706">
            <w:pPr>
              <w:spacing w:line="220" w:lineRule="atLeast"/>
              <w:jc w:val="left"/>
              <w:rPr>
                <w:rFonts w:eastAsia="Calibri" w:cs="Arial"/>
                <w:sz w:val="18"/>
                <w:szCs w:val="16"/>
              </w:rPr>
            </w:pPr>
          </w:p>
          <w:p w:rsidR="00D837EC" w:rsidRDefault="00D837EC" w:rsidP="00F73706">
            <w:pPr>
              <w:spacing w:line="220" w:lineRule="atLeast"/>
              <w:jc w:val="left"/>
              <w:rPr>
                <w:sz w:val="18"/>
                <w:szCs w:val="16"/>
              </w:rPr>
            </w:pPr>
          </w:p>
          <w:p w:rsidR="00D837EC" w:rsidRDefault="00D837EC" w:rsidP="00F73706">
            <w:pPr>
              <w:spacing w:line="220" w:lineRule="atLeast"/>
              <w:jc w:val="left"/>
              <w:rPr>
                <w:sz w:val="18"/>
                <w:szCs w:val="16"/>
              </w:rPr>
            </w:pPr>
          </w:p>
          <w:p w:rsidR="00D837EC" w:rsidRDefault="00D837EC" w:rsidP="00F73706">
            <w:pPr>
              <w:spacing w:line="220" w:lineRule="atLeast"/>
              <w:jc w:val="left"/>
              <w:rPr>
                <w:sz w:val="18"/>
                <w:szCs w:val="16"/>
              </w:rPr>
            </w:pPr>
          </w:p>
          <w:p w:rsidR="00D837EC" w:rsidRDefault="00D837EC" w:rsidP="00F73706">
            <w:pPr>
              <w:spacing w:line="220" w:lineRule="atLeast"/>
              <w:jc w:val="left"/>
              <w:rPr>
                <w:sz w:val="18"/>
                <w:szCs w:val="16"/>
              </w:rPr>
            </w:pPr>
          </w:p>
          <w:p w:rsidR="00A45935" w:rsidRPr="00385368" w:rsidRDefault="00A45935" w:rsidP="00F73706">
            <w:pPr>
              <w:spacing w:line="220" w:lineRule="atLeast"/>
              <w:jc w:val="left"/>
              <w:rPr>
                <w:rFonts w:eastAsia="Calibri" w:cs="Arial"/>
                <w:sz w:val="18"/>
                <w:szCs w:val="16"/>
              </w:rPr>
            </w:pPr>
            <w:r>
              <w:rPr>
                <w:sz w:val="18"/>
                <w:szCs w:val="16"/>
              </w:rPr>
              <w:lastRenderedPageBreak/>
              <w:t xml:space="preserve">Daten zu Zahl und Art von Partnern in Kooperationsprojekten. </w:t>
            </w:r>
          </w:p>
          <w:p w:rsidR="00A45935" w:rsidRPr="00A86A02" w:rsidRDefault="00A45935" w:rsidP="00F73706">
            <w:pPr>
              <w:spacing w:line="220" w:lineRule="atLeast"/>
              <w:jc w:val="left"/>
              <w:rPr>
                <w:rFonts w:eastAsia="Calibri" w:cs="Arial"/>
                <w:sz w:val="18"/>
                <w:szCs w:val="16"/>
              </w:rPr>
            </w:pPr>
          </w:p>
          <w:p w:rsidR="00A45935" w:rsidRPr="00A86A02" w:rsidRDefault="00A45935" w:rsidP="00F73706">
            <w:pPr>
              <w:spacing w:line="220" w:lineRule="atLeast"/>
              <w:jc w:val="left"/>
              <w:rPr>
                <w:rFonts w:eastAsia="Calibri" w:cs="Arial"/>
                <w:sz w:val="18"/>
                <w:szCs w:val="16"/>
              </w:rPr>
            </w:pPr>
          </w:p>
          <w:p w:rsidR="00D837EC" w:rsidRDefault="00D837EC" w:rsidP="00F73706">
            <w:pPr>
              <w:spacing w:line="220" w:lineRule="atLeast"/>
              <w:jc w:val="left"/>
              <w:rPr>
                <w:sz w:val="18"/>
                <w:szCs w:val="16"/>
              </w:rPr>
            </w:pPr>
          </w:p>
          <w:p w:rsidR="00D837EC" w:rsidRDefault="00D837EC" w:rsidP="00F73706">
            <w:pPr>
              <w:spacing w:line="220" w:lineRule="atLeast"/>
              <w:jc w:val="left"/>
              <w:rPr>
                <w:sz w:val="18"/>
                <w:szCs w:val="16"/>
              </w:rPr>
            </w:pPr>
          </w:p>
          <w:p w:rsidR="00A45935" w:rsidRPr="00385368" w:rsidRDefault="00A45935" w:rsidP="00F73706">
            <w:pPr>
              <w:spacing w:line="220" w:lineRule="atLeast"/>
              <w:jc w:val="left"/>
              <w:rPr>
                <w:rFonts w:eastAsia="Calibri" w:cs="Arial"/>
                <w:sz w:val="18"/>
                <w:szCs w:val="16"/>
              </w:rPr>
            </w:pPr>
            <w:r>
              <w:rPr>
                <w:sz w:val="18"/>
                <w:szCs w:val="16"/>
              </w:rPr>
              <w:t>Informationen zu Plattformen, die von Programmen zur Entwicklung des ländlichen Raums eingerichtet wurden.</w:t>
            </w:r>
          </w:p>
          <w:p w:rsidR="00A45935" w:rsidRPr="00A86A02" w:rsidRDefault="00A45935" w:rsidP="00F73706">
            <w:pPr>
              <w:spacing w:line="220" w:lineRule="atLeast"/>
              <w:jc w:val="left"/>
              <w:rPr>
                <w:rFonts w:eastAsia="Calibri" w:cs="Arial"/>
                <w:sz w:val="18"/>
                <w:szCs w:val="16"/>
              </w:rPr>
            </w:pPr>
          </w:p>
          <w:p w:rsidR="00A45935" w:rsidRPr="00A86A02" w:rsidRDefault="00A45935" w:rsidP="00F73706">
            <w:pPr>
              <w:spacing w:line="220" w:lineRule="atLeast"/>
              <w:jc w:val="left"/>
              <w:rPr>
                <w:rFonts w:eastAsia="Calibri" w:cs="Arial"/>
                <w:sz w:val="18"/>
                <w:szCs w:val="16"/>
              </w:rPr>
            </w:pPr>
          </w:p>
          <w:p w:rsidR="00A45935" w:rsidRPr="00A86A02" w:rsidRDefault="00A45935" w:rsidP="00F73706">
            <w:pPr>
              <w:spacing w:line="220" w:lineRule="atLeast"/>
              <w:jc w:val="left"/>
              <w:rPr>
                <w:rFonts w:eastAsia="Calibri" w:cs="Arial"/>
                <w:sz w:val="18"/>
                <w:szCs w:val="16"/>
              </w:rPr>
            </w:pPr>
          </w:p>
          <w:p w:rsidR="00A45935" w:rsidRPr="00A86A02" w:rsidRDefault="00A45935" w:rsidP="00F73706">
            <w:pPr>
              <w:spacing w:line="220" w:lineRule="atLeast"/>
              <w:jc w:val="left"/>
              <w:rPr>
                <w:rFonts w:eastAsia="Calibri" w:cs="Arial"/>
                <w:sz w:val="18"/>
                <w:szCs w:val="16"/>
              </w:rPr>
            </w:pPr>
          </w:p>
          <w:p w:rsidR="00A45935" w:rsidRPr="00A86A02" w:rsidRDefault="00A45935" w:rsidP="00F73706">
            <w:pPr>
              <w:spacing w:line="220" w:lineRule="atLeast"/>
              <w:jc w:val="left"/>
              <w:rPr>
                <w:rFonts w:eastAsia="Calibri" w:cs="Arial"/>
                <w:sz w:val="18"/>
                <w:szCs w:val="16"/>
              </w:rPr>
            </w:pPr>
          </w:p>
          <w:p w:rsidR="00A45935" w:rsidRPr="00A86A02" w:rsidRDefault="00A45935" w:rsidP="00F73706">
            <w:pPr>
              <w:spacing w:line="220" w:lineRule="atLeast"/>
              <w:jc w:val="left"/>
              <w:rPr>
                <w:rFonts w:eastAsia="Calibri" w:cs="Arial"/>
                <w:sz w:val="18"/>
                <w:szCs w:val="16"/>
              </w:rPr>
            </w:pPr>
          </w:p>
          <w:p w:rsidR="00560E46" w:rsidRPr="00A86A02" w:rsidRDefault="00560E46" w:rsidP="00F73706">
            <w:pPr>
              <w:spacing w:line="220" w:lineRule="atLeast"/>
              <w:jc w:val="left"/>
              <w:rPr>
                <w:rFonts w:eastAsia="Calibri" w:cs="Arial"/>
                <w:sz w:val="18"/>
                <w:szCs w:val="16"/>
              </w:rPr>
            </w:pPr>
          </w:p>
          <w:p w:rsidR="00560E46" w:rsidRPr="00A86A02" w:rsidRDefault="00560E46" w:rsidP="00F73706">
            <w:pPr>
              <w:spacing w:line="220" w:lineRule="atLeast"/>
              <w:jc w:val="left"/>
              <w:rPr>
                <w:rFonts w:eastAsia="Calibri" w:cs="Arial"/>
                <w:sz w:val="18"/>
                <w:szCs w:val="16"/>
              </w:rPr>
            </w:pPr>
          </w:p>
          <w:p w:rsidR="00D837EC" w:rsidRDefault="00D837EC" w:rsidP="00560E46">
            <w:pPr>
              <w:spacing w:line="220" w:lineRule="atLeast"/>
              <w:jc w:val="left"/>
              <w:rPr>
                <w:sz w:val="18"/>
                <w:szCs w:val="16"/>
              </w:rPr>
            </w:pPr>
          </w:p>
          <w:p w:rsidR="00A45935" w:rsidRPr="00E05D08" w:rsidRDefault="00A45935" w:rsidP="00560E46">
            <w:pPr>
              <w:spacing w:line="220" w:lineRule="atLeast"/>
              <w:jc w:val="left"/>
              <w:rPr>
                <w:rFonts w:eastAsia="Calibri" w:cs="Arial"/>
                <w:sz w:val="18"/>
                <w:szCs w:val="16"/>
              </w:rPr>
            </w:pPr>
            <w:r>
              <w:rPr>
                <w:sz w:val="18"/>
                <w:szCs w:val="16"/>
              </w:rPr>
              <w:t xml:space="preserve">Informationen zu Netzwerken. </w:t>
            </w:r>
          </w:p>
        </w:tc>
        <w:tc>
          <w:tcPr>
            <w:tcW w:w="2715" w:type="dxa"/>
          </w:tcPr>
          <w:p w:rsidR="00A45935" w:rsidRPr="00385368" w:rsidRDefault="00A45935" w:rsidP="00F73706">
            <w:pPr>
              <w:spacing w:line="220" w:lineRule="atLeast"/>
              <w:jc w:val="left"/>
              <w:rPr>
                <w:rFonts w:eastAsia="Calibri" w:cs="Arial"/>
                <w:sz w:val="18"/>
                <w:szCs w:val="16"/>
              </w:rPr>
            </w:pPr>
            <w:r>
              <w:rPr>
                <w:sz w:val="18"/>
                <w:szCs w:val="16"/>
              </w:rPr>
              <w:lastRenderedPageBreak/>
              <w:t xml:space="preserve">Befragungen und Fokusgruppen. </w:t>
            </w:r>
          </w:p>
          <w:p w:rsidR="00A45935" w:rsidRPr="00A86A02" w:rsidRDefault="00A45935" w:rsidP="00F73706">
            <w:pPr>
              <w:spacing w:line="220" w:lineRule="atLeast"/>
              <w:jc w:val="left"/>
              <w:rPr>
                <w:rFonts w:eastAsia="Calibri" w:cs="Arial"/>
                <w:sz w:val="18"/>
                <w:szCs w:val="16"/>
              </w:rPr>
            </w:pPr>
          </w:p>
          <w:p w:rsidR="00A45935" w:rsidRPr="00A86A02" w:rsidRDefault="00A45935" w:rsidP="00F73706">
            <w:pPr>
              <w:spacing w:line="220" w:lineRule="atLeast"/>
              <w:jc w:val="left"/>
              <w:rPr>
                <w:rFonts w:eastAsia="Calibri" w:cs="Arial"/>
                <w:sz w:val="18"/>
                <w:szCs w:val="16"/>
              </w:rPr>
            </w:pPr>
          </w:p>
          <w:p w:rsidR="00A45935" w:rsidRPr="00A86A02" w:rsidRDefault="00A45935" w:rsidP="00F73706">
            <w:pPr>
              <w:spacing w:line="220" w:lineRule="atLeast"/>
              <w:jc w:val="left"/>
              <w:rPr>
                <w:rFonts w:eastAsia="Calibri" w:cs="Arial"/>
                <w:sz w:val="18"/>
                <w:szCs w:val="16"/>
              </w:rPr>
            </w:pPr>
          </w:p>
          <w:p w:rsidR="00A45935" w:rsidRPr="00A86A02" w:rsidRDefault="00A45935" w:rsidP="00F73706">
            <w:pPr>
              <w:spacing w:line="220" w:lineRule="atLeast"/>
              <w:jc w:val="left"/>
              <w:rPr>
                <w:rFonts w:eastAsia="Calibri" w:cs="Arial"/>
                <w:sz w:val="18"/>
                <w:szCs w:val="16"/>
              </w:rPr>
            </w:pPr>
          </w:p>
          <w:p w:rsidR="00A45935" w:rsidRPr="00A86A02" w:rsidRDefault="00A45935" w:rsidP="00F73706">
            <w:pPr>
              <w:spacing w:line="220" w:lineRule="atLeast"/>
              <w:jc w:val="left"/>
              <w:rPr>
                <w:rFonts w:eastAsia="Calibri" w:cs="Arial"/>
                <w:sz w:val="18"/>
                <w:szCs w:val="16"/>
              </w:rPr>
            </w:pPr>
          </w:p>
          <w:p w:rsidR="00A45935" w:rsidRPr="00A86A02" w:rsidRDefault="00A45935" w:rsidP="00F73706">
            <w:pPr>
              <w:spacing w:line="220" w:lineRule="atLeast"/>
              <w:jc w:val="left"/>
              <w:rPr>
                <w:rFonts w:eastAsia="Calibri" w:cs="Arial"/>
                <w:sz w:val="18"/>
                <w:szCs w:val="16"/>
              </w:rPr>
            </w:pPr>
          </w:p>
          <w:p w:rsidR="00D837EC" w:rsidRDefault="00D837EC" w:rsidP="00F73706">
            <w:pPr>
              <w:spacing w:line="220" w:lineRule="atLeast"/>
              <w:jc w:val="left"/>
              <w:rPr>
                <w:sz w:val="18"/>
                <w:szCs w:val="16"/>
              </w:rPr>
            </w:pPr>
          </w:p>
          <w:p w:rsidR="00D837EC" w:rsidRDefault="00D837EC" w:rsidP="00F73706">
            <w:pPr>
              <w:spacing w:line="220" w:lineRule="atLeast"/>
              <w:jc w:val="left"/>
              <w:rPr>
                <w:sz w:val="18"/>
                <w:szCs w:val="16"/>
              </w:rPr>
            </w:pPr>
          </w:p>
          <w:p w:rsidR="00A45935" w:rsidRPr="00385368" w:rsidRDefault="00A45935" w:rsidP="00F73706">
            <w:pPr>
              <w:spacing w:line="220" w:lineRule="atLeast"/>
              <w:jc w:val="left"/>
              <w:rPr>
                <w:rFonts w:eastAsia="Calibri" w:cs="Arial"/>
                <w:sz w:val="18"/>
                <w:szCs w:val="16"/>
              </w:rPr>
            </w:pPr>
            <w:r>
              <w:rPr>
                <w:sz w:val="18"/>
                <w:szCs w:val="16"/>
              </w:rPr>
              <w:lastRenderedPageBreak/>
              <w:t>System zur Begleitung von Programmen zur Entwicklung des ländlichen Raums.</w:t>
            </w:r>
          </w:p>
          <w:p w:rsidR="00A45935" w:rsidRPr="00A86A02" w:rsidRDefault="00A45935" w:rsidP="00F73706">
            <w:pPr>
              <w:spacing w:line="220" w:lineRule="atLeast"/>
              <w:jc w:val="left"/>
              <w:rPr>
                <w:rFonts w:eastAsia="Calibri" w:cs="Arial"/>
                <w:sz w:val="18"/>
                <w:szCs w:val="16"/>
              </w:rPr>
            </w:pPr>
          </w:p>
          <w:p w:rsidR="00A45935" w:rsidRPr="00A86A02" w:rsidRDefault="00A45935" w:rsidP="00F73706">
            <w:pPr>
              <w:spacing w:line="220" w:lineRule="atLeast"/>
              <w:jc w:val="left"/>
              <w:rPr>
                <w:rFonts w:eastAsia="Calibri" w:cs="Arial"/>
                <w:sz w:val="18"/>
                <w:szCs w:val="16"/>
              </w:rPr>
            </w:pPr>
          </w:p>
          <w:p w:rsidR="00A45935" w:rsidRPr="00A86A02" w:rsidRDefault="00A45935" w:rsidP="00F73706">
            <w:pPr>
              <w:spacing w:line="220" w:lineRule="atLeast"/>
              <w:jc w:val="left"/>
              <w:rPr>
                <w:rFonts w:eastAsia="Calibri" w:cs="Arial"/>
                <w:sz w:val="18"/>
                <w:szCs w:val="16"/>
              </w:rPr>
            </w:pPr>
          </w:p>
          <w:p w:rsidR="00D837EC" w:rsidRDefault="00D837EC" w:rsidP="00F73706">
            <w:pPr>
              <w:spacing w:line="220" w:lineRule="atLeast"/>
              <w:jc w:val="left"/>
              <w:rPr>
                <w:sz w:val="18"/>
                <w:szCs w:val="16"/>
              </w:rPr>
            </w:pPr>
          </w:p>
          <w:p w:rsidR="00A45935" w:rsidRPr="00385368" w:rsidRDefault="00A45935" w:rsidP="00F73706">
            <w:pPr>
              <w:spacing w:line="220" w:lineRule="atLeast"/>
              <w:jc w:val="left"/>
              <w:rPr>
                <w:rFonts w:eastAsia="Calibri" w:cs="Arial"/>
                <w:sz w:val="18"/>
                <w:szCs w:val="16"/>
              </w:rPr>
            </w:pPr>
            <w:r>
              <w:rPr>
                <w:sz w:val="18"/>
                <w:szCs w:val="16"/>
              </w:rPr>
              <w:t xml:space="preserve">Befragungen und Fokusgruppen. </w:t>
            </w:r>
          </w:p>
          <w:p w:rsidR="00A45935" w:rsidRPr="00A86A02" w:rsidRDefault="00A45935" w:rsidP="00F73706">
            <w:pPr>
              <w:spacing w:line="220" w:lineRule="atLeast"/>
              <w:jc w:val="left"/>
              <w:rPr>
                <w:rFonts w:eastAsia="Calibri" w:cs="Arial"/>
                <w:sz w:val="18"/>
                <w:szCs w:val="16"/>
              </w:rPr>
            </w:pPr>
          </w:p>
          <w:p w:rsidR="00A45935" w:rsidRPr="00A86A02" w:rsidRDefault="00A45935" w:rsidP="00F73706">
            <w:pPr>
              <w:spacing w:line="220" w:lineRule="atLeast"/>
              <w:jc w:val="left"/>
              <w:rPr>
                <w:rFonts w:eastAsia="Calibri" w:cs="Arial"/>
                <w:sz w:val="18"/>
                <w:szCs w:val="16"/>
              </w:rPr>
            </w:pPr>
          </w:p>
          <w:p w:rsidR="00A45935" w:rsidRPr="00A86A02" w:rsidRDefault="00A45935" w:rsidP="00F73706">
            <w:pPr>
              <w:spacing w:line="220" w:lineRule="atLeast"/>
              <w:jc w:val="left"/>
              <w:rPr>
                <w:rFonts w:eastAsia="Calibri" w:cs="Arial"/>
                <w:sz w:val="18"/>
                <w:szCs w:val="16"/>
              </w:rPr>
            </w:pPr>
          </w:p>
          <w:p w:rsidR="00A45935" w:rsidRPr="00A86A02" w:rsidRDefault="00A45935" w:rsidP="00F73706">
            <w:pPr>
              <w:spacing w:line="220" w:lineRule="atLeast"/>
              <w:jc w:val="left"/>
              <w:rPr>
                <w:rFonts w:eastAsia="Calibri" w:cs="Arial"/>
                <w:sz w:val="18"/>
                <w:szCs w:val="16"/>
              </w:rPr>
            </w:pPr>
          </w:p>
          <w:p w:rsidR="00A45935" w:rsidRPr="00A86A02" w:rsidRDefault="00A45935" w:rsidP="00F73706">
            <w:pPr>
              <w:spacing w:line="220" w:lineRule="atLeast"/>
              <w:jc w:val="left"/>
              <w:rPr>
                <w:rFonts w:eastAsia="Calibri" w:cs="Arial"/>
                <w:sz w:val="18"/>
                <w:szCs w:val="16"/>
              </w:rPr>
            </w:pPr>
          </w:p>
          <w:p w:rsidR="00A45935" w:rsidRPr="00A86A02" w:rsidRDefault="00A45935" w:rsidP="00F73706">
            <w:pPr>
              <w:spacing w:line="220" w:lineRule="atLeast"/>
              <w:jc w:val="left"/>
              <w:rPr>
                <w:rFonts w:eastAsia="Calibri" w:cs="Arial"/>
                <w:sz w:val="18"/>
                <w:szCs w:val="16"/>
              </w:rPr>
            </w:pPr>
          </w:p>
          <w:p w:rsidR="00A45935" w:rsidRPr="00A86A02" w:rsidRDefault="00A45935" w:rsidP="00F73706">
            <w:pPr>
              <w:spacing w:line="220" w:lineRule="atLeast"/>
              <w:jc w:val="left"/>
              <w:rPr>
                <w:rFonts w:eastAsia="Calibri" w:cs="Arial"/>
                <w:sz w:val="18"/>
                <w:szCs w:val="16"/>
              </w:rPr>
            </w:pPr>
          </w:p>
          <w:p w:rsidR="00560E46" w:rsidRPr="00A86A02" w:rsidRDefault="00560E46" w:rsidP="00F73706">
            <w:pPr>
              <w:spacing w:line="220" w:lineRule="atLeast"/>
              <w:jc w:val="left"/>
              <w:rPr>
                <w:rFonts w:eastAsia="Calibri" w:cs="Arial"/>
                <w:sz w:val="18"/>
                <w:szCs w:val="16"/>
              </w:rPr>
            </w:pPr>
          </w:p>
          <w:p w:rsidR="00560E46" w:rsidRPr="00A86A02" w:rsidRDefault="00560E46" w:rsidP="00F73706">
            <w:pPr>
              <w:spacing w:line="220" w:lineRule="atLeast"/>
              <w:jc w:val="left"/>
              <w:rPr>
                <w:rFonts w:eastAsia="Calibri" w:cs="Arial"/>
                <w:sz w:val="18"/>
                <w:szCs w:val="16"/>
              </w:rPr>
            </w:pPr>
          </w:p>
          <w:p w:rsidR="00D837EC" w:rsidRDefault="00D837EC" w:rsidP="00560E46">
            <w:pPr>
              <w:spacing w:line="220" w:lineRule="atLeast"/>
              <w:jc w:val="left"/>
              <w:rPr>
                <w:sz w:val="18"/>
                <w:szCs w:val="16"/>
              </w:rPr>
            </w:pPr>
          </w:p>
          <w:p w:rsidR="00D837EC" w:rsidRDefault="00D837EC" w:rsidP="00560E46">
            <w:pPr>
              <w:spacing w:line="220" w:lineRule="atLeast"/>
              <w:jc w:val="left"/>
              <w:rPr>
                <w:sz w:val="18"/>
                <w:szCs w:val="16"/>
              </w:rPr>
            </w:pPr>
          </w:p>
          <w:p w:rsidR="00A45935" w:rsidRPr="00385368" w:rsidRDefault="00A45935" w:rsidP="00560E46">
            <w:pPr>
              <w:spacing w:line="220" w:lineRule="atLeast"/>
              <w:jc w:val="left"/>
              <w:rPr>
                <w:rFonts w:eastAsia="Calibri" w:cs="Arial"/>
                <w:sz w:val="18"/>
                <w:szCs w:val="16"/>
              </w:rPr>
            </w:pPr>
            <w:r>
              <w:rPr>
                <w:sz w:val="18"/>
                <w:szCs w:val="16"/>
              </w:rPr>
              <w:t>Informationen aus der Analyse sozialer Netzwerke.</w:t>
            </w:r>
          </w:p>
        </w:tc>
      </w:tr>
      <w:tr w:rsidR="00A45935" w:rsidRPr="00E05D08" w:rsidTr="00F73706">
        <w:trPr>
          <w:trHeight w:val="4850"/>
        </w:trPr>
        <w:tc>
          <w:tcPr>
            <w:tcW w:w="2988" w:type="dxa"/>
          </w:tcPr>
          <w:p w:rsidR="00A45935" w:rsidRPr="00385368" w:rsidRDefault="00A45935" w:rsidP="00F73706">
            <w:pPr>
              <w:spacing w:line="220" w:lineRule="atLeast"/>
              <w:jc w:val="left"/>
              <w:rPr>
                <w:rFonts w:cs="Arial"/>
                <w:i/>
                <w:sz w:val="18"/>
                <w:szCs w:val="16"/>
              </w:rPr>
            </w:pPr>
            <w:r>
              <w:rPr>
                <w:i/>
                <w:sz w:val="18"/>
                <w:szCs w:val="16"/>
              </w:rPr>
              <w:lastRenderedPageBreak/>
              <w:t>In welchem Umfang hat das Programm zur Entwicklung des ländlichen Raums Innovation durch die Schaffung eines innovationsfördernden Umfelds gefördert (Pfad 3)?</w:t>
            </w:r>
          </w:p>
        </w:tc>
        <w:tc>
          <w:tcPr>
            <w:tcW w:w="2127" w:type="dxa"/>
          </w:tcPr>
          <w:p w:rsidR="00A45935" w:rsidRPr="00E05D08" w:rsidRDefault="00A45935" w:rsidP="00F73706">
            <w:pPr>
              <w:spacing w:line="220" w:lineRule="atLeast"/>
              <w:jc w:val="left"/>
              <w:rPr>
                <w:rFonts w:eastAsia="Calibri" w:cs="Arial"/>
                <w:i/>
                <w:sz w:val="18"/>
                <w:szCs w:val="16"/>
              </w:rPr>
            </w:pPr>
            <w:r>
              <w:rPr>
                <w:i/>
                <w:sz w:val="18"/>
                <w:szCs w:val="16"/>
              </w:rPr>
              <w:t>Zusätzliches Beurteilungskriterium: Das Programm zur Entwicklung des ländlichen Raums hat Input für Politikbereiche geliefert, mit denen die Veränderungen, zu denen das Programm beigetragen hat, unterstützt werden.</w:t>
            </w:r>
          </w:p>
          <w:p w:rsidR="00A45935" w:rsidRPr="00A86A02"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Zusätzliches Beurteilungskriterium: Das Programm zur Entwicklung des ländlichen Raums hat Möglichkeiten für Schulungen und den Austausch innovativer Verfahrensweisen geschaffen. </w:t>
            </w:r>
          </w:p>
          <w:p w:rsidR="00A45935" w:rsidRPr="00A86A02" w:rsidRDefault="00A45935" w:rsidP="00F73706">
            <w:pPr>
              <w:spacing w:line="220" w:lineRule="atLeast"/>
              <w:jc w:val="left"/>
              <w:rPr>
                <w:rFonts w:eastAsia="Calibri" w:cs="Arial"/>
                <w:i/>
                <w:sz w:val="18"/>
                <w:szCs w:val="16"/>
              </w:rPr>
            </w:pPr>
          </w:p>
          <w:p w:rsidR="00D837EC" w:rsidRDefault="00D837EC" w:rsidP="00F73706">
            <w:pPr>
              <w:spacing w:line="220" w:lineRule="atLeast"/>
              <w:jc w:val="left"/>
              <w:rPr>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Zusätzliches Beurteilungskriterium: Das Programm zur Entwicklung des ländlichen Raums hat Interaktionen zwischen Akteuren (national/grenzüberschreitend) ermöglicht, um Innovationen zu fördern. </w:t>
            </w:r>
          </w:p>
          <w:p w:rsidR="00A45935" w:rsidRPr="00A86A02" w:rsidRDefault="00A45935" w:rsidP="00F73706">
            <w:pPr>
              <w:spacing w:line="220" w:lineRule="atLeast"/>
              <w:jc w:val="left"/>
              <w:rPr>
                <w:rFonts w:eastAsia="Calibri" w:cs="Arial"/>
                <w:i/>
                <w:sz w:val="18"/>
                <w:szCs w:val="16"/>
              </w:rPr>
            </w:pPr>
          </w:p>
          <w:p w:rsidR="00A45935" w:rsidRPr="00385368" w:rsidRDefault="00A45935" w:rsidP="00F73706">
            <w:pPr>
              <w:spacing w:line="220" w:lineRule="atLeast"/>
              <w:jc w:val="left"/>
              <w:rPr>
                <w:rFonts w:cs="Arial"/>
                <w:i/>
                <w:sz w:val="18"/>
                <w:szCs w:val="16"/>
              </w:rPr>
            </w:pPr>
            <w:r>
              <w:rPr>
                <w:i/>
                <w:sz w:val="18"/>
                <w:szCs w:val="16"/>
              </w:rPr>
              <w:t xml:space="preserve">Zusätzliches Beurteilungskriterium: Das Programm zur Entwicklung des ländlichen Raums hat neue Technologien in ländlichen Gebieten gefördert. </w:t>
            </w:r>
          </w:p>
        </w:tc>
        <w:tc>
          <w:tcPr>
            <w:tcW w:w="3302" w:type="dxa"/>
          </w:tcPr>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Zusätzlicher Ergebnisindikator:</w:t>
            </w:r>
            <w:r>
              <w:rPr>
                <w:i/>
                <w:color w:val="57825E"/>
                <w:sz w:val="18"/>
                <w:szCs w:val="16"/>
              </w:rPr>
              <w:t xml:space="preserve"> Zahl und Art der Politikbereiche, die durch das Programm zur Entwicklung des ländlichen Raums auf Ebene der teilnehmenden Organisationen und des weiter gefassten innovationsfördernden Umfelds beeinflusst wurden. </w:t>
            </w:r>
          </w:p>
          <w:p w:rsidR="00A45935" w:rsidRPr="00A86A02" w:rsidRDefault="00A45935" w:rsidP="00F73706">
            <w:pPr>
              <w:spacing w:line="220" w:lineRule="atLeast"/>
              <w:jc w:val="left"/>
              <w:rPr>
                <w:rFonts w:eastAsia="Calibri" w:cs="Arial"/>
                <w:i/>
                <w:color w:val="57825E"/>
                <w:sz w:val="18"/>
                <w:szCs w:val="16"/>
              </w:rPr>
            </w:pPr>
          </w:p>
          <w:p w:rsidR="00D837EC" w:rsidRDefault="00D837EC" w:rsidP="00F73706">
            <w:pPr>
              <w:spacing w:line="220" w:lineRule="atLeast"/>
              <w:jc w:val="left"/>
              <w:rPr>
                <w:i/>
                <w:color w:val="57825E"/>
                <w:sz w:val="18"/>
                <w:szCs w:val="16"/>
                <w:u w:val="single"/>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Zusätzlicher Ergebnisindikator:</w:t>
            </w:r>
            <w:r>
              <w:rPr>
                <w:i/>
                <w:color w:val="57825E"/>
                <w:sz w:val="18"/>
                <w:szCs w:val="16"/>
              </w:rPr>
              <w:t xml:space="preserve"> Zahl der Schulungen und Veranstaltungen, die für den Austausch innovativer Verfahrensweisen organisiert wurden, und ihr Anteil an der Gesamtzahl an Schulungen/Veranstaltungen, die durch das Programm zur Entwicklung des ländlichen Raums unterstützt wurden. </w:t>
            </w:r>
          </w:p>
          <w:p w:rsidR="00A45935" w:rsidRPr="00A86A02"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Zusätzlicher Ergebnisindikator:</w:t>
            </w:r>
            <w:r>
              <w:rPr>
                <w:i/>
                <w:color w:val="57825E"/>
                <w:sz w:val="18"/>
                <w:szCs w:val="16"/>
              </w:rPr>
              <w:t xml:space="preserve"> Zahl der vom Programm zur Entwicklung des ländlichen Raums unterstützten Veranstaltungen, bei denen die Herstellung von Kontakten zwischen Innovationsakteuren im Mittelpunkt stand. </w:t>
            </w:r>
          </w:p>
          <w:p w:rsidR="00A45935" w:rsidRPr="00A86A02" w:rsidRDefault="00A45935" w:rsidP="00F73706">
            <w:pPr>
              <w:spacing w:line="220" w:lineRule="atLeast"/>
              <w:jc w:val="left"/>
              <w:rPr>
                <w:rFonts w:eastAsia="Calibri" w:cs="Arial"/>
                <w:i/>
                <w:color w:val="57825E"/>
                <w:sz w:val="18"/>
                <w:szCs w:val="16"/>
              </w:rPr>
            </w:pPr>
          </w:p>
          <w:p w:rsidR="00A45935" w:rsidRPr="00A86A02" w:rsidRDefault="00A45935" w:rsidP="00F73706">
            <w:pPr>
              <w:spacing w:line="220" w:lineRule="atLeast"/>
              <w:jc w:val="left"/>
              <w:rPr>
                <w:rFonts w:eastAsia="Calibri" w:cs="Arial"/>
                <w:i/>
                <w:color w:val="57825E"/>
                <w:sz w:val="18"/>
                <w:szCs w:val="16"/>
              </w:rPr>
            </w:pPr>
          </w:p>
          <w:p w:rsidR="00560E46" w:rsidRPr="00A86A02" w:rsidRDefault="00560E46"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color w:val="57825E"/>
                <w:sz w:val="18"/>
                <w:szCs w:val="16"/>
              </w:rPr>
            </w:pPr>
            <w:r>
              <w:rPr>
                <w:i/>
                <w:color w:val="57825E"/>
                <w:sz w:val="18"/>
                <w:szCs w:val="16"/>
                <w:u w:val="single"/>
              </w:rPr>
              <w:t>Zusätzlicher Ergebnisindikator:</w:t>
            </w:r>
            <w:r>
              <w:rPr>
                <w:i/>
                <w:color w:val="57825E"/>
                <w:sz w:val="18"/>
                <w:szCs w:val="16"/>
              </w:rPr>
              <w:t xml:space="preserve"> Zahl der vom Programm zur Entwicklung des ländlichen Raums geförderten neuen Technologien in ländlichen Gebieten, aufgeschlüsselt nach Art. </w:t>
            </w:r>
          </w:p>
        </w:tc>
        <w:tc>
          <w:tcPr>
            <w:tcW w:w="2715" w:type="dxa"/>
          </w:tcPr>
          <w:p w:rsidR="00A45935" w:rsidRPr="00385368" w:rsidRDefault="00A45935" w:rsidP="00560E46">
            <w:pPr>
              <w:spacing w:line="220" w:lineRule="atLeast"/>
              <w:jc w:val="left"/>
              <w:rPr>
                <w:rFonts w:eastAsia="Calibri" w:cs="Arial"/>
                <w:sz w:val="18"/>
                <w:szCs w:val="16"/>
              </w:rPr>
            </w:pPr>
            <w:r>
              <w:rPr>
                <w:sz w:val="18"/>
                <w:szCs w:val="16"/>
              </w:rPr>
              <w:t xml:space="preserve">Informationen zu Politikbereichen. </w:t>
            </w:r>
          </w:p>
          <w:p w:rsidR="00A45935" w:rsidRPr="00A86A02" w:rsidRDefault="00A45935" w:rsidP="00560E46">
            <w:pPr>
              <w:spacing w:line="220" w:lineRule="atLeast"/>
              <w:jc w:val="left"/>
              <w:rPr>
                <w:rFonts w:eastAsia="Calibri" w:cs="Arial"/>
                <w:sz w:val="18"/>
                <w:szCs w:val="16"/>
              </w:rPr>
            </w:pPr>
          </w:p>
          <w:p w:rsidR="00A45935" w:rsidRPr="00A86A02" w:rsidRDefault="00A45935" w:rsidP="00560E46">
            <w:pPr>
              <w:spacing w:line="220" w:lineRule="atLeast"/>
              <w:jc w:val="left"/>
              <w:rPr>
                <w:rFonts w:eastAsia="Calibri" w:cs="Arial"/>
                <w:sz w:val="18"/>
                <w:szCs w:val="16"/>
              </w:rPr>
            </w:pPr>
          </w:p>
          <w:p w:rsidR="00560E46" w:rsidRPr="00A86A02" w:rsidRDefault="00560E46" w:rsidP="00560E46">
            <w:pPr>
              <w:spacing w:line="220" w:lineRule="atLeast"/>
              <w:jc w:val="left"/>
              <w:rPr>
                <w:rFonts w:eastAsia="Calibri" w:cs="Arial"/>
                <w:sz w:val="18"/>
                <w:szCs w:val="16"/>
              </w:rPr>
            </w:pPr>
          </w:p>
          <w:p w:rsidR="00560E46" w:rsidRPr="00A86A02" w:rsidRDefault="00560E46" w:rsidP="00560E46">
            <w:pPr>
              <w:spacing w:line="220" w:lineRule="atLeast"/>
              <w:jc w:val="left"/>
              <w:rPr>
                <w:rFonts w:eastAsia="Calibri" w:cs="Arial"/>
                <w:sz w:val="18"/>
                <w:szCs w:val="16"/>
              </w:rPr>
            </w:pPr>
          </w:p>
          <w:p w:rsidR="00560E46" w:rsidRPr="00A86A02" w:rsidRDefault="00560E46" w:rsidP="00560E46">
            <w:pPr>
              <w:spacing w:line="220" w:lineRule="atLeast"/>
              <w:jc w:val="left"/>
              <w:rPr>
                <w:rFonts w:eastAsia="Calibri" w:cs="Arial"/>
                <w:sz w:val="18"/>
                <w:szCs w:val="16"/>
              </w:rPr>
            </w:pPr>
          </w:p>
          <w:p w:rsidR="00D837EC" w:rsidRDefault="00D837EC" w:rsidP="00560E46">
            <w:pPr>
              <w:spacing w:line="220" w:lineRule="atLeast"/>
              <w:jc w:val="left"/>
              <w:rPr>
                <w:sz w:val="18"/>
                <w:szCs w:val="16"/>
              </w:rPr>
            </w:pPr>
          </w:p>
          <w:p w:rsidR="00D837EC" w:rsidRDefault="00D837EC" w:rsidP="00560E46">
            <w:pPr>
              <w:spacing w:line="220" w:lineRule="atLeast"/>
              <w:jc w:val="left"/>
              <w:rPr>
                <w:sz w:val="18"/>
                <w:szCs w:val="16"/>
              </w:rPr>
            </w:pPr>
          </w:p>
          <w:p w:rsidR="00D837EC" w:rsidRDefault="00D837EC" w:rsidP="00560E46">
            <w:pPr>
              <w:spacing w:line="220" w:lineRule="atLeast"/>
              <w:jc w:val="left"/>
              <w:rPr>
                <w:sz w:val="18"/>
                <w:szCs w:val="16"/>
              </w:rPr>
            </w:pPr>
          </w:p>
          <w:p w:rsidR="00A45935" w:rsidRPr="00385368" w:rsidRDefault="00A45935" w:rsidP="00560E46">
            <w:pPr>
              <w:spacing w:line="220" w:lineRule="atLeast"/>
              <w:jc w:val="left"/>
              <w:rPr>
                <w:rFonts w:eastAsia="Calibri" w:cs="Arial"/>
                <w:sz w:val="18"/>
                <w:szCs w:val="16"/>
              </w:rPr>
            </w:pPr>
            <w:r>
              <w:rPr>
                <w:sz w:val="18"/>
                <w:szCs w:val="16"/>
              </w:rPr>
              <w:t>Informationen zu Schulungen und Veranstaltungen.</w:t>
            </w:r>
          </w:p>
          <w:p w:rsidR="00A45935" w:rsidRPr="00A86A02" w:rsidRDefault="00A45935" w:rsidP="00560E46">
            <w:pPr>
              <w:spacing w:line="220" w:lineRule="atLeast"/>
              <w:jc w:val="left"/>
              <w:rPr>
                <w:rFonts w:eastAsia="Calibri" w:cs="Arial"/>
                <w:sz w:val="18"/>
                <w:szCs w:val="16"/>
              </w:rPr>
            </w:pPr>
          </w:p>
          <w:p w:rsidR="00A45935" w:rsidRPr="00A86A02" w:rsidRDefault="00A45935" w:rsidP="00560E46">
            <w:pPr>
              <w:spacing w:line="220" w:lineRule="atLeast"/>
              <w:jc w:val="left"/>
              <w:rPr>
                <w:rFonts w:eastAsia="Calibri" w:cs="Arial"/>
                <w:sz w:val="18"/>
                <w:szCs w:val="16"/>
              </w:rPr>
            </w:pPr>
          </w:p>
          <w:p w:rsidR="00A45935" w:rsidRPr="00A86A02" w:rsidRDefault="00A45935" w:rsidP="00560E46">
            <w:pPr>
              <w:spacing w:line="220" w:lineRule="atLeast"/>
              <w:jc w:val="left"/>
              <w:rPr>
                <w:rFonts w:eastAsia="Calibri" w:cs="Arial"/>
                <w:sz w:val="18"/>
                <w:szCs w:val="16"/>
              </w:rPr>
            </w:pPr>
          </w:p>
          <w:p w:rsidR="00A45935" w:rsidRPr="00A86A02" w:rsidRDefault="00A45935" w:rsidP="00560E46">
            <w:pPr>
              <w:spacing w:line="220" w:lineRule="atLeast"/>
              <w:jc w:val="left"/>
              <w:rPr>
                <w:rFonts w:eastAsia="Calibri" w:cs="Arial"/>
                <w:sz w:val="18"/>
                <w:szCs w:val="16"/>
              </w:rPr>
            </w:pPr>
          </w:p>
          <w:p w:rsidR="00D837EC" w:rsidRDefault="00D837EC" w:rsidP="00560E46">
            <w:pPr>
              <w:spacing w:line="220" w:lineRule="atLeast"/>
              <w:jc w:val="left"/>
              <w:rPr>
                <w:sz w:val="18"/>
                <w:szCs w:val="16"/>
              </w:rPr>
            </w:pPr>
          </w:p>
          <w:p w:rsidR="00D837EC" w:rsidRDefault="00D837EC" w:rsidP="00560E46">
            <w:pPr>
              <w:spacing w:line="220" w:lineRule="atLeast"/>
              <w:jc w:val="left"/>
              <w:rPr>
                <w:sz w:val="18"/>
                <w:szCs w:val="16"/>
              </w:rPr>
            </w:pPr>
          </w:p>
          <w:p w:rsidR="00D837EC" w:rsidRDefault="00D837EC" w:rsidP="00560E46">
            <w:pPr>
              <w:spacing w:line="220" w:lineRule="atLeast"/>
              <w:jc w:val="left"/>
              <w:rPr>
                <w:sz w:val="18"/>
                <w:szCs w:val="16"/>
              </w:rPr>
            </w:pPr>
          </w:p>
          <w:p w:rsidR="00D837EC" w:rsidRDefault="00D837EC" w:rsidP="00560E46">
            <w:pPr>
              <w:spacing w:line="220" w:lineRule="atLeast"/>
              <w:jc w:val="left"/>
              <w:rPr>
                <w:sz w:val="18"/>
                <w:szCs w:val="16"/>
              </w:rPr>
            </w:pPr>
          </w:p>
          <w:p w:rsidR="00A45935" w:rsidRPr="00E05D08" w:rsidRDefault="00A45935" w:rsidP="00560E46">
            <w:pPr>
              <w:spacing w:line="220" w:lineRule="atLeast"/>
              <w:jc w:val="left"/>
              <w:rPr>
                <w:rFonts w:eastAsia="Calibri" w:cs="Arial"/>
                <w:sz w:val="18"/>
                <w:szCs w:val="16"/>
              </w:rPr>
            </w:pPr>
            <w:r>
              <w:rPr>
                <w:sz w:val="18"/>
                <w:szCs w:val="16"/>
              </w:rPr>
              <w:t xml:space="preserve">Informationen zu neuen Technologien. </w:t>
            </w:r>
          </w:p>
        </w:tc>
        <w:tc>
          <w:tcPr>
            <w:tcW w:w="2715" w:type="dxa"/>
          </w:tcPr>
          <w:p w:rsidR="00A45935" w:rsidRPr="00385368" w:rsidRDefault="00A45935" w:rsidP="00560E46">
            <w:pPr>
              <w:spacing w:line="220" w:lineRule="atLeast"/>
              <w:jc w:val="left"/>
              <w:rPr>
                <w:rFonts w:eastAsia="Calibri" w:cs="Arial"/>
                <w:sz w:val="18"/>
                <w:szCs w:val="16"/>
              </w:rPr>
            </w:pPr>
            <w:r>
              <w:rPr>
                <w:sz w:val="18"/>
                <w:szCs w:val="16"/>
              </w:rPr>
              <w:t xml:space="preserve">Befragungen und Fokusgruppen (z. B. Outcome Harvesting). </w:t>
            </w:r>
          </w:p>
          <w:p w:rsidR="00A45935" w:rsidRPr="00A86A02" w:rsidRDefault="00A45935" w:rsidP="00560E46">
            <w:pPr>
              <w:spacing w:line="220" w:lineRule="atLeast"/>
              <w:jc w:val="left"/>
              <w:rPr>
                <w:rFonts w:eastAsia="Calibri" w:cs="Arial"/>
                <w:sz w:val="18"/>
                <w:szCs w:val="18"/>
              </w:rPr>
            </w:pPr>
          </w:p>
          <w:p w:rsidR="00A45935" w:rsidRPr="00A86A02" w:rsidRDefault="00A45935" w:rsidP="00560E46">
            <w:pPr>
              <w:spacing w:line="220" w:lineRule="atLeast"/>
              <w:jc w:val="left"/>
              <w:rPr>
                <w:rFonts w:eastAsia="Calibri" w:cs="Arial"/>
                <w:sz w:val="18"/>
                <w:szCs w:val="18"/>
              </w:rPr>
            </w:pPr>
          </w:p>
          <w:p w:rsidR="00560E46" w:rsidRPr="00A86A02" w:rsidRDefault="00560E46" w:rsidP="00560E46">
            <w:pPr>
              <w:spacing w:line="220" w:lineRule="atLeast"/>
              <w:jc w:val="left"/>
              <w:rPr>
                <w:rFonts w:eastAsia="Calibri" w:cs="Arial"/>
                <w:sz w:val="18"/>
                <w:szCs w:val="18"/>
              </w:rPr>
            </w:pPr>
          </w:p>
          <w:p w:rsidR="00560E46" w:rsidRPr="00A86A02" w:rsidRDefault="00560E46" w:rsidP="00560E46">
            <w:pPr>
              <w:spacing w:line="220" w:lineRule="atLeast"/>
              <w:jc w:val="left"/>
              <w:rPr>
                <w:rFonts w:eastAsia="Calibri" w:cs="Arial"/>
                <w:sz w:val="18"/>
                <w:szCs w:val="18"/>
              </w:rPr>
            </w:pPr>
          </w:p>
          <w:p w:rsidR="00D837EC" w:rsidRDefault="00D837EC" w:rsidP="00560E46">
            <w:pPr>
              <w:spacing w:line="220" w:lineRule="atLeast"/>
              <w:jc w:val="left"/>
              <w:rPr>
                <w:sz w:val="18"/>
                <w:szCs w:val="18"/>
              </w:rPr>
            </w:pPr>
          </w:p>
          <w:p w:rsidR="00D837EC" w:rsidRDefault="00D837EC" w:rsidP="00560E46">
            <w:pPr>
              <w:spacing w:line="220" w:lineRule="atLeast"/>
              <w:jc w:val="left"/>
              <w:rPr>
                <w:sz w:val="18"/>
                <w:szCs w:val="18"/>
              </w:rPr>
            </w:pPr>
          </w:p>
          <w:p w:rsidR="00D837EC" w:rsidRDefault="00D837EC" w:rsidP="00560E46">
            <w:pPr>
              <w:spacing w:line="220" w:lineRule="atLeast"/>
              <w:jc w:val="left"/>
              <w:rPr>
                <w:sz w:val="18"/>
                <w:szCs w:val="18"/>
              </w:rPr>
            </w:pPr>
          </w:p>
          <w:p w:rsidR="00A45935" w:rsidRPr="00E05D08" w:rsidRDefault="00A45935" w:rsidP="00560E46">
            <w:pPr>
              <w:spacing w:line="220" w:lineRule="atLeast"/>
              <w:jc w:val="left"/>
              <w:rPr>
                <w:rFonts w:eastAsia="Calibri" w:cs="Arial"/>
                <w:sz w:val="18"/>
                <w:szCs w:val="18"/>
              </w:rPr>
            </w:pPr>
            <w:r>
              <w:rPr>
                <w:sz w:val="18"/>
                <w:szCs w:val="18"/>
              </w:rPr>
              <w:t>System zur Begleitung von Programmen zur Entwicklung des ländlichen Raums.</w:t>
            </w:r>
          </w:p>
        </w:tc>
      </w:tr>
    </w:tbl>
    <w:p w:rsidR="00A45935" w:rsidRPr="00E05D08" w:rsidRDefault="00A45935" w:rsidP="00E05D08">
      <w:pPr>
        <w:spacing w:before="240" w:after="120" w:line="280" w:lineRule="atLeast"/>
        <w:ind w:left="720"/>
        <w:mirrorIndents/>
        <w:rPr>
          <w:rFonts w:eastAsia="Times New Roman" w:cs="Arial"/>
          <w:b/>
          <w:szCs w:val="18"/>
          <w:lang w:eastAsia="de-DE"/>
        </w:rPr>
      </w:pPr>
    </w:p>
    <w:p w:rsidR="00A45935" w:rsidRPr="00E05D08" w:rsidRDefault="00A45935" w:rsidP="008C0B17">
      <w:pPr>
        <w:numPr>
          <w:ilvl w:val="0"/>
          <w:numId w:val="46"/>
        </w:numPr>
        <w:spacing w:before="240" w:after="120" w:line="280" w:lineRule="atLeast"/>
        <w:rPr>
          <w:rFonts w:eastAsia="Times New Roman" w:cs="Arial"/>
          <w:b/>
          <w:szCs w:val="18"/>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435"/>
        </w:sectPr>
      </w:pPr>
    </w:p>
    <w:p w:rsidR="00A45935" w:rsidRPr="00E05D08" w:rsidRDefault="00A45935" w:rsidP="008C0B17">
      <w:pPr>
        <w:numPr>
          <w:ilvl w:val="0"/>
          <w:numId w:val="62"/>
        </w:numPr>
        <w:spacing w:before="120" w:after="120" w:line="280" w:lineRule="atLeast"/>
        <w:ind w:left="709" w:hanging="709"/>
        <w:mirrorIndents/>
        <w:rPr>
          <w:rFonts w:eastAsia="Times New Roman" w:cs="Times New Roman"/>
          <w:b/>
          <w:szCs w:val="20"/>
        </w:rPr>
      </w:pPr>
      <w:r>
        <w:rPr>
          <w:b/>
          <w:szCs w:val="20"/>
        </w:rPr>
        <w:lastRenderedPageBreak/>
        <w:t>Empfohlene Bewertungsmethode</w:t>
      </w:r>
    </w:p>
    <w:p w:rsidR="00A45935" w:rsidRPr="00E05D08" w:rsidRDefault="00A45935" w:rsidP="00E05D08">
      <w:pPr>
        <w:spacing w:after="120" w:line="280" w:lineRule="atLeast"/>
        <w:mirrorIndents/>
        <w:rPr>
          <w:rFonts w:eastAsia="Times New Roman" w:cs="Arial"/>
          <w:szCs w:val="20"/>
        </w:rPr>
      </w:pPr>
      <w:r>
        <w:t xml:space="preserve">Für die Beantwortung der CEQ Nr. 30 wird die </w:t>
      </w:r>
      <w:r>
        <w:rPr>
          <w:b/>
          <w:szCs w:val="20"/>
        </w:rPr>
        <w:t>Fallstudienmethode</w:t>
      </w:r>
      <w:r>
        <w:t xml:space="preserve"> vorgeschlagen. Den Bewertern wird empfohlen, bei der Bewertung die folgenden Schritte durchzuführen:</w:t>
      </w:r>
    </w:p>
    <w:p w:rsidR="00A45935" w:rsidRDefault="00A45935" w:rsidP="000026C6">
      <w:pPr>
        <w:pStyle w:val="Hlistbullet"/>
      </w:pPr>
      <w:r>
        <w:rPr>
          <w:b/>
        </w:rPr>
        <w:t>SCHRITT 1 – Bestimmung der bedeutenden Veränderung(en), zu der/denen das Programm zur Entwicklung des ländlichen Raums tatsächlich beigetragen hat, indem es über einen oder mehrere der drei Pfade Innovation gefördert hat.</w:t>
      </w:r>
      <w:r>
        <w:t xml:space="preserve"> Dafür können die Antworten auf CEQ Nr. 22 und 29 herangezogen werden (CEQ zu Europa 2020 und den Gesamtzielen der GAP), Mitarbeiterbefragungen durchgeführt oder die Projektunterlagen geprüft werden. Beispielsweise könnte es heißen, dass das Programm zur Entwicklung des ländlichen Raums zu einer bedeutenden Veränderung der Rentabilität von landwirtschaftlichen Betrieben beigetragen hat, indem eine neue Landwirtschaftsmaschine entwickelt wurde, die anschließend weite Verbreitung gefunden hat und von vielen Landwirten verwendet wurde. Bei der Suche nach bedeutenden Veränderungen sollten Prognosen zur Wahrscheinlichkeit der Verbreitung berücksichtigt werden, die im Zuge der Ermittlung des Innovationspotenzials zu Beginn des Programms erstellt wurden.</w:t>
      </w:r>
    </w:p>
    <w:p w:rsidR="00320AA0" w:rsidRPr="00F74623" w:rsidRDefault="00320AA0" w:rsidP="00320AA0">
      <w:pPr>
        <w:pStyle w:val="Hlistbullet"/>
        <w:numPr>
          <w:ilvl w:val="0"/>
          <w:numId w:val="0"/>
        </w:numPr>
        <w:ind w:left="567"/>
      </w:pPr>
      <w:r w:rsidRPr="00E05D08">
        <w:rPr>
          <w:noProof/>
          <w:sz w:val="18"/>
          <w:lang w:val="en-GB" w:eastAsia="en-GB"/>
        </w:rPr>
        <mc:AlternateContent>
          <mc:Choice Requires="wps">
            <w:drawing>
              <wp:inline distT="0" distB="0" distL="0" distR="0" wp14:anchorId="69E1D7D0" wp14:editId="18212892">
                <wp:extent cx="5374005" cy="3914775"/>
                <wp:effectExtent l="0" t="0" r="17145" b="28575"/>
                <wp:docPr id="719" name="Rectangle: Diagonal Corners Rounded 719"/>
                <wp:cNvGraphicFramePr/>
                <a:graphic xmlns:a="http://schemas.openxmlformats.org/drawingml/2006/main">
                  <a:graphicData uri="http://schemas.microsoft.com/office/word/2010/wordprocessingShape">
                    <wps:wsp>
                      <wps:cNvSpPr/>
                      <wps:spPr>
                        <a:xfrm>
                          <a:off x="0" y="0"/>
                          <a:ext cx="5374005" cy="3914775"/>
                        </a:xfrm>
                        <a:prstGeom prst="round2DiagRect">
                          <a:avLst>
                            <a:gd name="adj1" fmla="val 3961"/>
                            <a:gd name="adj2" fmla="val 0"/>
                          </a:avLst>
                        </a:prstGeom>
                        <a:noFill/>
                        <a:ln w="25400" cap="flat" cmpd="sng" algn="ctr">
                          <a:solidFill>
                            <a:srgbClr val="F07E31"/>
                          </a:solidFill>
                          <a:prstDash val="solid"/>
                        </a:ln>
                        <a:effectLst/>
                      </wps:spPr>
                      <wps:txbx>
                        <w:txbxContent>
                          <w:p w:rsidR="00533F8C" w:rsidRPr="00253803" w:rsidRDefault="00533F8C" w:rsidP="00320AA0">
                            <w:pPr>
                              <w:ind w:left="567" w:hanging="567"/>
                              <w:rPr>
                                <w:rFonts w:cs="Arial"/>
                                <w:color w:val="F07E31"/>
                                <w:sz w:val="18"/>
                                <w:szCs w:val="18"/>
                              </w:rPr>
                            </w:pPr>
                            <w:r w:rsidRPr="000041C9">
                              <w:rPr>
                                <w:noProof/>
                                <w:szCs w:val="18"/>
                                <w:lang w:val="en-GB" w:eastAsia="en-GB"/>
                              </w:rPr>
                              <w:drawing>
                                <wp:inline distT="0" distB="0" distL="0" distR="0" wp14:anchorId="7994950A" wp14:editId="54269E36">
                                  <wp:extent cx="353060" cy="359410"/>
                                  <wp:effectExtent l="0" t="0" r="8890" b="2540"/>
                                  <wp:docPr id="7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Ein thematisches Netzwerk zu Landbewirtschaftung mit hohem Naturwert.</w:t>
                            </w:r>
                          </w:p>
                          <w:p w:rsidR="00533F8C" w:rsidRPr="00253803" w:rsidRDefault="00533F8C" w:rsidP="00320AA0">
                            <w:pPr>
                              <w:spacing w:line="280" w:lineRule="atLeast"/>
                              <w:rPr>
                                <w:rFonts w:cs="Arial"/>
                                <w:sz w:val="18"/>
                                <w:szCs w:val="18"/>
                              </w:rPr>
                            </w:pPr>
                            <w:r>
                              <w:rPr>
                                <w:sz w:val="18"/>
                                <w:szCs w:val="18"/>
                              </w:rPr>
                              <w:t xml:space="preserve">Im Rahmen des unter Horizont 2020 laufenden Forschungsprojekts </w:t>
                            </w:r>
                            <w:hyperlink r:id="rId100" w:history="1">
                              <w:r>
                                <w:rPr>
                                  <w:rStyle w:val="Hyperlink"/>
                                  <w:sz w:val="18"/>
                                  <w:szCs w:val="18"/>
                                </w:rPr>
                                <w:t>HNV-Link</w:t>
                              </w:r>
                            </w:hyperlink>
                            <w:r>
                              <w:rPr>
                                <w:sz w:val="18"/>
                                <w:szCs w:val="18"/>
                              </w:rPr>
                              <w:t xml:space="preserve"> wurde von einer Forschergruppe ein Bewertungsrahmen entwickelt, mit dem für Landwirtschaftsflächen mit hohem Naturwert (HNV, en: High Nature Value) die Ausgangslage analysiert werden kann, auf die Innovation einen potenziellen Einfluss hat. Diese Ausgangsbewertung umfasst die Analyse verschiedener Merkmale im Zusammenhang mit folgenden Aspekten: </w:t>
                            </w:r>
                          </w:p>
                          <w:p w:rsidR="00533F8C" w:rsidRPr="00253803" w:rsidRDefault="00533F8C" w:rsidP="00320AA0">
                            <w:pPr>
                              <w:numPr>
                                <w:ilvl w:val="0"/>
                                <w:numId w:val="63"/>
                              </w:numPr>
                              <w:ind w:left="567" w:hanging="567"/>
                              <w:contextualSpacing/>
                              <w:rPr>
                                <w:rFonts w:cs="Arial"/>
                                <w:sz w:val="18"/>
                                <w:szCs w:val="18"/>
                              </w:rPr>
                            </w:pPr>
                            <w:r>
                              <w:rPr>
                                <w:sz w:val="18"/>
                                <w:szCs w:val="18"/>
                              </w:rPr>
                              <w:t>Agrarökosystem (Boden-, Klima- und Reliefbedingungen);</w:t>
                            </w:r>
                          </w:p>
                          <w:p w:rsidR="00533F8C" w:rsidRPr="00253803" w:rsidRDefault="00533F8C" w:rsidP="00320AA0">
                            <w:pPr>
                              <w:numPr>
                                <w:ilvl w:val="0"/>
                                <w:numId w:val="63"/>
                              </w:numPr>
                              <w:ind w:left="567" w:hanging="567"/>
                              <w:contextualSpacing/>
                              <w:rPr>
                                <w:rFonts w:cs="Arial"/>
                                <w:sz w:val="18"/>
                                <w:szCs w:val="18"/>
                              </w:rPr>
                            </w:pPr>
                            <w:r>
                              <w:rPr>
                                <w:sz w:val="18"/>
                                <w:szCs w:val="18"/>
                              </w:rPr>
                              <w:t>Bewirtschaftungssysteme und ihre Dynamik in Agrarsystemen;</w:t>
                            </w:r>
                          </w:p>
                          <w:p w:rsidR="00533F8C" w:rsidRPr="00253803" w:rsidRDefault="00533F8C" w:rsidP="00320AA0">
                            <w:pPr>
                              <w:numPr>
                                <w:ilvl w:val="0"/>
                                <w:numId w:val="63"/>
                              </w:numPr>
                              <w:ind w:left="567" w:hanging="567"/>
                              <w:contextualSpacing/>
                              <w:rPr>
                                <w:rFonts w:cs="Arial"/>
                                <w:sz w:val="18"/>
                                <w:szCs w:val="18"/>
                              </w:rPr>
                            </w:pPr>
                            <w:r>
                              <w:rPr>
                                <w:sz w:val="18"/>
                                <w:szCs w:val="18"/>
                              </w:rPr>
                              <w:t xml:space="preserve">das ländliche Umfeld und weiter gefasste Triebkräfte (politische Strategien, Technologien, gesellschaftliche Veränderungen); </w:t>
                            </w:r>
                          </w:p>
                          <w:p w:rsidR="00533F8C" w:rsidRPr="00253803" w:rsidRDefault="00533F8C" w:rsidP="00320AA0">
                            <w:pPr>
                              <w:numPr>
                                <w:ilvl w:val="0"/>
                                <w:numId w:val="63"/>
                              </w:numPr>
                              <w:ind w:left="567" w:hanging="567"/>
                              <w:contextualSpacing/>
                              <w:rPr>
                                <w:rFonts w:cs="Arial"/>
                                <w:sz w:val="18"/>
                                <w:szCs w:val="18"/>
                              </w:rPr>
                            </w:pPr>
                            <w:r>
                              <w:rPr>
                                <w:sz w:val="18"/>
                                <w:szCs w:val="18"/>
                              </w:rPr>
                              <w:t>bereichsübergreifende Aspekte (Akteure und soziale Struktur).</w:t>
                            </w:r>
                          </w:p>
                          <w:p w:rsidR="00533F8C" w:rsidRPr="000E5745" w:rsidRDefault="00533F8C" w:rsidP="00320AA0">
                            <w:pPr>
                              <w:pStyle w:val="Hlistbullet"/>
                              <w:numPr>
                                <w:ilvl w:val="0"/>
                                <w:numId w:val="0"/>
                              </w:numPr>
                              <w:rPr>
                                <w:sz w:val="18"/>
                                <w:szCs w:val="18"/>
                              </w:rPr>
                            </w:pPr>
                            <w:r>
                              <w:rPr>
                                <w:sz w:val="18"/>
                                <w:szCs w:val="18"/>
                              </w:rPr>
                              <w:t xml:space="preserve">Zur Entwicklung einer Ausgangssituation wurden unterschiedliche Methoden miteinander kombiniert: 1) Bewertung des Agrarökosystems, 2) Analyse des Agrar- und Bewirtschaftungssystems, 3.) Analyse des ländlichen Raums, 4) Analyse der Akteure. Die Methodik unterstützt die Entwicklung einer kontrafaktischen Situation, sodass der Innovationsprozess und auch die Wirkungen von Innovationen, die in Gebieten mit hohem Naturwert stattfinden, bewertet werden können. Ein Beispiel für die Anwendung dieser Methodik ist abrufbar unter: </w:t>
                            </w:r>
                            <w:hyperlink r:id="rId101" w:history="1">
                              <w:r>
                                <w:rPr>
                                  <w:rStyle w:val="Hyperlink"/>
                                  <w:sz w:val="18"/>
                                  <w:szCs w:val="18"/>
                                </w:rPr>
                                <w:t>http://www.hnvlink.eu/download/D1.3BAcomplete.pdf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E1D7D0" id="Rectangle: Diagonal Corners Rounded 719" o:spid="_x0000_s1055" style="width:423.15pt;height:308.25pt;visibility:visible;mso-wrap-style:square;mso-left-percent:-10001;mso-top-percent:-10001;mso-position-horizontal:absolute;mso-position-horizontal-relative:char;mso-position-vertical:absolute;mso-position-vertical-relative:line;mso-left-percent:-10001;mso-top-percent:-10001;v-text-anchor:middle" coordsize="5374005,3914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" adj="-11796480,,5400" path="m155064,l5374005,r,l5374005,3759711v,85639,-69425,155064,-155064,155064l,3914775r,l,155064c,69425,69425,,155064,xe" filled="f" strokecolor="#f07e31" strokeweight="2pt">
                <v:stroke joinstyle="miter"/>
                <v:formulas/>
                <v:path arrowok="t" o:connecttype="custom" o:connectlocs="155064,0;5374005,0;5374005,0;5374005,3759711;5218941,3914775;0,3914775;0,3914775;0,155064;155064,0" o:connectangles="0,0,0,0,0,0,0,0,0" textboxrect="0,0,5374005,3914775"/>
                <v:textbox>
                  <w:txbxContent>
                    <w:p w:rsidR="00533F8C" w:rsidRPr="00253803" w:rsidRDefault="00533F8C" w:rsidP="00320AA0">
                      <w:pPr>
                        <w:ind w:left="567" w:hanging="567"/>
                        <w:rPr>
                          <w:rFonts w:cs="Arial"/>
                          <w:color w:val="F07E31"/>
                          <w:sz w:val="18"/>
                          <w:szCs w:val="18"/>
                        </w:rPr>
                      </w:pPr>
                      <w:r w:rsidRPr="000041C9">
                        <w:rPr>
                          <w:noProof/>
                          <w:szCs w:val="18"/>
                          <w:lang w:val="en-GB" w:eastAsia="en-GB"/>
                        </w:rPr>
                        <w:drawing>
                          <wp:inline distT="0" distB="0" distL="0" distR="0" wp14:anchorId="7994950A" wp14:editId="54269E36">
                            <wp:extent cx="353060" cy="359410"/>
                            <wp:effectExtent l="0" t="0" r="8890" b="2540"/>
                            <wp:docPr id="7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Ein thematisches Netzwerk zu Landbewirtschaftung mit hohem Naturwert.</w:t>
                      </w:r>
                    </w:p>
                    <w:p w:rsidR="00533F8C" w:rsidRPr="00253803" w:rsidRDefault="00533F8C" w:rsidP="00320AA0">
                      <w:pPr>
                        <w:spacing w:line="280" w:lineRule="atLeast"/>
                        <w:rPr>
                          <w:rFonts w:cs="Arial"/>
                          <w:sz w:val="18"/>
                          <w:szCs w:val="18"/>
                        </w:rPr>
                      </w:pPr>
                      <w:r>
                        <w:rPr>
                          <w:sz w:val="18"/>
                          <w:szCs w:val="18"/>
                        </w:rPr>
                        <w:t xml:space="preserve">Im Rahmen des unter Horizont 2020 laufenden Forschungsprojekts </w:t>
                      </w:r>
                      <w:hyperlink r:id="rId102" w:history="1">
                        <w:r>
                          <w:rPr>
                            <w:rStyle w:val="Hyperlink"/>
                            <w:sz w:val="18"/>
                            <w:szCs w:val="18"/>
                          </w:rPr>
                          <w:t>HNV-Link</w:t>
                        </w:r>
                      </w:hyperlink>
                      <w:r>
                        <w:rPr>
                          <w:sz w:val="18"/>
                          <w:szCs w:val="18"/>
                        </w:rPr>
                        <w:t xml:space="preserve"> wurde von einer Forschergruppe ein Bewertungsrahmen entwickelt, mit dem für Landwirtschaftsflächen mit hohem Naturwert (HNV, en: High Nature Value) die Ausgangslage analysiert werden kann, auf die Innovation einen potenziellen Einfluss hat. Diese Ausgangsbewertung umfasst die Analyse verschiedener Merkmale im Zusammenhang mit folgenden Aspekten: </w:t>
                      </w:r>
                    </w:p>
                    <w:p w:rsidR="00533F8C" w:rsidRPr="00253803" w:rsidRDefault="00533F8C" w:rsidP="00320AA0">
                      <w:pPr>
                        <w:numPr>
                          <w:ilvl w:val="0"/>
                          <w:numId w:val="63"/>
                        </w:numPr>
                        <w:ind w:left="567" w:hanging="567"/>
                        <w:contextualSpacing/>
                        <w:rPr>
                          <w:rFonts w:cs="Arial"/>
                          <w:sz w:val="18"/>
                          <w:szCs w:val="18"/>
                        </w:rPr>
                      </w:pPr>
                      <w:r>
                        <w:rPr>
                          <w:sz w:val="18"/>
                          <w:szCs w:val="18"/>
                        </w:rPr>
                        <w:t>Agrarökosystem (Boden-, Klima- und Reliefbedingungen);</w:t>
                      </w:r>
                    </w:p>
                    <w:p w:rsidR="00533F8C" w:rsidRPr="00253803" w:rsidRDefault="00533F8C" w:rsidP="00320AA0">
                      <w:pPr>
                        <w:numPr>
                          <w:ilvl w:val="0"/>
                          <w:numId w:val="63"/>
                        </w:numPr>
                        <w:ind w:left="567" w:hanging="567"/>
                        <w:contextualSpacing/>
                        <w:rPr>
                          <w:rFonts w:cs="Arial"/>
                          <w:sz w:val="18"/>
                          <w:szCs w:val="18"/>
                        </w:rPr>
                      </w:pPr>
                      <w:r>
                        <w:rPr>
                          <w:sz w:val="18"/>
                          <w:szCs w:val="18"/>
                        </w:rPr>
                        <w:t>Bewirtschaftungssysteme und ihre Dynamik in Agrarsystemen;</w:t>
                      </w:r>
                    </w:p>
                    <w:p w:rsidR="00533F8C" w:rsidRPr="00253803" w:rsidRDefault="00533F8C" w:rsidP="00320AA0">
                      <w:pPr>
                        <w:numPr>
                          <w:ilvl w:val="0"/>
                          <w:numId w:val="63"/>
                        </w:numPr>
                        <w:ind w:left="567" w:hanging="567"/>
                        <w:contextualSpacing/>
                        <w:rPr>
                          <w:rFonts w:cs="Arial"/>
                          <w:sz w:val="18"/>
                          <w:szCs w:val="18"/>
                        </w:rPr>
                      </w:pPr>
                      <w:r>
                        <w:rPr>
                          <w:sz w:val="18"/>
                          <w:szCs w:val="18"/>
                        </w:rPr>
                        <w:t xml:space="preserve">das ländliche Umfeld und weiter gefasste Triebkräfte (politische Strategien, Technologien, gesellschaftliche Veränderungen); </w:t>
                      </w:r>
                    </w:p>
                    <w:p w:rsidR="00533F8C" w:rsidRPr="00253803" w:rsidRDefault="00533F8C" w:rsidP="00320AA0">
                      <w:pPr>
                        <w:numPr>
                          <w:ilvl w:val="0"/>
                          <w:numId w:val="63"/>
                        </w:numPr>
                        <w:ind w:left="567" w:hanging="567"/>
                        <w:contextualSpacing/>
                        <w:rPr>
                          <w:rFonts w:cs="Arial"/>
                          <w:sz w:val="18"/>
                          <w:szCs w:val="18"/>
                        </w:rPr>
                      </w:pPr>
                      <w:r>
                        <w:rPr>
                          <w:sz w:val="18"/>
                          <w:szCs w:val="18"/>
                        </w:rPr>
                        <w:t>bereichsübergreifende Aspekte (Akteure und soziale Struktur).</w:t>
                      </w:r>
                    </w:p>
                    <w:p w:rsidR="00533F8C" w:rsidRPr="000E5745" w:rsidRDefault="00533F8C" w:rsidP="00320AA0">
                      <w:pPr>
                        <w:pStyle w:val="Hlistbullet"/>
                        <w:numPr>
                          <w:ilvl w:val="0"/>
                          <w:numId w:val="0"/>
                        </w:numPr>
                        <w:rPr>
                          <w:sz w:val="18"/>
                          <w:szCs w:val="18"/>
                        </w:rPr>
                      </w:pPr>
                      <w:r>
                        <w:rPr>
                          <w:sz w:val="18"/>
                          <w:szCs w:val="18"/>
                        </w:rPr>
                        <w:t xml:space="preserve">Zur Entwicklung einer Ausgangssituation wurden unterschiedliche Methoden miteinander kombiniert: 1) Bewertung des Agrarökosystems, 2) Analyse des Agrar- und Bewirtschaftungssystems, 3.) Analyse des ländlichen Raums, 4) Analyse der Akteure. Die Methodik unterstützt die Entwicklung einer kontrafaktischen Situation, sodass der Innovationsprozess und auch die Wirkungen von Innovationen, die in Gebieten mit hohem Naturwert stattfinden, bewertet werden können. Ein Beispiel für die Anwendung dieser Methodik ist abrufbar unter: </w:t>
                      </w:r>
                      <w:hyperlink r:id="rId103" w:history="1">
                        <w:r>
                          <w:rPr>
                            <w:rStyle w:val="Hyperlink"/>
                            <w:sz w:val="18"/>
                            <w:szCs w:val="18"/>
                          </w:rPr>
                          <w:t>http://www.hnvlink.eu/download/D1.3BAcomplete.pdf</w:t>
                        </w:r>
                      </w:hyperlink>
                    </w:p>
                  </w:txbxContent>
                </v:textbox>
                <w10:anchorlock/>
              </v:shape>
            </w:pict>
          </mc:Fallback>
        </mc:AlternateContent>
      </w:r>
    </w:p>
    <w:p w:rsidR="00A45935" w:rsidRPr="00F74623" w:rsidRDefault="00A45935" w:rsidP="000026C6">
      <w:pPr>
        <w:pStyle w:val="Hlistbullet"/>
      </w:pPr>
      <w:r>
        <w:rPr>
          <w:b/>
        </w:rPr>
        <w:t>SCHRITT 2 – Erfassung von Informationen über die Leistungen des Programms zur Entwicklung des ländlichen Raums vor dem Hintergrund der Beurteilungskriterien und Indikatoren</w:t>
      </w:r>
      <w:r>
        <w:t xml:space="preserve"> (wie in Tabelle 9 mit den Bewertungselementen vorgeschlagen), bezogen auf die drei Teilfragen dazu, in welchem Umfang sich das Programm auf die drei Pfade ausgewirkt hat. </w:t>
      </w:r>
    </w:p>
    <w:p w:rsidR="00A45935" w:rsidRPr="00717885" w:rsidRDefault="00037CA6" w:rsidP="000026C6">
      <w:pPr>
        <w:pStyle w:val="Hlistbullet2"/>
      </w:pPr>
      <w:r w:rsidRPr="00E05D08">
        <w:rPr>
          <w:noProof/>
          <w:highlight w:val="yellow"/>
          <w:lang w:val="en-GB" w:eastAsia="en-GB"/>
        </w:rPr>
        <w:lastRenderedPageBreak/>
        <mc:AlternateContent>
          <mc:Choice Requires="wps">
            <w:drawing>
              <wp:anchor distT="0" distB="0" distL="114300" distR="114300" simplePos="0" relativeHeight="251726848" behindDoc="0" locked="0" layoutInCell="1" allowOverlap="1" wp14:anchorId="4B1E32FE" wp14:editId="60971ED3">
                <wp:simplePos x="0" y="0"/>
                <wp:positionH relativeFrom="column">
                  <wp:posOffset>352425</wp:posOffset>
                </wp:positionH>
                <wp:positionV relativeFrom="paragraph">
                  <wp:posOffset>1181100</wp:posOffset>
                </wp:positionV>
                <wp:extent cx="5414645" cy="2905125"/>
                <wp:effectExtent l="0" t="0" r="14605" b="28575"/>
                <wp:wrapSquare wrapText="bothSides"/>
                <wp:docPr id="562" name="Rectangle: Diagonal Corners Rounded 562"/>
                <wp:cNvGraphicFramePr/>
                <a:graphic xmlns:a="http://schemas.openxmlformats.org/drawingml/2006/main">
                  <a:graphicData uri="http://schemas.microsoft.com/office/word/2010/wordprocessingShape">
                    <wps:wsp>
                      <wps:cNvSpPr/>
                      <wps:spPr>
                        <a:xfrm>
                          <a:off x="0" y="0"/>
                          <a:ext cx="5414645" cy="2905125"/>
                        </a:xfrm>
                        <a:prstGeom prst="round2DiagRect">
                          <a:avLst>
                            <a:gd name="adj1" fmla="val 7843"/>
                            <a:gd name="adj2" fmla="val 0"/>
                          </a:avLst>
                        </a:prstGeom>
                        <a:noFill/>
                        <a:ln w="25400" cap="flat" cmpd="sng" algn="ctr">
                          <a:solidFill>
                            <a:srgbClr val="BE4A35"/>
                          </a:solidFill>
                          <a:prstDash val="solid"/>
                        </a:ln>
                        <a:effectLst/>
                      </wps:spPr>
                      <wps:txbx>
                        <w:txbxContent>
                          <w:p w:rsidR="00533F8C" w:rsidRPr="003D7EC4" w:rsidRDefault="00533F8C" w:rsidP="00E05D08">
                            <w:pPr>
                              <w:pStyle w:val="HStandard"/>
                              <w:rPr>
                                <w:rFonts w:cs="Arial"/>
                                <w:sz w:val="18"/>
                              </w:rPr>
                            </w:pPr>
                            <w:r>
                              <w:rPr>
                                <w:noProof/>
                                <w:lang w:val="en-GB" w:eastAsia="en-GB"/>
                              </w:rPr>
                              <w:drawing>
                                <wp:inline distT="0" distB="0" distL="0" distR="0" wp14:anchorId="64B4DD65" wp14:editId="099E57BE">
                                  <wp:extent cx="664845" cy="487680"/>
                                  <wp:effectExtent l="0" t="0" r="0" b="7620"/>
                                  <wp:docPr id="716"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 xml:space="preserve">Die Verbreitung von innovativen Ideen, Prozessen, Modellen und/oder Technologien, die durch das Programm zur Entwicklung des ländlichen Raums eingeführt wurden, kann mithilfe von </w:t>
                            </w:r>
                            <w:r>
                              <w:rPr>
                                <w:b/>
                                <w:sz w:val="18"/>
                              </w:rPr>
                              <w:t>Umfragen</w:t>
                            </w:r>
                            <w:r>
                              <w:rPr>
                                <w:sz w:val="18"/>
                              </w:rPr>
                              <w:t xml:space="preserve"> bewertet werden, mit denen Grad und Ausmaß der Verbreitung von Neuerungen gemessen werden und der Ursprung der Neuerung festgestellt wird. Die Umfragen sollten</w:t>
                            </w:r>
                          </w:p>
                          <w:p w:rsidR="00533F8C" w:rsidRPr="003D7EC4" w:rsidRDefault="00533F8C" w:rsidP="008C0B17">
                            <w:pPr>
                              <w:pStyle w:val="HStandard"/>
                              <w:numPr>
                                <w:ilvl w:val="3"/>
                                <w:numId w:val="43"/>
                              </w:numPr>
                            </w:pPr>
                            <w:r>
                              <w:rPr>
                                <w:sz w:val="18"/>
                              </w:rPr>
                              <w:t>sowohl Beteiligte einbeziehen, die die Neuerung eingeführt haben (Anwender), als auch diejenigen, die sie nicht eingeführt haben (Nichtanwender), und bestrebt sein, a) die Gründe für die Nichteinführung zu verstehen und b) zu bestimmen, ob alternative Lösungen für das Problem bestehen, das durch die Neuerung angegangen wird;</w:t>
                            </w:r>
                          </w:p>
                          <w:p w:rsidR="00533F8C" w:rsidRPr="000E5745" w:rsidRDefault="00533F8C" w:rsidP="008C0B17">
                            <w:pPr>
                              <w:pStyle w:val="HStandard"/>
                              <w:numPr>
                                <w:ilvl w:val="3"/>
                                <w:numId w:val="43"/>
                              </w:numPr>
                            </w:pPr>
                            <w:r>
                              <w:rPr>
                                <w:sz w:val="18"/>
                              </w:rPr>
                              <w:t>bei Anwendern und Nichtanwendern einer neuen Idee, bei der bekanntermaßen eine Verbreitung stattgefunden hat, sowie in Gebieten, die bei der Untersuchung des Innovationspotenzials als aussichtsreich bewertet wurden (siehe</w:t>
                            </w:r>
                            <w:r>
                              <w:t xml:space="preserve"> </w:t>
                            </w:r>
                            <w:hyperlink w:anchor="Screening_Potential" w:history="1">
                              <w:r>
                                <w:rPr>
                                  <w:rStyle w:val="Hyperlink"/>
                                  <w:sz w:val="18"/>
                                </w:rPr>
                                <w:t>Kapitel 2.2</w:t>
                              </w:r>
                            </w:hyperlink>
                            <w:r>
                              <w:rPr>
                                <w:sz w:val="18"/>
                              </w:rPr>
                              <w:t xml:space="preserve">), bekannt gemacht werden.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E32FE" id="Rectangle: Diagonal Corners Rounded 562" o:spid="_x0000_s1056" style="position:absolute;left:0;text-align:left;margin-left:27.75pt;margin-top:93pt;width:426.35pt;height:22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4645,2905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" adj="-11796480,,5400" path="m227849,l5414645,r,l5414645,2677276v,125838,-102011,227849,-227849,227849l,2905125r,l,227849c,102011,102011,,227849,xe" filled="f" strokecolor="#be4a35" strokeweight="2pt">
                <v:stroke joinstyle="miter"/>
                <v:formulas/>
                <v:path arrowok="t" o:connecttype="custom" o:connectlocs="227849,0;5414645,0;5414645,0;5414645,2677276;5186796,2905125;0,2905125;0,2905125;0,227849;227849,0" o:connectangles="0,0,0,0,0,0,0,0,0" textboxrect="0,0,5414645,2905125"/>
                <v:textbox>
                  <w:txbxContent>
                    <w:p w:rsidR="00533F8C" w:rsidRPr="003D7EC4" w:rsidRDefault="00533F8C" w:rsidP="00E05D08">
                      <w:pPr>
                        <w:pStyle w:val="HStandard"/>
                        <w:rPr>
                          <w:rFonts w:cs="Arial"/>
                          <w:sz w:val="18"/>
                        </w:rPr>
                      </w:pPr>
                      <w:r>
                        <w:rPr>
                          <w:noProof/>
                          <w:lang w:val="en-GB" w:eastAsia="en-GB"/>
                        </w:rPr>
                        <w:drawing>
                          <wp:inline distT="0" distB="0" distL="0" distR="0" wp14:anchorId="64B4DD65" wp14:editId="099E57BE">
                            <wp:extent cx="664845" cy="487680"/>
                            <wp:effectExtent l="0" t="0" r="0" b="7620"/>
                            <wp:docPr id="716"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 xml:space="preserve">Die Verbreitung von innovativen Ideen, Prozessen, Modellen und/oder Technologien, die durch das Programm zur Entwicklung des ländlichen Raums eingeführt wurden, kann mithilfe von </w:t>
                      </w:r>
                      <w:r>
                        <w:rPr>
                          <w:b/>
                          <w:sz w:val="18"/>
                        </w:rPr>
                        <w:t>Umfragen</w:t>
                      </w:r>
                      <w:r>
                        <w:rPr>
                          <w:sz w:val="18"/>
                        </w:rPr>
                        <w:t xml:space="preserve"> bewertet werden, mit denen Grad und Ausmaß der Verbreitung von Neuerungen gemessen werden und der Ursprung der Neuerung festgestellt wird. Die Umfragen sollten</w:t>
                      </w:r>
                    </w:p>
                    <w:p w:rsidR="00533F8C" w:rsidRPr="003D7EC4" w:rsidRDefault="00533F8C" w:rsidP="008C0B17">
                      <w:pPr>
                        <w:pStyle w:val="HStandard"/>
                        <w:numPr>
                          <w:ilvl w:val="3"/>
                          <w:numId w:val="43"/>
                        </w:numPr>
                      </w:pPr>
                      <w:r>
                        <w:rPr>
                          <w:sz w:val="18"/>
                        </w:rPr>
                        <w:t>sowohl Beteiligte einbeziehen, die die Neuerung eingeführt haben (Anwender), als auch diejenigen, die sie nicht eingeführt haben (Nichtanwender), und bestrebt sein, a) die Gründe für die Nichteinführung zu verstehen und b) zu bestimmen, ob alternative Lösungen für das Problem bestehen, das durch die Neuerung angegangen wird;</w:t>
                      </w:r>
                    </w:p>
                    <w:p w:rsidR="00533F8C" w:rsidRPr="000E5745" w:rsidRDefault="00533F8C" w:rsidP="008C0B17">
                      <w:pPr>
                        <w:pStyle w:val="HStandard"/>
                        <w:numPr>
                          <w:ilvl w:val="3"/>
                          <w:numId w:val="43"/>
                        </w:numPr>
                      </w:pPr>
                      <w:r>
                        <w:rPr>
                          <w:sz w:val="18"/>
                        </w:rPr>
                        <w:t>bei Anwendern und Nichtanwendern einer neuen Idee, bei der bekanntermaßen eine Verbreitung stattgefunden hat, sowie in Gebieten, die bei der Untersuchung des Innovationspotenzials als aussichtsreich bewertet wurden (siehe</w:t>
                      </w:r>
                      <w:r>
                        <w:t xml:space="preserve"> </w:t>
                      </w:r>
                      <w:hyperlink w:anchor="Screening_Potential" w:history="1">
                        <w:r>
                          <w:rPr>
                            <w:rStyle w:val="Hyperlink"/>
                            <w:sz w:val="18"/>
                          </w:rPr>
                          <w:t>Kapitel 2.2</w:t>
                        </w:r>
                      </w:hyperlink>
                      <w:r>
                        <w:rPr>
                          <w:sz w:val="18"/>
                        </w:rPr>
                        <w:t xml:space="preserve">), bekannt gemacht werden. </w:t>
                      </w:r>
                    </w:p>
                  </w:txbxContent>
                </v:textbox>
                <w10:wrap type="square"/>
              </v:shape>
            </w:pict>
          </mc:Fallback>
        </mc:AlternateContent>
      </w:r>
      <w:r>
        <w:rPr>
          <w:b/>
        </w:rPr>
        <w:t>Pfad 1</w:t>
      </w:r>
      <w:r>
        <w:t xml:space="preserve"> ist verknüpft mit dem Beurteilungskriterium „Verbreitung innovativer Ideen, Prozesse, Modelle und/oder Technologien, die durch das Programm zur Entwicklung des ländlichen Raums eingeführt wurden“. Das Kriterium kann mit den in Tabelle 9 vorgeschlagenen gemeinsamen und zusätzlichen Indikatoren gemessen werden. Die Daten zu den gemeinsamen Indikatoren können aus der Vorhabendatenbank gewonnen werden. Daten und Informationen zu den zusätzlichen Indikatoren können über eine Umfrage erhoben werden, die vom Bewerter organisiert und durchgeführt wird (siehe Beispiel unten).</w:t>
      </w:r>
    </w:p>
    <w:p w:rsidR="00A45935" w:rsidRPr="00717885" w:rsidRDefault="00A45935" w:rsidP="000026C6">
      <w:pPr>
        <w:pStyle w:val="Hlistbullet2"/>
      </w:pPr>
      <w:r>
        <w:t xml:space="preserve">Für </w:t>
      </w:r>
      <w:r>
        <w:rPr>
          <w:b/>
        </w:rPr>
        <w:t>Pfad 2</w:t>
      </w:r>
      <w:r>
        <w:t xml:space="preserve"> gibt es drei Beurteilungskriterien, die mit Ergebnisindikatoren verbunden sind: </w:t>
      </w:r>
    </w:p>
    <w:p w:rsidR="00A45935" w:rsidRPr="00E05D08" w:rsidRDefault="00A45935" w:rsidP="000026C6">
      <w:pPr>
        <w:numPr>
          <w:ilvl w:val="3"/>
          <w:numId w:val="44"/>
        </w:numPr>
        <w:spacing w:before="60" w:after="120" w:line="280" w:lineRule="atLeast"/>
        <w:ind w:left="1701" w:hanging="567"/>
        <w:rPr>
          <w:rFonts w:eastAsia="Times New Roman" w:cs="Arial"/>
          <w:szCs w:val="20"/>
        </w:rPr>
      </w:pPr>
      <w:r>
        <w:t>Das erste Beurteilungskriterium bezieht sich auf die verstärkte Zusammenarbeit und den verstärkten Austausch zwischen Akteuren, die an der Herbeiführung der Veränderungen beteiligt sind, zu denen das Programm zur Entwicklung des ländlichen Raums beigetragen hat. Dazu gehört auch, mithilfe der zusätzlichen Ergebnisindikatoren Vereinbarungen zwischen Partnern zu bestimmen, die durch das Programm zur Entwicklung des ländlichen Raums vermittelt wurden: „Zahl der formalen Partnerschaften, die durch das Programm zur Entwicklung des ländlichen Raums vermittelt wurden und mit den Veränderungen bei den Prioritäten für die Entwicklung des ländlichen Raums, zu denen das Programm beigetragen hat, verbunden sind“ und „Prozentualer Anstieg der Zahl und Arten der an Kooperationsprojekten beteiligten Partner“ (siehe Arbeitspapier</w:t>
      </w:r>
      <w:r w:rsidR="00E80C9F">
        <w:t xml:space="preserve"> </w:t>
      </w:r>
      <w:hyperlink r:id="rId104" w:history="1">
        <w:r>
          <w:rPr>
            <w:color w:val="F07E31"/>
            <w:szCs w:val="20"/>
            <w:u w:val="single"/>
          </w:rPr>
          <w:t>„Common Evaluation Questions for Rural Development Programmes 2014-2020“</w:t>
        </w:r>
      </w:hyperlink>
      <w:r w:rsidR="00E80C9F">
        <w:rPr>
          <w:color w:val="F07E31"/>
          <w:szCs w:val="20"/>
          <w:u w:val="single"/>
        </w:rPr>
        <w:t xml:space="preserve"> </w:t>
      </w:r>
      <w:r>
        <w:t xml:space="preserve">(Gemeinsame Bewertungsfragen für die Programme zur Entwicklung des ländlichen Raums 2014-2020)). Daten und Informationen zu dem ersten zusätzlichen Indikator können von den Bewertern während der Bewertung durch Befragungen und Fokusgruppen mit Partnern erfasst werden, die an bestehenden Partnerschaften beteiligt sind. Für den zweiten zusätzlichen Indikator können die Daten direkt aus der Vorhabendatenbank abgerufen werden. </w:t>
      </w:r>
    </w:p>
    <w:p w:rsidR="00A45935" w:rsidRPr="00E05D08" w:rsidRDefault="00A45935" w:rsidP="000026C6">
      <w:pPr>
        <w:numPr>
          <w:ilvl w:val="3"/>
          <w:numId w:val="44"/>
        </w:numPr>
        <w:spacing w:before="60" w:after="120" w:line="280" w:lineRule="atLeast"/>
        <w:ind w:left="1701" w:hanging="567"/>
        <w:rPr>
          <w:rFonts w:eastAsia="Times New Roman" w:cs="Arial"/>
          <w:szCs w:val="20"/>
        </w:rPr>
      </w:pPr>
      <w:r>
        <w:t xml:space="preserve">Das zweite Beurteilungskriterium bezieht sich auf den Beitrag des Programms zur Entwicklung des ländlichen Raums zur Ausweitung von Lernen, Reflexion und Austausch. Dies umfasst die Ermittlung von sowohl virtuellen als auch physischen Plattformen (z. B. Anwendergemeinschaften), Gruppen und anderen Formen </w:t>
      </w:r>
      <w:r>
        <w:lastRenderedPageBreak/>
        <w:t>institutioneller „Räume“ (z. B. After Action Reviews), bei denen die Teilnehmer am Innovationsprozess die Möglichkeit erhalten, Erfahrungen auszutauschen, über ihre Bedeutung und ihren Wert nachzudenken, zu lernen und dementsprechend zu handeln. Zur Messung des durch dieses Beurteilungskriterium definierten Erfolgs wird der zusätzliche Ergebnisindikator „Zahl und Qualität der innovationsfördernden Plattformen und „Räume“, die durch das Programm zur Entwicklung des ländlichen Raums eingerichtet oder gestärkt wurden“ vorgeschlagen</w:t>
      </w:r>
      <w:r>
        <w:rPr>
          <w:i/>
          <w:sz w:val="18"/>
          <w:szCs w:val="16"/>
        </w:rPr>
        <w:t>.</w:t>
      </w:r>
      <w:r>
        <w:t xml:space="preserve"> Während der Bewertung sind von den Bewertern quantitative und qualitative Informationen zu erfassen (z. B. durch die Befragung von Fokusgruppen mit Teilnehmern der oben genannten Plattformen/„Räume“). </w:t>
      </w:r>
    </w:p>
    <w:p w:rsidR="00A45935" w:rsidRPr="00253803" w:rsidRDefault="003B44A9" w:rsidP="000026C6">
      <w:pPr>
        <w:numPr>
          <w:ilvl w:val="3"/>
          <w:numId w:val="44"/>
        </w:numPr>
        <w:spacing w:before="60" w:after="120" w:line="280" w:lineRule="atLeast"/>
        <w:ind w:left="1701" w:hanging="567"/>
        <w:rPr>
          <w:rFonts w:eastAsia="Times New Roman" w:cs="Arial"/>
          <w:szCs w:val="20"/>
        </w:rPr>
      </w:pPr>
      <w:r w:rsidRPr="00E05D08">
        <w:rPr>
          <w:rFonts w:eastAsia="Times New Roman" w:cs="Times New Roman"/>
          <w:noProof/>
          <w:szCs w:val="20"/>
          <w:highlight w:val="yellow"/>
          <w:lang w:val="en-GB" w:eastAsia="en-GB"/>
        </w:rPr>
        <mc:AlternateContent>
          <mc:Choice Requires="wps">
            <w:drawing>
              <wp:anchor distT="0" distB="0" distL="114300" distR="114300" simplePos="0" relativeHeight="251727872" behindDoc="0" locked="0" layoutInCell="1" allowOverlap="1" wp14:anchorId="20867BB7" wp14:editId="6244E702">
                <wp:simplePos x="0" y="0"/>
                <wp:positionH relativeFrom="column">
                  <wp:posOffset>3324225</wp:posOffset>
                </wp:positionH>
                <wp:positionV relativeFrom="paragraph">
                  <wp:posOffset>1184275</wp:posOffset>
                </wp:positionV>
                <wp:extent cx="2360930" cy="3000375"/>
                <wp:effectExtent l="0" t="0" r="20320" b="28575"/>
                <wp:wrapSquare wrapText="bothSides"/>
                <wp:docPr id="564" name="Rectangle: Diagonal Corners Rounded 564"/>
                <wp:cNvGraphicFramePr/>
                <a:graphic xmlns:a="http://schemas.openxmlformats.org/drawingml/2006/main">
                  <a:graphicData uri="http://schemas.microsoft.com/office/word/2010/wordprocessingShape">
                    <wps:wsp>
                      <wps:cNvSpPr/>
                      <wps:spPr>
                        <a:xfrm>
                          <a:off x="0" y="0"/>
                          <a:ext cx="2360930" cy="3000375"/>
                        </a:xfrm>
                        <a:prstGeom prst="round2DiagRect">
                          <a:avLst>
                            <a:gd name="adj1" fmla="val 7843"/>
                            <a:gd name="adj2" fmla="val 0"/>
                          </a:avLst>
                        </a:prstGeom>
                        <a:noFill/>
                        <a:ln w="25400" cap="flat" cmpd="sng" algn="ctr">
                          <a:solidFill>
                            <a:srgbClr val="BE4A35"/>
                          </a:solidFill>
                          <a:prstDash val="solid"/>
                        </a:ln>
                        <a:effectLst/>
                      </wps:spPr>
                      <wps:txbx>
                        <w:txbxContent>
                          <w:p w:rsidR="00533F8C" w:rsidRPr="000E5745" w:rsidRDefault="00533F8C" w:rsidP="00E05D08">
                            <w:pPr>
                              <w:pStyle w:val="HStandard"/>
                            </w:pPr>
                            <w:r>
                              <w:rPr>
                                <w:noProof/>
                                <w:lang w:val="en-GB" w:eastAsia="en-GB"/>
                              </w:rPr>
                              <w:drawing>
                                <wp:inline distT="0" distB="0" distL="0" distR="0" wp14:anchorId="7D1EF886" wp14:editId="28313979">
                                  <wp:extent cx="664845" cy="487680"/>
                                  <wp:effectExtent l="0" t="0" r="0" b="7620"/>
                                  <wp:docPr id="717"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rPr>
                              <w:t>Outcome Harvesting</w:t>
                            </w:r>
                            <w:r>
                              <w:rPr>
                                <w:color w:val="BE4A35"/>
                                <w:sz w:val="18"/>
                              </w:rPr>
                              <w:t xml:space="preserve"> </w:t>
                            </w:r>
                            <w:r>
                              <w:rPr>
                                <w:sz w:val="18"/>
                              </w:rPr>
                              <w:t>ist eine Methode, bei der Akteure, die an Veränderungen im Zusammenhang mit Programmen zur Entwicklung des ländlichen Raums (d. h. an der politischen Einflussnahme durch die Programme) beteiligt sind, nach politischen Veränderungen gefragt werden, zu denen das Programm beigetragen hat. Anschließend werden sachkundige, aber unabhängige Personen mit der Validierung dieser Angaben beauftragt.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67BB7" id="Rectangle: Diagonal Corners Rounded 564" o:spid="_x0000_s1057" style="position:absolute;left:0;text-align:left;margin-left:261.75pt;margin-top:93.25pt;width:185.9pt;height:23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0930,3000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" adj="-11796480,,5400" path="m185168,l2360930,r,l2360930,2815207v,102265,-82903,185168,-185168,185168l,3000375r,l,185168c,82903,82903,,185168,xe" filled="f" strokecolor="#be4a35" strokeweight="2pt">
                <v:stroke joinstyle="miter"/>
                <v:formulas/>
                <v:path arrowok="t" o:connecttype="custom" o:connectlocs="185168,0;2360930,0;2360930,0;2360930,2815207;2175762,3000375;0,3000375;0,3000375;0,185168;185168,0" o:connectangles="0,0,0,0,0,0,0,0,0" textboxrect="0,0,2360930,3000375"/>
                <v:textbox>
                  <w:txbxContent>
                    <w:p w:rsidR="00533F8C" w:rsidRPr="000E5745" w:rsidRDefault="00533F8C" w:rsidP="00E05D08">
                      <w:pPr>
                        <w:pStyle w:val="HStandard"/>
                      </w:pPr>
                      <w:r>
                        <w:rPr>
                          <w:noProof/>
                          <w:lang w:val="en-GB" w:eastAsia="en-GB"/>
                        </w:rPr>
                        <w:drawing>
                          <wp:inline distT="0" distB="0" distL="0" distR="0" wp14:anchorId="7D1EF886" wp14:editId="28313979">
                            <wp:extent cx="664845" cy="487680"/>
                            <wp:effectExtent l="0" t="0" r="0" b="7620"/>
                            <wp:docPr id="717"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rPr>
                        <w:t>Outcome Harvesting</w:t>
                      </w:r>
                      <w:r>
                        <w:rPr>
                          <w:color w:val="BE4A35"/>
                          <w:sz w:val="18"/>
                        </w:rPr>
                        <w:t xml:space="preserve"> </w:t>
                      </w:r>
                      <w:r>
                        <w:rPr>
                          <w:sz w:val="18"/>
                        </w:rPr>
                        <w:t>ist eine Methode, bei der Akteure, die an Veränderungen im Zusammenhang mit Programmen zur Entwicklung des ländlichen Raums (d. h. an der politischen Einflussnahme durch die Programme) beteiligt sind, nach politischen Veränderungen gefragt werden, zu denen das Programm beigetragen hat. Anschließend werden sachkundige, aber unabhängige Personen mit der Validierung dieser Angaben beauftragt.</w:t>
                      </w:r>
                    </w:p>
                  </w:txbxContent>
                </v:textbox>
                <w10:wrap type="square"/>
              </v:shape>
            </w:pict>
          </mc:Fallback>
        </mc:AlternateContent>
      </w:r>
      <w:r>
        <w:t>Das dritte Beurteilungskriterium bezieht sich auf Verbesserungen im Informationsfluss und die Vielfalt der Organisationsformen in dem Innovationssystem, in dem sich die Veränderungen vollzogen haben. Nachweise können mithilfe des zusätzlichen Ergebnisindikators „Verringerung der durchschnittlichen Länge von Netzwerkpfaden und der Netzwerkvielfalt“ gesammelt werden. Er kann durch eine Analyse sozialer Netzwerke gemessen werden, die vom Bewerter zum Zeitpunkt der Bewertung durchzuführen ist.</w:t>
      </w:r>
      <w:r>
        <w:rPr>
          <w:b/>
          <w:i/>
          <w:color w:val="BE4A35"/>
          <w:szCs w:val="20"/>
        </w:rPr>
        <w:t xml:space="preserve"> </w:t>
      </w:r>
      <w:r>
        <w:t xml:space="preserve">Die </w:t>
      </w:r>
      <w:r>
        <w:rPr>
          <w:b/>
          <w:i/>
          <w:color w:val="BE4A35"/>
          <w:szCs w:val="20"/>
        </w:rPr>
        <w:t>Analyse sozialer Netzwerke</w:t>
      </w:r>
      <w:r w:rsidR="00A45935" w:rsidRPr="00253803">
        <w:rPr>
          <w:rFonts w:eastAsia="Calibri" w:cs="Times New Roman"/>
          <w:szCs w:val="20"/>
          <w:vertAlign w:val="superscript"/>
        </w:rPr>
        <w:footnoteReference w:id="77"/>
      </w:r>
      <w:r>
        <w:t xml:space="preserve"> ist eine Methode, mit der für miteinander verbundene Indikatoren zu zwei Zeitpunkten Nachweise gesammelt werden und Veränderungen bei der durchschnittlichen Pfadlänge und der Anzahl an unterschiedlichen Arten beteiligter Akteure berechnet werden. Die Veränderungen müssen dann auf die Intervention des Programms zur Entwicklung des ländlichen Raums zurückgeführt werden, indem </w:t>
      </w:r>
      <w:r>
        <w:rPr>
          <w:b/>
          <w:i/>
          <w:szCs w:val="20"/>
        </w:rPr>
        <w:t>Befragungen</w:t>
      </w:r>
      <w:r>
        <w:t xml:space="preserve"> mit Schlüsselinformanten durchgeführt werden, die sachkundig, aber unabhängig sind und geltend gemachte Kausalzusammenhänge bestätigen oder entkräften. Im Idealfall wurde die Ausgangssituation bereits bei der Bestimmung des Innovationspotenzials zu Beginn des Programms zur Entwicklung des ländlichen Raums entwickelt.</w:t>
      </w:r>
    </w:p>
    <w:p w:rsidR="00A45935" w:rsidRPr="00E34FAC" w:rsidRDefault="00A45935" w:rsidP="00A847F8">
      <w:pPr>
        <w:pStyle w:val="Hlistbullet2"/>
      </w:pPr>
      <w:r>
        <w:t xml:space="preserve">Für </w:t>
      </w:r>
      <w:r>
        <w:rPr>
          <w:b/>
        </w:rPr>
        <w:t>Pfad 3</w:t>
      </w:r>
      <w:r>
        <w:t xml:space="preserve"> gibt es verschiedene Beurteilungskriterien, die mit verschiedenen Arten innovationsfördernder Umfelder, die in Kapitel 1.1 dargestellt werden, verbunden sind:</w:t>
      </w:r>
    </w:p>
    <w:p w:rsidR="00A45935" w:rsidRPr="00E05D08" w:rsidRDefault="00A45935" w:rsidP="00A847F8">
      <w:pPr>
        <w:numPr>
          <w:ilvl w:val="0"/>
          <w:numId w:val="48"/>
        </w:numPr>
        <w:spacing w:before="240" w:after="120" w:line="280" w:lineRule="atLeast"/>
        <w:ind w:left="1701" w:hanging="567"/>
        <w:rPr>
          <w:rFonts w:eastAsia="Times New Roman" w:cs="Arial"/>
          <w:szCs w:val="20"/>
        </w:rPr>
      </w:pPr>
      <w:r>
        <w:t xml:space="preserve">Das erste Beurteilungskriterium bezieht sich auf den Umfang, in dem das Programm zur Entwicklung des ländlichen Raums Input für Politikbereiche geliefert hat, mit denen die Veränderungen, zu denen das Programm beigetragen hat, unterstützt wurden. Dazu müssen die Politikbereiche bestimmt werden, die das Programm zur Entwicklung des ländlichen Raums tatsächlich beeinflusst hat, und anschließend Nachweise zur Bestätigung dieser Annahme gesammelt werden. Die Nachweise können während der Bewertung mit dem zusätzlichen Ergebnisindikator „Zahl und </w:t>
      </w:r>
      <w:r>
        <w:lastRenderedPageBreak/>
        <w:t>Art der Politikbereiche, die durch das Programm zur Entwicklung des ländlichen Raums auf Ebene der teilnehmenden Organisationen und des weiter gefassten innovationsfördernden Umfelds beeinflusst wurden“ erhoben werden. Outcome Harvesting</w:t>
      </w:r>
      <w:r w:rsidRPr="00E05D08">
        <w:rPr>
          <w:rFonts w:eastAsia="Times New Roman" w:cs="Arial"/>
          <w:szCs w:val="20"/>
          <w:vertAlign w:val="superscript"/>
          <w:lang w:eastAsia="de-DE"/>
        </w:rPr>
        <w:footnoteReference w:id="78"/>
      </w:r>
      <w:r>
        <w:t xml:space="preserve"> eignet sich gut dafür, die politische Einflussnahme durch Programme zur Entwicklung des ländlichen Raums zu bewerten. </w:t>
      </w:r>
    </w:p>
    <w:p w:rsidR="00A45935" w:rsidRPr="00E05D08" w:rsidRDefault="00A45935" w:rsidP="00A847F8">
      <w:pPr>
        <w:numPr>
          <w:ilvl w:val="0"/>
          <w:numId w:val="48"/>
        </w:numPr>
        <w:spacing w:before="240" w:after="120" w:line="280" w:lineRule="atLeast"/>
        <w:ind w:left="1701" w:hanging="567"/>
        <w:rPr>
          <w:rFonts w:eastAsia="Times New Roman" w:cs="Arial"/>
          <w:szCs w:val="20"/>
        </w:rPr>
      </w:pPr>
      <w:r>
        <w:t>Das zweite Beurteilungskriterium bezieht sich auf Möglichkeiten für Schulungen und den Austausch innovativer Verfahrensweisen, die durch das Programm zur Entwicklung des ländlichen Raums unterstützt werden. Der vorgeschlagene zusätzliche Ergebnisindikator zur Erhebung von Nachweisen ist die „Zahl der Schulungen und Veranstaltungen, die für den Austausch innovativer Verfahrensweisen organisiert wurden, und ihr Anteil an der Gesamtzahl an Schulungen/Veranstaltungen, die durch das Programm zur Entwicklung des ländlichen Raums unterstützt wurden“. Die Daten für den Indikator können aus der Vorhabendatenbank gewonnen werden, nachdem die Informationen zu Schulungsaktivitäten und Veranstaltungen mit Innovation in Zusammenhang gebracht wurden.</w:t>
      </w:r>
    </w:p>
    <w:p w:rsidR="00A45935" w:rsidRPr="00E05D08" w:rsidRDefault="00A45935" w:rsidP="00A847F8">
      <w:pPr>
        <w:numPr>
          <w:ilvl w:val="0"/>
          <w:numId w:val="48"/>
        </w:numPr>
        <w:spacing w:before="60" w:after="120" w:line="280" w:lineRule="atLeast"/>
        <w:ind w:left="1701" w:hanging="567"/>
        <w:rPr>
          <w:rFonts w:eastAsia="Times New Roman" w:cs="Arial"/>
          <w:szCs w:val="20"/>
        </w:rPr>
      </w:pPr>
      <w:r>
        <w:t xml:space="preserve">Das dritte Beurteilungskriterium bezieht sich auf innovationsfördernde Interaktionen zwischen Innovationsakteuren. Zur Messung des Erfolgs in Verbindung mit diesem Kriterium wird empfohlen, den zusätzlichen Ergebnisindikator „Zahl der vom Programm zur Entwicklung des ländlichen Raums unterstützten Veranstaltungen, bei denen die Herstellung von Kontakten zwischen Innovationsakteuren im Mittelpunkt stand“. Die Daten für diesen Indikator können aus der Vorhabendatenbank gewonnen werden (z. B. indem bei der Begleitung von Veranstaltungen Informationen zu den vom Programm unterstützten Innovationsakteuren hinzugefügt werden). </w:t>
      </w:r>
    </w:p>
    <w:p w:rsidR="001275FF" w:rsidRDefault="00A45935" w:rsidP="00A847F8">
      <w:pPr>
        <w:numPr>
          <w:ilvl w:val="0"/>
          <w:numId w:val="48"/>
        </w:numPr>
        <w:spacing w:before="60" w:after="120" w:line="280" w:lineRule="atLeast"/>
        <w:ind w:left="1701" w:hanging="567"/>
        <w:rPr>
          <w:rFonts w:eastAsia="Calibri" w:cs="Arial"/>
          <w:szCs w:val="20"/>
        </w:rPr>
      </w:pPr>
      <w:r>
        <w:t xml:space="preserve">Das vierte Beurteilungskriterium bezieht auf die Fähigkeit des Programms zur Entwicklung des ländlichen Raums, ein förderliches Umfeld für die Einführung neuer Technologien zu schaffen. Es kann mit dem zusätzlichen Ergebnisindikator „Zahl der vom Programm zur Entwicklung des ländlichen Raums geförderten neuen Technologien in ländlichen Gebieten, aufgeschlüsselt nach Art“ gemessen werden. Die für diesen Indikator benötigten Informationen können aus der Vorhabendatenbank gewonnen werden, wenn diese entsprechend angepasst wurde. </w:t>
      </w:r>
    </w:p>
    <w:p w:rsidR="00A45935" w:rsidRPr="001275FF" w:rsidRDefault="001275FF" w:rsidP="001275FF">
      <w:pPr>
        <w:jc w:val="left"/>
        <w:rPr>
          <w:rFonts w:eastAsia="Calibri" w:cs="Arial"/>
          <w:szCs w:val="20"/>
        </w:rPr>
      </w:pPr>
      <w:r>
        <w:br w:type="page"/>
      </w:r>
    </w:p>
    <w:p w:rsidR="00A45935" w:rsidRPr="000E1023" w:rsidRDefault="00A847F8" w:rsidP="00A847F8">
      <w:pPr>
        <w:pStyle w:val="Hlistbullet"/>
        <w:rPr>
          <w:color w:val="FFFFFF" w:themeColor="background1"/>
        </w:rPr>
      </w:pPr>
      <w:r w:rsidRPr="00E05D08">
        <w:rPr>
          <w:b/>
          <w:noProof/>
          <w:highlight w:val="yellow"/>
          <w:lang w:val="en-GB" w:eastAsia="en-GB"/>
        </w:rPr>
        <w:lastRenderedPageBreak/>
        <mc:AlternateContent>
          <mc:Choice Requires="wps">
            <w:drawing>
              <wp:anchor distT="0" distB="0" distL="114300" distR="114300" simplePos="0" relativeHeight="251693056" behindDoc="0" locked="0" layoutInCell="1" allowOverlap="1" wp14:anchorId="085F152A" wp14:editId="42BBB324">
                <wp:simplePos x="0" y="0"/>
                <wp:positionH relativeFrom="column">
                  <wp:posOffset>171450</wp:posOffset>
                </wp:positionH>
                <wp:positionV relativeFrom="paragraph">
                  <wp:posOffset>2790825</wp:posOffset>
                </wp:positionV>
                <wp:extent cx="5670550" cy="3190875"/>
                <wp:effectExtent l="0" t="0" r="25400" b="28575"/>
                <wp:wrapSquare wrapText="bothSides"/>
                <wp:docPr id="566" name="Rectangle: Diagonal Corners Rounded 566"/>
                <wp:cNvGraphicFramePr/>
                <a:graphic xmlns:a="http://schemas.openxmlformats.org/drawingml/2006/main">
                  <a:graphicData uri="http://schemas.microsoft.com/office/word/2010/wordprocessingShape">
                    <wps:wsp>
                      <wps:cNvSpPr/>
                      <wps:spPr>
                        <a:xfrm>
                          <a:off x="0" y="0"/>
                          <a:ext cx="5670550" cy="3190875"/>
                        </a:xfrm>
                        <a:prstGeom prst="round2DiagRect">
                          <a:avLst>
                            <a:gd name="adj1" fmla="val 7843"/>
                            <a:gd name="adj2" fmla="val 0"/>
                          </a:avLst>
                        </a:prstGeom>
                        <a:noFill/>
                        <a:ln w="25400" cap="flat" cmpd="sng" algn="ctr">
                          <a:solidFill>
                            <a:srgbClr val="BE4A35"/>
                          </a:solidFill>
                          <a:prstDash val="solid"/>
                        </a:ln>
                        <a:effectLst/>
                      </wps:spPr>
                      <wps:txbx>
                        <w:txbxContent>
                          <w:p w:rsidR="00533F8C" w:rsidRPr="00EF653F" w:rsidRDefault="00533F8C" w:rsidP="00E05D08">
                            <w:pPr>
                              <w:pStyle w:val="HStandard"/>
                              <w:rPr>
                                <w:rFonts w:cs="Arial"/>
                                <w:b/>
                                <w:sz w:val="18"/>
                                <w:szCs w:val="18"/>
                              </w:rPr>
                            </w:pPr>
                            <w:r>
                              <w:rPr>
                                <w:noProof/>
                                <w:lang w:val="en-GB" w:eastAsia="en-GB"/>
                              </w:rPr>
                              <w:drawing>
                                <wp:inline distT="0" distB="0" distL="0" distR="0" wp14:anchorId="1D3419C1" wp14:editId="72CCD10F">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Techniken für die Entwicklung der narrativen Darstellung und die Bewertung der Ergebnisse</w:t>
                            </w:r>
                          </w:p>
                          <w:p w:rsidR="00533F8C" w:rsidRPr="00EF653F" w:rsidRDefault="00533F8C" w:rsidP="00E05D08">
                            <w:pPr>
                              <w:pStyle w:val="HStandard"/>
                              <w:rPr>
                                <w:rFonts w:cs="Arial"/>
                                <w:sz w:val="18"/>
                                <w:szCs w:val="18"/>
                              </w:rPr>
                            </w:pPr>
                            <w:r>
                              <w:rPr>
                                <w:sz w:val="18"/>
                                <w:szCs w:val="18"/>
                              </w:rPr>
                              <w:t xml:space="preserve">Bei der Entwicklung der narrativen Darstellung kann der Bewerter unterschiedliche </w:t>
                            </w:r>
                            <w:r>
                              <w:rPr>
                                <w:b/>
                                <w:sz w:val="18"/>
                                <w:szCs w:val="18"/>
                              </w:rPr>
                              <w:t>Techniken</w:t>
                            </w:r>
                            <w:r>
                              <w:rPr>
                                <w:sz w:val="18"/>
                                <w:szCs w:val="18"/>
                              </w:rPr>
                              <w:t xml:space="preserve"> nutzen, um den Fall zu triangulieren und zu belegen.</w:t>
                            </w:r>
                            <w:r>
                              <w:rPr>
                                <w:b/>
                                <w:sz w:val="18"/>
                                <w:szCs w:val="18"/>
                              </w:rPr>
                              <w:t xml:space="preserve"> </w:t>
                            </w:r>
                            <w:r>
                              <w:rPr>
                                <w:sz w:val="18"/>
                                <w:szCs w:val="18"/>
                              </w:rPr>
                              <w:t>Dazu gehören folgende Techniken: Beitragsanalyse, bei der der Bewerter ein notwendiges und ausreichendes „Kausalpaket“ ermittelt, mit dem sich die Veränderung erklären lässt;</w:t>
                            </w:r>
                            <w:r>
                              <w:rPr>
                                <w:sz w:val="18"/>
                                <w:szCs w:val="18"/>
                                <w:vertAlign w:val="superscript"/>
                              </w:rPr>
                              <w:t>82</w:t>
                            </w:r>
                            <w:r>
                              <w:rPr>
                                <w:sz w:val="18"/>
                                <w:szCs w:val="18"/>
                              </w:rPr>
                              <w:t xml:space="preserve"> Entwicklung und Entkräftung alternativer kausaler Erklärungen</w:t>
                            </w:r>
                            <w:r>
                              <w:rPr>
                                <w:sz w:val="18"/>
                                <w:szCs w:val="18"/>
                                <w:vertAlign w:val="superscript"/>
                              </w:rPr>
                              <w:t>83</w:t>
                            </w:r>
                            <w:r>
                              <w:rPr>
                                <w:sz w:val="18"/>
                                <w:szCs w:val="18"/>
                              </w:rPr>
                              <w:t xml:space="preserve"> und/oder Bestimmung und Begründung zentraler Teile der Beweiskette, die als Argument für den Beitrag des Programms zur Entwicklung des ländlichen Raums entwickelt wurde.</w:t>
                            </w:r>
                            <w:r>
                              <w:rPr>
                                <w:sz w:val="18"/>
                                <w:szCs w:val="18"/>
                                <w:vertAlign w:val="superscript"/>
                              </w:rPr>
                              <w:t>84</w:t>
                            </w:r>
                          </w:p>
                          <w:p w:rsidR="00533F8C" w:rsidRPr="000E5745" w:rsidRDefault="00533F8C" w:rsidP="00E05D08">
                            <w:pPr>
                              <w:pStyle w:val="HStandard"/>
                            </w:pPr>
                            <w:r>
                              <w:rPr>
                                <w:sz w:val="18"/>
                                <w:szCs w:val="18"/>
                              </w:rPr>
                              <w:t>Der Umfang des Beitrags des Programms sollte anhand einer Likert-Skala</w:t>
                            </w:r>
                            <w:r>
                              <w:rPr>
                                <w:sz w:val="18"/>
                                <w:szCs w:val="18"/>
                                <w:vertAlign w:val="superscript"/>
                              </w:rPr>
                              <w:t>85</w:t>
                            </w:r>
                            <w:r>
                              <w:rPr>
                                <w:sz w:val="18"/>
                                <w:szCs w:val="18"/>
                              </w:rPr>
                              <w:t xml:space="preserve"> bewertet werden, die beispielsweise folgende Aussagen enthält: kein Beitrag, geringer Beitrag, gewisser Beitrag, wesentlicher beitragender Faktor, einziger beitragender Faktor. Auf einer ähnlichen Fünfpunkteskala sollte der Bewerter auch das Zuverlässigkeitsniveau angeben, das er hinsichtlich der Ergebnisse einschätzt. Die Einstufung ist zu begründen.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F152A" id="Rectangle: Diagonal Corners Rounded 566" o:spid="_x0000_s1058" style="position:absolute;left:0;text-align:left;margin-left:13.5pt;margin-top:219.75pt;width:446.5pt;height:25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0550,3190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" adj="-11796480,,5400" path="m250260,l5670550,r,l5670550,2940615v,138215,-112045,250260,-250260,250260l,3190875r,l,250260c,112045,112045,,250260,xe" filled="f" strokecolor="#be4a35" strokeweight="2pt">
                <v:stroke joinstyle="miter"/>
                <v:formulas/>
                <v:path arrowok="t" o:connecttype="custom" o:connectlocs="250260,0;5670550,0;5670550,0;5670550,2940615;5420290,3190875;0,3190875;0,3190875;0,250260;250260,0" o:connectangles="0,0,0,0,0,0,0,0,0" textboxrect="0,0,5670550,3190875"/>
                <v:textbox>
                  <w:txbxContent>
                    <w:p w:rsidR="00533F8C" w:rsidRPr="00EF653F" w:rsidRDefault="00533F8C" w:rsidP="00E05D08">
                      <w:pPr>
                        <w:pStyle w:val="HStandard"/>
                        <w:rPr>
                          <w:rFonts w:cs="Arial"/>
                          <w:b/>
                          <w:sz w:val="18"/>
                          <w:szCs w:val="18"/>
                        </w:rPr>
                      </w:pPr>
                      <w:r>
                        <w:rPr>
                          <w:noProof/>
                          <w:lang w:val="en-GB" w:eastAsia="en-GB"/>
                        </w:rPr>
                        <w:drawing>
                          <wp:inline distT="0" distB="0" distL="0" distR="0" wp14:anchorId="1D3419C1" wp14:editId="72CCD10F">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Techniken für die Entwicklung der narrativen Darstellung und die Bewertung der Ergebnisse</w:t>
                      </w:r>
                    </w:p>
                    <w:p w:rsidR="00533F8C" w:rsidRPr="00EF653F" w:rsidRDefault="00533F8C" w:rsidP="00E05D08">
                      <w:pPr>
                        <w:pStyle w:val="HStandard"/>
                        <w:rPr>
                          <w:rFonts w:cs="Arial"/>
                          <w:sz w:val="18"/>
                          <w:szCs w:val="18"/>
                        </w:rPr>
                      </w:pPr>
                      <w:r>
                        <w:rPr>
                          <w:sz w:val="18"/>
                          <w:szCs w:val="18"/>
                        </w:rPr>
                        <w:t xml:space="preserve">Bei der Entwicklung der narrativen Darstellung kann der Bewerter unterschiedliche </w:t>
                      </w:r>
                      <w:r>
                        <w:rPr>
                          <w:b/>
                          <w:sz w:val="18"/>
                          <w:szCs w:val="18"/>
                        </w:rPr>
                        <w:t>Techniken</w:t>
                      </w:r>
                      <w:r>
                        <w:rPr>
                          <w:sz w:val="18"/>
                          <w:szCs w:val="18"/>
                        </w:rPr>
                        <w:t xml:space="preserve"> nutzen, um den Fall zu triangulieren und zu belegen.</w:t>
                      </w:r>
                      <w:r>
                        <w:rPr>
                          <w:b/>
                          <w:sz w:val="18"/>
                          <w:szCs w:val="18"/>
                        </w:rPr>
                        <w:t xml:space="preserve"> </w:t>
                      </w:r>
                      <w:r>
                        <w:rPr>
                          <w:sz w:val="18"/>
                          <w:szCs w:val="18"/>
                        </w:rPr>
                        <w:t>Dazu gehören folgende Techniken: Beitragsanalyse, bei der der Bewerter ein notwendiges und ausreichendes „Kausalpaket“ ermittelt, mit dem sich die Veränderung erklären lässt;</w:t>
                      </w:r>
                      <w:r>
                        <w:rPr>
                          <w:sz w:val="18"/>
                          <w:szCs w:val="18"/>
                          <w:vertAlign w:val="superscript"/>
                        </w:rPr>
                        <w:t>82</w:t>
                      </w:r>
                      <w:r>
                        <w:rPr>
                          <w:sz w:val="18"/>
                          <w:szCs w:val="18"/>
                        </w:rPr>
                        <w:t xml:space="preserve"> Entwicklung und Entkräftung alternativer kausaler Erklärungen</w:t>
                      </w:r>
                      <w:r>
                        <w:rPr>
                          <w:sz w:val="18"/>
                          <w:szCs w:val="18"/>
                          <w:vertAlign w:val="superscript"/>
                        </w:rPr>
                        <w:t>83</w:t>
                      </w:r>
                      <w:r>
                        <w:rPr>
                          <w:sz w:val="18"/>
                          <w:szCs w:val="18"/>
                        </w:rPr>
                        <w:t xml:space="preserve"> und/oder Bestimmung und Begründung zentraler Teile der Beweiskette, die als Argument für den Beitrag des Programms zur Entwicklung des ländlichen Raums entwickelt wurde.</w:t>
                      </w:r>
                      <w:r>
                        <w:rPr>
                          <w:sz w:val="18"/>
                          <w:szCs w:val="18"/>
                          <w:vertAlign w:val="superscript"/>
                        </w:rPr>
                        <w:t>84</w:t>
                      </w:r>
                    </w:p>
                    <w:p w:rsidR="00533F8C" w:rsidRPr="000E5745" w:rsidRDefault="00533F8C" w:rsidP="00E05D08">
                      <w:pPr>
                        <w:pStyle w:val="HStandard"/>
                      </w:pPr>
                      <w:r>
                        <w:rPr>
                          <w:sz w:val="18"/>
                          <w:szCs w:val="18"/>
                        </w:rPr>
                        <w:t>Der Umfang des Beitrags des Programms sollte anhand einer Likert-Skala</w:t>
                      </w:r>
                      <w:r>
                        <w:rPr>
                          <w:sz w:val="18"/>
                          <w:szCs w:val="18"/>
                          <w:vertAlign w:val="superscript"/>
                        </w:rPr>
                        <w:t>85</w:t>
                      </w:r>
                      <w:r>
                        <w:rPr>
                          <w:sz w:val="18"/>
                          <w:szCs w:val="18"/>
                        </w:rPr>
                        <w:t xml:space="preserve"> bewertet werden, die beispielsweise folgende Aussagen enthält: kein Beitrag, geringer Beitrag, gewisser Beitrag, wesentlicher beitragender Faktor, einziger beitragender Faktor. Auf einer ähnlichen Fünfpunkteskala sollte der Bewerter auch das Zuverlässigkeitsniveau angeben, das er hinsichtlich der Ergebnisse einschätzt. Die Einstufung ist zu begründen.</w:t>
                      </w:r>
                    </w:p>
                  </w:txbxContent>
                </v:textbox>
                <w10:wrap type="square"/>
              </v:shape>
            </w:pict>
          </mc:Fallback>
        </mc:AlternateContent>
      </w:r>
      <w:r>
        <w:rPr>
          <w:b/>
        </w:rPr>
        <w:t>SCHRITT 3 – Entwicklung einer kausalen Zeitreihe und narrativen Darstellung</w:t>
      </w:r>
      <w:r>
        <w:t xml:space="preserve">, um zu beschreiben, wie die in Schritt 1 genannte(n) Veränderung(en) herbeigeführt wurde(n). In der narrativen Darstellung wird a priori davon ausgegangen, dass sich die Veränderung(en) über einen oder mehrere der drei Pfade und ihre Wechselbeziehungen (siehe </w:t>
      </w:r>
      <w:hyperlink w:anchor="Pathways" w:history="1">
        <w:r>
          <w:rPr>
            <w:rStyle w:val="Hyperlink"/>
            <w:sz w:val="20"/>
          </w:rPr>
          <w:t>Abbildung 1</w:t>
        </w:r>
      </w:hyperlink>
      <w:r>
        <w:t>) ergeben haben. In der Zeitreihe und der narrativen Darstellung sollten alle Schlüsselereignisse und -prozesse, die zu der Veränderung geführt haben, berücksichtigt werden und nicht nur diejenigen, die sich aus den Aktivitäten im Rahmen des Programms zur Entwicklung des ländlichen Raums ergeben. Diesem Konzept liegt eine Fallstudienmethodik zugrunde.</w:t>
      </w:r>
      <w:r w:rsidR="00A45935" w:rsidRPr="002403DE">
        <w:rPr>
          <w:rFonts w:cs="Arial"/>
          <w:vertAlign w:val="superscript"/>
        </w:rPr>
        <w:footnoteReference w:id="79"/>
      </w:r>
      <w:r>
        <w:t xml:space="preserve"> Spezielle Methoden, die von Nutzen sein können, sind das Process Tracing (Entwicklung eines theoretischen Pfads vom Ergebnis zu seinen Ursachen durch Betrachtung mehrerer Alternativen)</w:t>
      </w:r>
      <w:r w:rsidR="00A45935" w:rsidRPr="00AC664B">
        <w:rPr>
          <w:rFonts w:cs="Arial"/>
          <w:vertAlign w:val="superscript"/>
        </w:rPr>
        <w:footnoteReference w:id="80"/>
      </w:r>
      <w:r>
        <w:t xml:space="preserve"> und die Erstellung von Innovationshistorien (Methode zur Aufzeichnung eines Innovationsprozesses und zur Reflexion über ihn).</w:t>
      </w:r>
      <w:r w:rsidR="00A45935" w:rsidRPr="00AC664B">
        <w:rPr>
          <w:rFonts w:cs="Arial"/>
          <w:vertAlign w:val="superscript"/>
        </w:rPr>
        <w:footnoteReference w:id="81"/>
      </w:r>
      <w:r>
        <w:t xml:space="preserve"> Die erforderlichen Daten werden aus den vorhergehenden Schritten übernommen oder durch die Prüfung der Unterlagen zum Programm zur Entwicklung des ländlichen Raums und/oder Befragungen von Schlüsselinformanten (Mitarbeiter und Interessengruppen des Programms) erfasst</w:t>
      </w:r>
      <w:r>
        <w:rPr>
          <w:color w:val="auto"/>
        </w:rPr>
        <w:t>.</w:t>
      </w:r>
      <w:r w:rsidR="00A45935" w:rsidRPr="001275FF">
        <w:rPr>
          <w:rStyle w:val="FootnoteReference"/>
          <w:color w:val="FFFFFF" w:themeColor="background1"/>
        </w:rPr>
        <w:footnoteReference w:id="82"/>
      </w:r>
      <w:r w:rsidR="00A45935" w:rsidRPr="001275FF">
        <w:rPr>
          <w:rStyle w:val="FootnoteReference"/>
          <w:color w:val="FFFFFF" w:themeColor="background1"/>
        </w:rPr>
        <w:footnoteReference w:id="83"/>
      </w:r>
      <w:r w:rsidR="00A45935" w:rsidRPr="001275FF">
        <w:rPr>
          <w:rStyle w:val="FootnoteReference"/>
          <w:color w:val="FFFFFF" w:themeColor="background1"/>
        </w:rPr>
        <w:footnoteReference w:id="84"/>
      </w:r>
      <w:r w:rsidR="00BA450C" w:rsidRPr="001275FF">
        <w:rPr>
          <w:rStyle w:val="FootnoteReference"/>
          <w:color w:val="FFFFFF" w:themeColor="background1"/>
        </w:rPr>
        <w:t xml:space="preserve"> </w:t>
      </w:r>
      <w:r w:rsidR="00BA450C" w:rsidRPr="001275FF">
        <w:rPr>
          <w:rStyle w:val="FootnoteReference"/>
          <w:color w:val="FFFFFF" w:themeColor="background1"/>
        </w:rPr>
        <w:footnoteReference w:id="85"/>
      </w:r>
    </w:p>
    <w:p w:rsidR="00E05D08" w:rsidRPr="00E30E27" w:rsidRDefault="00E05D08" w:rsidP="00F31494">
      <w:pPr>
        <w:pStyle w:val="Hlistbullet"/>
        <w:spacing w:before="240"/>
      </w:pPr>
      <w:r>
        <w:rPr>
          <w:b/>
        </w:rPr>
        <w:t>SCHRITT 4 – Vergleich des vor der Bewertung ermittelten Innovationspotenzials mit dem tatsächlichen Beitrag des Programms zur Entwicklung des ländlichen Raums.</w:t>
      </w:r>
      <w:r>
        <w:t xml:space="preserve"> Die Arbeitshypothese lautet, dass dabei Unterschiede festgestellt werden, die es den Beteiligten ermöglichen, Innovation besser als emergenten und unvorhersehbaren Prozess zu verstehen, </w:t>
      </w:r>
      <w:r>
        <w:lastRenderedPageBreak/>
        <w:t>der dennoch gefördert werden kann, wenn in dem Programm zur Entwicklung des ländlichen Raums Mechanismen für Lernprozesse und adaptives Management vorgesehen sind.</w:t>
      </w:r>
    </w:p>
    <w:p w:rsidR="00AB6603" w:rsidRDefault="00F64797" w:rsidP="00AB6603">
      <w:pPr>
        <w:numPr>
          <w:ilvl w:val="0"/>
          <w:numId w:val="62"/>
        </w:numPr>
        <w:spacing w:before="120" w:after="120" w:line="280" w:lineRule="atLeast"/>
        <w:ind w:left="567" w:hanging="567"/>
        <w:mirrorIndents/>
        <w:rPr>
          <w:rFonts w:eastAsia="Times New Roman" w:cs="Times New Roman"/>
          <w:b/>
          <w:szCs w:val="20"/>
        </w:rPr>
      </w:pPr>
      <w:r>
        <w:rPr>
          <w:b/>
          <w:szCs w:val="20"/>
        </w:rPr>
        <w:t>Risiken und Lösungen</w:t>
      </w:r>
      <w:r>
        <w:t xml:space="preserve"> </w:t>
      </w:r>
    </w:p>
    <w:p w:rsidR="00E05D08" w:rsidRPr="00AB6603" w:rsidRDefault="00AB6603" w:rsidP="00A847F8">
      <w:pPr>
        <w:spacing w:before="120" w:after="120" w:line="280" w:lineRule="atLeast"/>
        <w:mirrorIndents/>
        <w:rPr>
          <w:rFonts w:eastAsia="Times New Roman" w:cs="Times New Roman"/>
          <w:b/>
          <w:szCs w:val="20"/>
        </w:rPr>
      </w:pPr>
      <w:r>
        <w:t>Das wesentliche Risiko besteht darin, dass die Qualität der beschriebenen Fallstudienbewertung nicht ausreicht, um überzeugende Schlussfolgerungen zu liefern.</w:t>
      </w:r>
    </w:p>
    <w:p w:rsidR="00E05D08" w:rsidRDefault="00E05D08" w:rsidP="00E05D08">
      <w:pPr>
        <w:spacing w:after="120" w:line="280" w:lineRule="atLeast"/>
        <w:mirrorIndents/>
        <w:rPr>
          <w:rFonts w:eastAsia="Times New Roman" w:cs="Arial"/>
          <w:szCs w:val="20"/>
        </w:rPr>
      </w:pPr>
      <w:r>
        <w:t xml:space="preserve">Wenn hingegen kein Fallstudienansatz verfolgt wird, besteht die Gefahr, dass bei der Bewertung der CEQ Nr. 30 ausschließlich Beurteilungskriterien und Indikatoren verwendet werden, die keine Bewertung des Umfangs der Beiträge des Programms zur Entwicklung des ländlichen Raums zulassen und den Beteiligten auch keine Möglichkeit bieten, zu verstehen, wie sich Veränderungen in komplexen Systemen vollziehen. </w:t>
      </w:r>
    </w:p>
    <w:p w:rsidR="00E05D08" w:rsidRPr="00E05D08" w:rsidRDefault="00E05D08" w:rsidP="008C0B17">
      <w:pPr>
        <w:numPr>
          <w:ilvl w:val="0"/>
          <w:numId w:val="62"/>
        </w:numPr>
        <w:spacing w:before="120" w:after="120" w:line="280" w:lineRule="atLeast"/>
        <w:ind w:left="567" w:hanging="567"/>
        <w:mirrorIndents/>
        <w:rPr>
          <w:rFonts w:eastAsia="Times New Roman" w:cs="Times New Roman"/>
          <w:b/>
          <w:szCs w:val="20"/>
        </w:rPr>
      </w:pPr>
      <w:r>
        <w:rPr>
          <w:b/>
          <w:szCs w:val="20"/>
        </w:rPr>
        <w:t>Schlussfolgerungen und Empfehlungen</w:t>
      </w:r>
    </w:p>
    <w:p w:rsidR="00E05D08" w:rsidRPr="00E05D08" w:rsidRDefault="00E05D08" w:rsidP="00E05D08">
      <w:pPr>
        <w:spacing w:after="120" w:line="280" w:lineRule="atLeast"/>
        <w:mirrorIndents/>
        <w:rPr>
          <w:rFonts w:eastAsia="Times New Roman" w:cs="Arial"/>
          <w:szCs w:val="20"/>
        </w:rPr>
      </w:pPr>
      <w:r>
        <w:t>Die Schlussfolgerungen und Empfehlungen zu CEQ Nr. 30 sollten sich auf Folgendes beziehen:</w:t>
      </w:r>
    </w:p>
    <w:p w:rsidR="00E05D08" w:rsidRPr="00812586" w:rsidRDefault="00E05D08" w:rsidP="00320AA0">
      <w:pPr>
        <w:pStyle w:val="Hlistbullet"/>
      </w:pPr>
      <w:r>
        <w:t xml:space="preserve">Spezifische Maßnahmen (und ihre Kombination), die sich für die Innovationsförderung in ländlichen Gebieten durch das Programm zur Entwicklung des ländlichen Raums als besonders wirksam und effizient erwiesen haben. </w:t>
      </w:r>
    </w:p>
    <w:p w:rsidR="00E05D08" w:rsidRPr="00812586" w:rsidRDefault="00E05D08" w:rsidP="00320AA0">
      <w:pPr>
        <w:pStyle w:val="Hlistbullet"/>
      </w:pPr>
      <w:r>
        <w:t xml:space="preserve">Arten, wie das Programm zur Entwicklung des ländlichen Raums Innovationen über die drei Pfade gefördert hat. </w:t>
      </w:r>
    </w:p>
    <w:p w:rsidR="00E05D08" w:rsidRPr="00812586" w:rsidRDefault="00E05D08" w:rsidP="00320AA0">
      <w:pPr>
        <w:pStyle w:val="Hlistbullet"/>
      </w:pPr>
      <w:r>
        <w:t xml:space="preserve">Politische Ziele, zu denen die geförderte Innovation am stärksten beigetragen hat. </w:t>
      </w:r>
    </w:p>
    <w:p w:rsidR="000E0FE4" w:rsidRDefault="00E05D08" w:rsidP="00320AA0">
      <w:pPr>
        <w:pStyle w:val="Hlistbullet"/>
      </w:pPr>
      <w:r>
        <w:t xml:space="preserve">Interessengruppen und Begünstigte des Programms zur Entwicklung des ländlichen Raums, die sich als die wirksamsten Innovationsträger erwiesen haben. </w:t>
      </w:r>
      <w:r>
        <w:br w:type="page"/>
      </w:r>
    </w:p>
    <w:p w:rsidR="000E0FE4" w:rsidRDefault="000E0FE4" w:rsidP="000E0FE4">
      <w:pPr>
        <w:ind w:left="720"/>
        <w:mirrorIndents/>
        <w:rPr>
          <w:szCs w:val="20"/>
        </w:rPr>
        <w:sectPr w:rsidR="000E0FE4" w:rsidSect="001F6F07">
          <w:headerReference w:type="first" r:id="rId105"/>
          <w:pgSz w:w="11907" w:h="16840" w:code="9"/>
          <w:pgMar w:top="1440" w:right="1440" w:bottom="1134" w:left="1440" w:header="567" w:footer="1020" w:gutter="0"/>
          <w:cols w:space="708"/>
          <w:titlePg/>
          <w:docGrid w:linePitch="435"/>
        </w:sectPr>
      </w:pPr>
    </w:p>
    <w:p w:rsidR="00E05D08" w:rsidRPr="00E05D08" w:rsidRDefault="00BA450C" w:rsidP="00E05D08">
      <w:pPr>
        <w:keepNext/>
        <w:keepLines/>
        <w:tabs>
          <w:tab w:val="left" w:pos="680"/>
        </w:tabs>
        <w:spacing w:before="240" w:after="240" w:line="280" w:lineRule="atLeast"/>
        <w:mirrorIndents/>
        <w:outlineLvl w:val="3"/>
        <w:rPr>
          <w:rFonts w:eastAsia="Times New Roman" w:cs="Times New Roman"/>
          <w:b/>
          <w:color w:val="57825E"/>
          <w:szCs w:val="20"/>
        </w:rPr>
      </w:pPr>
      <w:r w:rsidRPr="00E05D08">
        <w:rPr>
          <w:rFonts w:eastAsia="Times New Roman" w:cs="Times New Roman"/>
          <w:b/>
          <w:noProof/>
          <w:color w:val="57825E"/>
          <w:sz w:val="18"/>
          <w:szCs w:val="24"/>
          <w:lang w:val="en-GB" w:eastAsia="en-GB"/>
        </w:rPr>
        <w:lastRenderedPageBreak/>
        <mc:AlternateContent>
          <mc:Choice Requires="wps">
            <w:drawing>
              <wp:anchor distT="0" distB="0" distL="114300" distR="114300" simplePos="0" relativeHeight="251695104" behindDoc="0" locked="0" layoutInCell="1" allowOverlap="1" wp14:anchorId="35D43F79" wp14:editId="2A93E52B">
                <wp:simplePos x="0" y="0"/>
                <wp:positionH relativeFrom="column">
                  <wp:posOffset>-57150</wp:posOffset>
                </wp:positionH>
                <wp:positionV relativeFrom="paragraph">
                  <wp:posOffset>323850</wp:posOffset>
                </wp:positionV>
                <wp:extent cx="5811864" cy="5362575"/>
                <wp:effectExtent l="0" t="0" r="17780" b="28575"/>
                <wp:wrapNone/>
                <wp:docPr id="582" name="Rectangle: Diagonal Corners Rounded 582"/>
                <wp:cNvGraphicFramePr/>
                <a:graphic xmlns:a="http://schemas.openxmlformats.org/drawingml/2006/main">
                  <a:graphicData uri="http://schemas.microsoft.com/office/word/2010/wordprocessingShape">
                    <wps:wsp>
                      <wps:cNvSpPr/>
                      <wps:spPr>
                        <a:xfrm>
                          <a:off x="0" y="0"/>
                          <a:ext cx="5811864" cy="5362575"/>
                        </a:xfrm>
                        <a:prstGeom prst="round2DiagRect">
                          <a:avLst>
                            <a:gd name="adj1" fmla="val 6996"/>
                            <a:gd name="adj2" fmla="val 0"/>
                          </a:avLst>
                        </a:prstGeom>
                        <a:noFill/>
                        <a:ln w="25400" cap="flat" cmpd="sng" algn="ctr">
                          <a:solidFill>
                            <a:srgbClr val="59638E"/>
                          </a:solidFill>
                          <a:prstDash val="solid"/>
                        </a:ln>
                        <a:effectLst/>
                      </wps:spPr>
                      <wps:txbx>
                        <w:txbxContent>
                          <w:p w:rsidR="00533F8C" w:rsidRDefault="00533F8C" w:rsidP="00BA450C">
                            <w:pPr>
                              <w:pStyle w:val="HStandard"/>
                              <w:rPr>
                                <w:sz w:val="18"/>
                                <w:szCs w:val="18"/>
                              </w:rPr>
                            </w:pPr>
                            <w:r>
                              <w:rPr>
                                <w:noProof/>
                                <w:lang w:val="en-GB" w:eastAsia="en-GB"/>
                              </w:rPr>
                              <w:drawing>
                                <wp:inline distT="0" distB="0" distL="0" distR="0" wp14:anchorId="788FCDB6" wp14:editId="3FD3C637">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33F8C" w:rsidRPr="00BA450C" w:rsidRDefault="00533F8C" w:rsidP="00BA450C">
                            <w:pPr>
                              <w:pStyle w:val="HStandard"/>
                              <w:rPr>
                                <w:sz w:val="18"/>
                                <w:szCs w:val="18"/>
                              </w:rPr>
                            </w:pPr>
                            <w:r>
                              <w:rPr>
                                <w:sz w:val="18"/>
                                <w:szCs w:val="18"/>
                              </w:rPr>
                              <w:t xml:space="preserve">Allen, I. E. und Seaman, C. A. (2007), </w:t>
                            </w:r>
                            <w:hyperlink r:id="rId106" w:history="1">
                              <w:r>
                                <w:rPr>
                                  <w:rStyle w:val="Hyperlink"/>
                                  <w:sz w:val="18"/>
                                  <w:szCs w:val="18"/>
                                </w:rPr>
                                <w:t>Likert scales and data analyses</w:t>
                              </w:r>
                            </w:hyperlink>
                            <w:r>
                              <w:rPr>
                                <w:sz w:val="18"/>
                                <w:szCs w:val="18"/>
                              </w:rPr>
                              <w:t>. Quality progress (Likert-Skalen und Datenanalysen. Qualitätsfortschritte), 40(7), S. 64.</w:t>
                            </w:r>
                          </w:p>
                          <w:p w:rsidR="00533F8C" w:rsidRPr="00BA450C" w:rsidRDefault="00533F8C" w:rsidP="00BA450C">
                            <w:pPr>
                              <w:pStyle w:val="HStandard"/>
                              <w:jc w:val="left"/>
                              <w:rPr>
                                <w:sz w:val="18"/>
                                <w:szCs w:val="18"/>
                              </w:rPr>
                            </w:pPr>
                            <w:r>
                              <w:rPr>
                                <w:sz w:val="18"/>
                                <w:szCs w:val="18"/>
                              </w:rPr>
                              <w:t xml:space="preserve">Collier, D. (2011), </w:t>
                            </w:r>
                            <w:hyperlink r:id="rId107" w:history="1">
                              <w:r>
                                <w:rPr>
                                  <w:rStyle w:val="Hyperlink"/>
                                  <w:sz w:val="18"/>
                                  <w:szCs w:val="18"/>
                                </w:rPr>
                                <w:t>Understanding process tracing (Process Tracing verstehen).</w:t>
                              </w:r>
                            </w:hyperlink>
                            <w:r>
                              <w:rPr>
                                <w:sz w:val="18"/>
                                <w:szCs w:val="18"/>
                              </w:rPr>
                              <w:t> PS: Political Science &amp; Politics 44.04: 823-830.</w:t>
                            </w:r>
                          </w:p>
                          <w:p w:rsidR="00533F8C" w:rsidRPr="00BA450C" w:rsidRDefault="00533F8C" w:rsidP="00BA450C">
                            <w:pPr>
                              <w:pStyle w:val="HStandard"/>
                              <w:jc w:val="left"/>
                              <w:rPr>
                                <w:sz w:val="18"/>
                                <w:szCs w:val="18"/>
                              </w:rPr>
                            </w:pPr>
                            <w:r>
                              <w:rPr>
                                <w:sz w:val="18"/>
                                <w:szCs w:val="18"/>
                              </w:rPr>
                              <w:t xml:space="preserve">Douthwaite, B. und Ashby, J. (2005), Innovation histories: a method from learning from experience (Innovationshistorien: eine Methode, aus Erfahrungen zu lernen), Institutional Learning and Change Initiative. Aufgerufen am 15. Mai unter: </w:t>
                            </w:r>
                            <w:hyperlink r:id="rId108" w:history="1">
                              <w:r>
                                <w:rPr>
                                  <w:rStyle w:val="Hyperlink"/>
                                  <w:sz w:val="18"/>
                                  <w:szCs w:val="18"/>
                                </w:rPr>
                                <w:t>http://ageconsearch.umn.edu/bitstream/52515/2/ILAC_Brief05_Histories.pdf</w:t>
                              </w:r>
                            </w:hyperlink>
                          </w:p>
                          <w:p w:rsidR="00533F8C" w:rsidRPr="00A86A02" w:rsidRDefault="00533F8C" w:rsidP="00BA450C">
                            <w:pPr>
                              <w:pStyle w:val="HStandard"/>
                              <w:jc w:val="left"/>
                              <w:rPr>
                                <w:sz w:val="18"/>
                                <w:szCs w:val="18"/>
                                <w:lang w:val="en-GB"/>
                              </w:rPr>
                            </w:pPr>
                            <w:r w:rsidRPr="00A86A02">
                              <w:rPr>
                                <w:sz w:val="18"/>
                                <w:szCs w:val="18"/>
                                <w:lang w:val="en-GB"/>
                              </w:rPr>
                              <w:t xml:space="preserve">GAO (General Accounts Office) (1987), </w:t>
                            </w:r>
                            <w:hyperlink r:id="rId109" w:history="1">
                              <w:r w:rsidRPr="00A86A02">
                                <w:rPr>
                                  <w:rStyle w:val="Hyperlink"/>
                                  <w:sz w:val="18"/>
                                  <w:szCs w:val="18"/>
                                  <w:lang w:val="en-GB"/>
                                </w:rPr>
                                <w:t>Case study evaluation.</w:t>
                              </w:r>
                            </w:hyperlink>
                            <w:hyperlink r:id="rId110" w:history="1">
                              <w:r w:rsidRPr="00A86A02">
                                <w:rPr>
                                  <w:rStyle w:val="Hyperlink"/>
                                  <w:sz w:val="18"/>
                                  <w:szCs w:val="18"/>
                                  <w:lang w:val="en-GB"/>
                                </w:rPr>
                                <w:t xml:space="preserve"> Program Evaluation and Methodology (Fallstudienbewertung. Programmbewertung und Methodik)</w:t>
                              </w:r>
                            </w:hyperlink>
                            <w:r w:rsidRPr="00A86A02">
                              <w:rPr>
                                <w:sz w:val="18"/>
                                <w:szCs w:val="18"/>
                                <w:lang w:val="en-GB"/>
                              </w:rPr>
                              <w:t>, Division, Transfer Paper 9. Washington DC: GAO.</w:t>
                            </w:r>
                          </w:p>
                          <w:p w:rsidR="00533F8C" w:rsidRPr="00A86A02" w:rsidRDefault="00533F8C" w:rsidP="00BA450C">
                            <w:pPr>
                              <w:pStyle w:val="HStandard"/>
                              <w:jc w:val="left"/>
                              <w:rPr>
                                <w:sz w:val="18"/>
                                <w:szCs w:val="18"/>
                                <w:lang w:val="en-GB"/>
                              </w:rPr>
                            </w:pPr>
                            <w:r w:rsidRPr="00A86A02">
                              <w:rPr>
                                <w:sz w:val="18"/>
                                <w:szCs w:val="18"/>
                                <w:lang w:val="en-GB"/>
                              </w:rPr>
                              <w:t xml:space="preserve">Hilton, D. J. (1996), </w:t>
                            </w:r>
                            <w:hyperlink r:id="rId111" w:history="1">
                              <w:r w:rsidRPr="00A86A02">
                                <w:rPr>
                                  <w:rStyle w:val="Hyperlink"/>
                                  <w:sz w:val="18"/>
                                  <w:szCs w:val="18"/>
                                  <w:lang w:val="en-GB"/>
                                </w:rPr>
                                <w:t>Mental models and causal explanation:</w:t>
                              </w:r>
                            </w:hyperlink>
                            <w:hyperlink r:id="rId112" w:history="1">
                              <w:r w:rsidRPr="00A86A02">
                                <w:rPr>
                                  <w:rStyle w:val="Hyperlink"/>
                                  <w:sz w:val="18"/>
                                  <w:szCs w:val="18"/>
                                  <w:lang w:val="en-GB"/>
                                </w:rPr>
                                <w:t xml:space="preserve"> Judgments of probable cause and explanatory relevance (Gedankliche Modelle und kausale Erklärung: Beurteilung wahrscheinlicher Ursachen und Relevanz der Erklärung)</w:t>
                              </w:r>
                            </w:hyperlink>
                            <w:r w:rsidRPr="00A86A02">
                              <w:rPr>
                                <w:sz w:val="18"/>
                                <w:szCs w:val="18"/>
                                <w:lang w:val="en-GB"/>
                              </w:rPr>
                              <w:t>. Thinking &amp; Reasoning, 2(4), S. 273-308.</w:t>
                            </w:r>
                          </w:p>
                          <w:p w:rsidR="00533F8C" w:rsidRPr="00A86A02" w:rsidRDefault="00533F8C" w:rsidP="00BA450C">
                            <w:pPr>
                              <w:pStyle w:val="HStandard"/>
                              <w:jc w:val="left"/>
                              <w:rPr>
                                <w:sz w:val="18"/>
                                <w:szCs w:val="18"/>
                                <w:lang w:val="en-GB"/>
                              </w:rPr>
                            </w:pPr>
                            <w:r w:rsidRPr="00A86A02">
                              <w:rPr>
                                <w:sz w:val="18"/>
                                <w:szCs w:val="18"/>
                                <w:lang w:val="en-GB"/>
                              </w:rPr>
                              <w:t xml:space="preserve">Mayne, J. (2012), </w:t>
                            </w:r>
                            <w:hyperlink r:id="rId113" w:history="1">
                              <w:r w:rsidRPr="00A86A02">
                                <w:rPr>
                                  <w:rStyle w:val="Hyperlink"/>
                                  <w:sz w:val="18"/>
                                  <w:szCs w:val="18"/>
                                  <w:lang w:val="en-GB"/>
                                </w:rPr>
                                <w:t>Contribution analysis:</w:t>
                              </w:r>
                            </w:hyperlink>
                            <w:hyperlink r:id="rId114" w:history="1">
                              <w:r w:rsidRPr="00A86A02">
                                <w:rPr>
                                  <w:rStyle w:val="Hyperlink"/>
                                  <w:sz w:val="18"/>
                                  <w:szCs w:val="18"/>
                                  <w:lang w:val="en-GB"/>
                                </w:rPr>
                                <w:t xml:space="preserve"> Coming of age? (Beitragsanalyse:</w:t>
                              </w:r>
                              <w:r>
                                <w:rPr>
                                  <w:rStyle w:val="Hyperlink"/>
                                  <w:sz w:val="18"/>
                                  <w:szCs w:val="18"/>
                                  <w:lang w:val="en-GB"/>
                                </w:rPr>
                                <w:t xml:space="preserve"> ein vollwertiges Instrument</w:t>
                              </w:r>
                              <w:r w:rsidRPr="00A86A02">
                                <w:rPr>
                                  <w:rStyle w:val="Hyperlink"/>
                                  <w:sz w:val="18"/>
                                  <w:szCs w:val="18"/>
                                  <w:lang w:val="en-GB"/>
                                </w:rPr>
                                <w:t>?)</w:t>
                              </w:r>
                            </w:hyperlink>
                            <w:r>
                              <w:rPr>
                                <w:rStyle w:val="Hyperlink"/>
                                <w:sz w:val="18"/>
                                <w:szCs w:val="18"/>
                                <w:lang w:val="en-GB"/>
                              </w:rPr>
                              <w:t xml:space="preserve"> </w:t>
                            </w:r>
                            <w:r w:rsidRPr="00A86A02">
                              <w:rPr>
                                <w:sz w:val="18"/>
                                <w:szCs w:val="18"/>
                                <w:lang w:val="en-GB"/>
                              </w:rPr>
                              <w:t>Evaluation 18.3 (2012): 270-280.</w:t>
                            </w:r>
                          </w:p>
                          <w:p w:rsidR="00533F8C" w:rsidRPr="00AD4F97" w:rsidRDefault="00533F8C" w:rsidP="00BA450C">
                            <w:pPr>
                              <w:pStyle w:val="HStandard"/>
                              <w:jc w:val="left"/>
                              <w:rPr>
                                <w:sz w:val="18"/>
                                <w:szCs w:val="18"/>
                                <w:lang w:val="en-GB"/>
                              </w:rPr>
                            </w:pPr>
                            <w:r w:rsidRPr="00A86A02">
                              <w:rPr>
                                <w:sz w:val="18"/>
                                <w:szCs w:val="18"/>
                                <w:lang w:val="en-GB"/>
                              </w:rPr>
                              <w:t xml:space="preserve">Pawson, R., Greenhalgh, T., Harvey, G. und Walshe, K. (2005), </w:t>
                            </w:r>
                            <w:hyperlink r:id="rId115" w:history="1">
                              <w:r w:rsidRPr="00A86A02">
                                <w:rPr>
                                  <w:rStyle w:val="Hyperlink"/>
                                  <w:sz w:val="18"/>
                                  <w:szCs w:val="18"/>
                                  <w:lang w:val="en-GB"/>
                                </w:rPr>
                                <w:t>Realist review – a new method of systematic review designed for complex policy interventions (Realistische Überprüfung – eine neue Methode zur systematischen Überprüfung komplexer politischer Interventionen).</w:t>
                              </w:r>
                            </w:hyperlink>
                            <w:r w:rsidRPr="00A86A02">
                              <w:rPr>
                                <w:sz w:val="18"/>
                                <w:szCs w:val="18"/>
                                <w:lang w:val="en-GB"/>
                              </w:rPr>
                              <w:t> </w:t>
                            </w:r>
                            <w:r w:rsidRPr="00AD4F97">
                              <w:rPr>
                                <w:sz w:val="18"/>
                                <w:szCs w:val="18"/>
                                <w:lang w:val="en-GB"/>
                              </w:rPr>
                              <w:t>Journal of health services research &amp; policy, 10 (Suppl. 1), S. 21-34.</w:t>
                            </w:r>
                          </w:p>
                          <w:p w:rsidR="00533F8C" w:rsidRPr="00BA450C" w:rsidRDefault="00533F8C" w:rsidP="00BA450C">
                            <w:pPr>
                              <w:pStyle w:val="HStandard"/>
                              <w:jc w:val="left"/>
                              <w:rPr>
                                <w:sz w:val="18"/>
                                <w:szCs w:val="18"/>
                              </w:rPr>
                            </w:pPr>
                            <w:r w:rsidRPr="00A86A02">
                              <w:rPr>
                                <w:sz w:val="18"/>
                                <w:szCs w:val="18"/>
                                <w:lang w:val="en-GB"/>
                              </w:rPr>
                              <w:t xml:space="preserve">Wilson-Grau, R. (2015), </w:t>
                            </w:r>
                            <w:r w:rsidRPr="00A86A02">
                              <w:rPr>
                                <w:i/>
                                <w:sz w:val="18"/>
                                <w:szCs w:val="18"/>
                                <w:lang w:val="en-GB"/>
                              </w:rPr>
                              <w:t>Outcome Harvesting</w:t>
                            </w:r>
                            <w:r w:rsidRPr="00A86A02">
                              <w:rPr>
                                <w:sz w:val="18"/>
                                <w:szCs w:val="18"/>
                                <w:lang w:val="en-GB"/>
                              </w:rPr>
                              <w:t xml:space="preserve">. </w:t>
                            </w:r>
                            <w:r>
                              <w:rPr>
                                <w:sz w:val="18"/>
                                <w:szCs w:val="18"/>
                              </w:rPr>
                              <w:t>Better Evaluation (Outcome Harvesting. Bessere Bewertung). Abgerufen unter </w:t>
                            </w:r>
                            <w:hyperlink r:id="rId116" w:history="1">
                              <w:r>
                                <w:rPr>
                                  <w:rStyle w:val="Hyperlink"/>
                                  <w:sz w:val="18"/>
                                  <w:szCs w:val="18"/>
                                </w:rPr>
                                <w:t>http://betterevaluation.org/plan/approach/outcome_harvesting</w:t>
                              </w:r>
                            </w:hyperlink>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43F79" id="Rectangle: Diagonal Corners Rounded 582" o:spid="_x0000_s1059" style="position:absolute;left:0;text-align:left;margin-left:-4.5pt;margin-top:25.5pt;width:457.65pt;height:42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864,5362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" adj="-11796480,,5400" path="m375166,l5811864,r,l5811864,4987409v,207198,-167968,375166,-375166,375166l,5362575r,l,375166c,167968,167968,,375166,xe" filled="f" strokecolor="#59638e" strokeweight="2pt">
                <v:stroke joinstyle="miter"/>
                <v:formulas/>
                <v:path arrowok="t" o:connecttype="custom" o:connectlocs="375166,0;5811864,0;5811864,0;5811864,4987409;5436698,5362575;0,5362575;0,5362575;0,375166;375166,0" o:connectangles="0,0,0,0,0,0,0,0,0" textboxrect="0,0,5811864,5362575"/>
                <v:textbox>
                  <w:txbxContent>
                    <w:p w:rsidR="00533F8C" w:rsidRDefault="00533F8C" w:rsidP="00BA450C">
                      <w:pPr>
                        <w:pStyle w:val="HStandard"/>
                        <w:rPr>
                          <w:sz w:val="18"/>
                          <w:szCs w:val="18"/>
                        </w:rPr>
                      </w:pPr>
                      <w:r>
                        <w:rPr>
                          <w:noProof/>
                          <w:lang w:val="en-GB" w:eastAsia="en-GB"/>
                        </w:rPr>
                        <w:drawing>
                          <wp:inline distT="0" distB="0" distL="0" distR="0" wp14:anchorId="788FCDB6" wp14:editId="3FD3C637">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33F8C" w:rsidRPr="00BA450C" w:rsidRDefault="00533F8C" w:rsidP="00BA450C">
                      <w:pPr>
                        <w:pStyle w:val="HStandard"/>
                        <w:rPr>
                          <w:sz w:val="18"/>
                          <w:szCs w:val="18"/>
                        </w:rPr>
                      </w:pPr>
                      <w:r>
                        <w:rPr>
                          <w:sz w:val="18"/>
                          <w:szCs w:val="18"/>
                        </w:rPr>
                        <w:t xml:space="preserve">Allen, I. E. und Seaman, C. A. (2007), </w:t>
                      </w:r>
                      <w:hyperlink r:id="rId117" w:history="1">
                        <w:r>
                          <w:rPr>
                            <w:rStyle w:val="Hyperlink"/>
                            <w:sz w:val="18"/>
                            <w:szCs w:val="18"/>
                          </w:rPr>
                          <w:t>Likert scales and data analyses</w:t>
                        </w:r>
                      </w:hyperlink>
                      <w:r>
                        <w:rPr>
                          <w:sz w:val="18"/>
                          <w:szCs w:val="18"/>
                        </w:rPr>
                        <w:t>. Quality progress (Likert-Skalen und Datenanalysen. Qualitätsfortschritte), 40(7), S. 64.</w:t>
                      </w:r>
                    </w:p>
                    <w:p w:rsidR="00533F8C" w:rsidRPr="00BA450C" w:rsidRDefault="00533F8C" w:rsidP="00BA450C">
                      <w:pPr>
                        <w:pStyle w:val="HStandard"/>
                        <w:jc w:val="left"/>
                        <w:rPr>
                          <w:sz w:val="18"/>
                          <w:szCs w:val="18"/>
                        </w:rPr>
                      </w:pPr>
                      <w:r>
                        <w:rPr>
                          <w:sz w:val="18"/>
                          <w:szCs w:val="18"/>
                        </w:rPr>
                        <w:t xml:space="preserve">Collier, D. (2011), </w:t>
                      </w:r>
                      <w:hyperlink r:id="rId118" w:history="1">
                        <w:r>
                          <w:rPr>
                            <w:rStyle w:val="Hyperlink"/>
                            <w:sz w:val="18"/>
                            <w:szCs w:val="18"/>
                          </w:rPr>
                          <w:t>Understanding process tracing (Process Tracing verstehen).</w:t>
                        </w:r>
                      </w:hyperlink>
                      <w:r>
                        <w:rPr>
                          <w:sz w:val="18"/>
                          <w:szCs w:val="18"/>
                        </w:rPr>
                        <w:t> PS: Political Science &amp; Politics 44.04: 823-830.</w:t>
                      </w:r>
                    </w:p>
                    <w:p w:rsidR="00533F8C" w:rsidRPr="00BA450C" w:rsidRDefault="00533F8C" w:rsidP="00BA450C">
                      <w:pPr>
                        <w:pStyle w:val="HStandard"/>
                        <w:jc w:val="left"/>
                        <w:rPr>
                          <w:sz w:val="18"/>
                          <w:szCs w:val="18"/>
                        </w:rPr>
                      </w:pPr>
                      <w:r>
                        <w:rPr>
                          <w:sz w:val="18"/>
                          <w:szCs w:val="18"/>
                        </w:rPr>
                        <w:t xml:space="preserve">Douthwaite, B. und Ashby, J. (2005), Innovation histories: a method from learning from experience (Innovationshistorien: eine Methode, aus Erfahrungen zu lernen), Institutional Learning and Change Initiative. Aufgerufen am 15. Mai unter: </w:t>
                      </w:r>
                      <w:hyperlink r:id="rId119" w:history="1">
                        <w:r>
                          <w:rPr>
                            <w:rStyle w:val="Hyperlink"/>
                            <w:sz w:val="18"/>
                            <w:szCs w:val="18"/>
                          </w:rPr>
                          <w:t>http://ageconsearch.umn.edu/bitstream/52515/2/ILAC_Brief05_Histories.pdf</w:t>
                        </w:r>
                      </w:hyperlink>
                    </w:p>
                    <w:p w:rsidR="00533F8C" w:rsidRPr="00A86A02" w:rsidRDefault="00533F8C" w:rsidP="00BA450C">
                      <w:pPr>
                        <w:pStyle w:val="HStandard"/>
                        <w:jc w:val="left"/>
                        <w:rPr>
                          <w:sz w:val="18"/>
                          <w:szCs w:val="18"/>
                          <w:lang w:val="en-GB"/>
                        </w:rPr>
                      </w:pPr>
                      <w:r w:rsidRPr="00A86A02">
                        <w:rPr>
                          <w:sz w:val="18"/>
                          <w:szCs w:val="18"/>
                          <w:lang w:val="en-GB"/>
                        </w:rPr>
                        <w:t xml:space="preserve">GAO (General Accounts Office) (1987), </w:t>
                      </w:r>
                      <w:hyperlink r:id="rId120" w:history="1">
                        <w:r w:rsidRPr="00A86A02">
                          <w:rPr>
                            <w:rStyle w:val="Hyperlink"/>
                            <w:sz w:val="18"/>
                            <w:szCs w:val="18"/>
                            <w:lang w:val="en-GB"/>
                          </w:rPr>
                          <w:t>Case study evaluation.</w:t>
                        </w:r>
                      </w:hyperlink>
                      <w:hyperlink r:id="rId121" w:history="1">
                        <w:r w:rsidRPr="00A86A02">
                          <w:rPr>
                            <w:rStyle w:val="Hyperlink"/>
                            <w:sz w:val="18"/>
                            <w:szCs w:val="18"/>
                            <w:lang w:val="en-GB"/>
                          </w:rPr>
                          <w:t xml:space="preserve"> Program Evaluation and Methodology (Fallstudienbewertung. Programmbewertung und Methodik)</w:t>
                        </w:r>
                      </w:hyperlink>
                      <w:r w:rsidRPr="00A86A02">
                        <w:rPr>
                          <w:sz w:val="18"/>
                          <w:szCs w:val="18"/>
                          <w:lang w:val="en-GB"/>
                        </w:rPr>
                        <w:t>, Division, Transfer Paper 9. Washington DC: GAO.</w:t>
                      </w:r>
                    </w:p>
                    <w:p w:rsidR="00533F8C" w:rsidRPr="00A86A02" w:rsidRDefault="00533F8C" w:rsidP="00BA450C">
                      <w:pPr>
                        <w:pStyle w:val="HStandard"/>
                        <w:jc w:val="left"/>
                        <w:rPr>
                          <w:sz w:val="18"/>
                          <w:szCs w:val="18"/>
                          <w:lang w:val="en-GB"/>
                        </w:rPr>
                      </w:pPr>
                      <w:r w:rsidRPr="00A86A02">
                        <w:rPr>
                          <w:sz w:val="18"/>
                          <w:szCs w:val="18"/>
                          <w:lang w:val="en-GB"/>
                        </w:rPr>
                        <w:t xml:space="preserve">Hilton, D. J. (1996), </w:t>
                      </w:r>
                      <w:hyperlink r:id="rId122" w:history="1">
                        <w:r w:rsidRPr="00A86A02">
                          <w:rPr>
                            <w:rStyle w:val="Hyperlink"/>
                            <w:sz w:val="18"/>
                            <w:szCs w:val="18"/>
                            <w:lang w:val="en-GB"/>
                          </w:rPr>
                          <w:t>Mental models and causal explanation:</w:t>
                        </w:r>
                      </w:hyperlink>
                      <w:hyperlink r:id="rId123" w:history="1">
                        <w:r w:rsidRPr="00A86A02">
                          <w:rPr>
                            <w:rStyle w:val="Hyperlink"/>
                            <w:sz w:val="18"/>
                            <w:szCs w:val="18"/>
                            <w:lang w:val="en-GB"/>
                          </w:rPr>
                          <w:t xml:space="preserve"> Judgments of probable cause and explanatory relevance (Gedankliche Modelle und kausale Erklärung: Beurteilung wahrscheinlicher Ursachen und Relevanz der Erklärung)</w:t>
                        </w:r>
                      </w:hyperlink>
                      <w:r w:rsidRPr="00A86A02">
                        <w:rPr>
                          <w:sz w:val="18"/>
                          <w:szCs w:val="18"/>
                          <w:lang w:val="en-GB"/>
                        </w:rPr>
                        <w:t>. Thinking &amp; Reasoning, 2(4), S. 273-308.</w:t>
                      </w:r>
                    </w:p>
                    <w:p w:rsidR="00533F8C" w:rsidRPr="00A86A02" w:rsidRDefault="00533F8C" w:rsidP="00BA450C">
                      <w:pPr>
                        <w:pStyle w:val="HStandard"/>
                        <w:jc w:val="left"/>
                        <w:rPr>
                          <w:sz w:val="18"/>
                          <w:szCs w:val="18"/>
                          <w:lang w:val="en-GB"/>
                        </w:rPr>
                      </w:pPr>
                      <w:r w:rsidRPr="00A86A02">
                        <w:rPr>
                          <w:sz w:val="18"/>
                          <w:szCs w:val="18"/>
                          <w:lang w:val="en-GB"/>
                        </w:rPr>
                        <w:t xml:space="preserve">Mayne, J. (2012), </w:t>
                      </w:r>
                      <w:hyperlink r:id="rId124" w:history="1">
                        <w:r w:rsidRPr="00A86A02">
                          <w:rPr>
                            <w:rStyle w:val="Hyperlink"/>
                            <w:sz w:val="18"/>
                            <w:szCs w:val="18"/>
                            <w:lang w:val="en-GB"/>
                          </w:rPr>
                          <w:t>Contribution analysis:</w:t>
                        </w:r>
                      </w:hyperlink>
                      <w:hyperlink r:id="rId125" w:history="1">
                        <w:r w:rsidRPr="00A86A02">
                          <w:rPr>
                            <w:rStyle w:val="Hyperlink"/>
                            <w:sz w:val="18"/>
                            <w:szCs w:val="18"/>
                            <w:lang w:val="en-GB"/>
                          </w:rPr>
                          <w:t xml:space="preserve"> Coming of age? (Beitragsanalyse:</w:t>
                        </w:r>
                        <w:r>
                          <w:rPr>
                            <w:rStyle w:val="Hyperlink"/>
                            <w:sz w:val="18"/>
                            <w:szCs w:val="18"/>
                            <w:lang w:val="en-GB"/>
                          </w:rPr>
                          <w:t xml:space="preserve"> ein vollwertiges Instrument</w:t>
                        </w:r>
                        <w:r w:rsidRPr="00A86A02">
                          <w:rPr>
                            <w:rStyle w:val="Hyperlink"/>
                            <w:sz w:val="18"/>
                            <w:szCs w:val="18"/>
                            <w:lang w:val="en-GB"/>
                          </w:rPr>
                          <w:t>?)</w:t>
                        </w:r>
                      </w:hyperlink>
                      <w:r>
                        <w:rPr>
                          <w:rStyle w:val="Hyperlink"/>
                          <w:sz w:val="18"/>
                          <w:szCs w:val="18"/>
                          <w:lang w:val="en-GB"/>
                        </w:rPr>
                        <w:t xml:space="preserve"> </w:t>
                      </w:r>
                      <w:r w:rsidRPr="00A86A02">
                        <w:rPr>
                          <w:sz w:val="18"/>
                          <w:szCs w:val="18"/>
                          <w:lang w:val="en-GB"/>
                        </w:rPr>
                        <w:t>Evaluation 18.3 (2012): 270-280.</w:t>
                      </w:r>
                    </w:p>
                    <w:p w:rsidR="00533F8C" w:rsidRPr="00AD4F97" w:rsidRDefault="00533F8C" w:rsidP="00BA450C">
                      <w:pPr>
                        <w:pStyle w:val="HStandard"/>
                        <w:jc w:val="left"/>
                        <w:rPr>
                          <w:sz w:val="18"/>
                          <w:szCs w:val="18"/>
                          <w:lang w:val="en-GB"/>
                        </w:rPr>
                      </w:pPr>
                      <w:r w:rsidRPr="00A86A02">
                        <w:rPr>
                          <w:sz w:val="18"/>
                          <w:szCs w:val="18"/>
                          <w:lang w:val="en-GB"/>
                        </w:rPr>
                        <w:t xml:space="preserve">Pawson, R., Greenhalgh, T., Harvey, G. und Walshe, K. (2005), </w:t>
                      </w:r>
                      <w:hyperlink r:id="rId126" w:history="1">
                        <w:r w:rsidRPr="00A86A02">
                          <w:rPr>
                            <w:rStyle w:val="Hyperlink"/>
                            <w:sz w:val="18"/>
                            <w:szCs w:val="18"/>
                            <w:lang w:val="en-GB"/>
                          </w:rPr>
                          <w:t>Realist review – a new method of systematic review designed for complex policy interventions (Realistische Überprüfung – eine neue Methode zur systematischen Überprüfung komplexer politischer Interventionen).</w:t>
                        </w:r>
                      </w:hyperlink>
                      <w:r w:rsidRPr="00A86A02">
                        <w:rPr>
                          <w:sz w:val="18"/>
                          <w:szCs w:val="18"/>
                          <w:lang w:val="en-GB"/>
                        </w:rPr>
                        <w:t> </w:t>
                      </w:r>
                      <w:r w:rsidRPr="00AD4F97">
                        <w:rPr>
                          <w:sz w:val="18"/>
                          <w:szCs w:val="18"/>
                          <w:lang w:val="en-GB"/>
                        </w:rPr>
                        <w:t>Journal of health services research &amp; policy, 10 (Suppl. 1), S. 21-34.</w:t>
                      </w:r>
                    </w:p>
                    <w:p w:rsidR="00533F8C" w:rsidRPr="00BA450C" w:rsidRDefault="00533F8C" w:rsidP="00BA450C">
                      <w:pPr>
                        <w:pStyle w:val="HStandard"/>
                        <w:jc w:val="left"/>
                        <w:rPr>
                          <w:sz w:val="18"/>
                          <w:szCs w:val="18"/>
                        </w:rPr>
                      </w:pPr>
                      <w:r w:rsidRPr="00A86A02">
                        <w:rPr>
                          <w:sz w:val="18"/>
                          <w:szCs w:val="18"/>
                          <w:lang w:val="en-GB"/>
                        </w:rPr>
                        <w:t xml:space="preserve">Wilson-Grau, R. (2015), </w:t>
                      </w:r>
                      <w:r w:rsidRPr="00A86A02">
                        <w:rPr>
                          <w:i/>
                          <w:sz w:val="18"/>
                          <w:szCs w:val="18"/>
                          <w:lang w:val="en-GB"/>
                        </w:rPr>
                        <w:t>Outcome Harvesting</w:t>
                      </w:r>
                      <w:r w:rsidRPr="00A86A02">
                        <w:rPr>
                          <w:sz w:val="18"/>
                          <w:szCs w:val="18"/>
                          <w:lang w:val="en-GB"/>
                        </w:rPr>
                        <w:t xml:space="preserve">. </w:t>
                      </w:r>
                      <w:r>
                        <w:rPr>
                          <w:sz w:val="18"/>
                          <w:szCs w:val="18"/>
                        </w:rPr>
                        <w:t>Better Evaluation (Outcome Harvesting. Bessere Bewertung). Abgerufen unter </w:t>
                      </w:r>
                      <w:hyperlink r:id="rId127" w:history="1">
                        <w:r>
                          <w:rPr>
                            <w:rStyle w:val="Hyperlink"/>
                            <w:sz w:val="18"/>
                            <w:szCs w:val="18"/>
                          </w:rPr>
                          <w:t>http://betterevaluation.org/plan/approach/outcome_harvesting</w:t>
                        </w:r>
                      </w:hyperlink>
                      <w:r>
                        <w:rPr>
                          <w:sz w:val="18"/>
                          <w:szCs w:val="18"/>
                        </w:rPr>
                        <w:t>.</w:t>
                      </w:r>
                    </w:p>
                  </w:txbxContent>
                </v:textbox>
              </v:shape>
            </w:pict>
          </mc:Fallback>
        </mc:AlternateContent>
      </w:r>
      <w:r>
        <w:rPr>
          <w:b/>
          <w:color w:val="57825E"/>
          <w:szCs w:val="20"/>
        </w:rPr>
        <w:t>Weiterführende Literatur</w:t>
      </w:r>
    </w:p>
    <w:p w:rsidR="00E05D08" w:rsidRDefault="00E05D08" w:rsidP="00E05D08">
      <w:pPr>
        <w:spacing w:after="120" w:line="280" w:lineRule="atLeast"/>
        <w:mirrorIndents/>
        <w:rPr>
          <w:rFonts w:eastAsia="Times New Roman" w:cs="Times New Roman"/>
          <w:szCs w:val="20"/>
          <w:lang w:eastAsia="de-DE"/>
        </w:rPr>
      </w:pPr>
    </w:p>
    <w:p w:rsidR="000E0FE4" w:rsidRDefault="000E0FE4" w:rsidP="0025413B">
      <w:pPr>
        <w:pStyle w:val="HHeading1"/>
        <w:tabs>
          <w:tab w:val="clear" w:pos="567"/>
        </w:tabs>
        <w:sectPr w:rsidR="000E0FE4" w:rsidSect="001F6F07">
          <w:type w:val="continuous"/>
          <w:pgSz w:w="11907" w:h="16840" w:code="9"/>
          <w:pgMar w:top="1440" w:right="1440" w:bottom="1134" w:left="1440" w:header="567" w:footer="1020" w:gutter="0"/>
          <w:cols w:space="708"/>
          <w:titlePg/>
          <w:docGrid w:linePitch="435"/>
        </w:sectPr>
      </w:pPr>
      <w:bookmarkStart w:id="136" w:name="_Toc493151905"/>
      <w:bookmarkStart w:id="137" w:name="_Toc501382136"/>
    </w:p>
    <w:p w:rsidR="00E05D08" w:rsidRPr="00F5230D" w:rsidRDefault="00E05D08" w:rsidP="0025413B">
      <w:pPr>
        <w:pStyle w:val="HHeading1"/>
        <w:tabs>
          <w:tab w:val="clear" w:pos="567"/>
        </w:tabs>
      </w:pPr>
      <w:bookmarkStart w:id="138" w:name="_Toc508377846"/>
      <w:r>
        <w:lastRenderedPageBreak/>
        <w:t>ANHÄNGE</w:t>
      </w:r>
      <w:bookmarkEnd w:id="136"/>
      <w:bookmarkEnd w:id="137"/>
      <w:bookmarkEnd w:id="138"/>
    </w:p>
    <w:p w:rsidR="00E05D08" w:rsidRPr="009414CC" w:rsidRDefault="00E05D08" w:rsidP="0025413B">
      <w:pPr>
        <w:pStyle w:val="HHeading2"/>
        <w:numPr>
          <w:ilvl w:val="1"/>
          <w:numId w:val="119"/>
        </w:numPr>
        <w:ind w:left="567" w:hanging="567"/>
      </w:pPr>
      <w:bookmarkStart w:id="139" w:name="_Toc476063939"/>
      <w:bookmarkStart w:id="140" w:name="_Toc476064206"/>
      <w:bookmarkStart w:id="141" w:name="_Toc476064501"/>
      <w:bookmarkStart w:id="142" w:name="_Toc476064561"/>
      <w:bookmarkStart w:id="143" w:name="_Toc493151906"/>
      <w:bookmarkStart w:id="144" w:name="_Toc501382137"/>
      <w:bookmarkStart w:id="145" w:name="_Toc508377847"/>
      <w:bookmarkEnd w:id="139"/>
      <w:bookmarkEnd w:id="140"/>
      <w:bookmarkEnd w:id="141"/>
      <w:bookmarkEnd w:id="142"/>
      <w:r>
        <w:t>Glossar</w:t>
      </w:r>
      <w:bookmarkEnd w:id="143"/>
      <w:bookmarkEnd w:id="144"/>
      <w:bookmarkEnd w:id="145"/>
    </w:p>
    <w:p w:rsidR="0025413B" w:rsidRDefault="0025413B" w:rsidP="0025413B">
      <w:pPr>
        <w:rPr>
          <w:rFonts w:eastAsia="Arial" w:cs="Arial"/>
          <w:b/>
          <w:color w:val="57825E"/>
          <w:szCs w:val="20"/>
        </w:rPr>
      </w:pPr>
      <w:r>
        <w:rPr>
          <w:b/>
          <w:color w:val="57825E"/>
          <w:szCs w:val="20"/>
        </w:rPr>
        <w:t>Cluster:</w:t>
      </w:r>
    </w:p>
    <w:p w:rsidR="0025413B" w:rsidRDefault="0025413B" w:rsidP="0025413B">
      <w:pPr>
        <w:rPr>
          <w:rFonts w:cs="Arial"/>
          <w:color w:val="404040" w:themeColor="background1" w:themeShade="40"/>
          <w:szCs w:val="20"/>
        </w:rPr>
      </w:pPr>
      <w:r>
        <w:rPr>
          <w:color w:val="404040" w:themeColor="background1" w:themeShade="40"/>
          <w:szCs w:val="20"/>
        </w:rPr>
        <w:t>Eine Gruppierung aus eigenständigen Unternehmen – einschließlich Neugründungen, kleine, mittlere und große Unternehmen sowie Beratungsstellen und/oder Forschungseinrichtungen –, die Wirtschafts-/Innovationstätigkeiten durch die Förderung intensiver wechselseitiger Beziehungen, die gemeinsame Nutzung von Einrichtungen, den Austausch von Wissen und Kenntnissen und durch einen wirksamen Beitrag zum Wissenstransfer, zur Vernetzung und zur Informationsverbreitung unter den beteiligten Unternehmen anregen sollen.</w:t>
      </w:r>
    </w:p>
    <w:p w:rsidR="0025413B" w:rsidRPr="00D5702B" w:rsidRDefault="0025413B" w:rsidP="0025413B">
      <w:pPr>
        <w:jc w:val="left"/>
        <w:rPr>
          <w:rFonts w:eastAsia="Times New Roman" w:cs="Arial"/>
          <w:i/>
          <w:color w:val="404040" w:themeColor="background1" w:themeShade="40"/>
          <w:sz w:val="16"/>
          <w:szCs w:val="16"/>
        </w:rPr>
      </w:pPr>
      <w:r>
        <w:rPr>
          <w:i/>
          <w:color w:val="404040" w:themeColor="background1" w:themeShade="40"/>
          <w:sz w:val="16"/>
          <w:szCs w:val="16"/>
          <w:u w:val="single"/>
        </w:rPr>
        <w:t>Quelle</w:t>
      </w:r>
      <w:r>
        <w:rPr>
          <w:i/>
          <w:color w:val="404040" w:themeColor="background1" w:themeShade="40"/>
          <w:sz w:val="16"/>
          <w:szCs w:val="16"/>
        </w:rPr>
        <w:t xml:space="preserve">: Leitfaden „‘Co-operation‘ measure – Article 35 of Regulation (EU) No 1305/2013“ (Die Maßnahme „Zusammenarbeit“ – Artikel 35 der Verordnung (EU) Nr. 1305/2013), November 2014: </w:t>
      </w:r>
      <w:hyperlink r:id="rId128" w:history="1">
        <w:r>
          <w:rPr>
            <w:rStyle w:val="Hyperlink"/>
            <w:i/>
            <w:szCs w:val="16"/>
          </w:rPr>
          <w:t>http://ec.europa.eu/eip/agriculture/sites/agri-eip/files/16_measure_fiche_art_35_co-operation.pdf</w:t>
        </w:r>
      </w:hyperlink>
    </w:p>
    <w:p w:rsidR="0025413B" w:rsidRPr="009125CD" w:rsidRDefault="0025413B" w:rsidP="0025413B">
      <w:pPr>
        <w:rPr>
          <w:rFonts w:eastAsia="Arial" w:cs="Arial"/>
          <w:b/>
          <w:color w:val="57825E"/>
          <w:szCs w:val="20"/>
        </w:rPr>
      </w:pPr>
      <w:r>
        <w:rPr>
          <w:b/>
          <w:color w:val="57825E"/>
          <w:szCs w:val="20"/>
        </w:rPr>
        <w:t>Innovationsförderndes Ergebnis</w:t>
      </w:r>
    </w:p>
    <w:p w:rsidR="0025413B" w:rsidRDefault="0025413B" w:rsidP="0025413B">
      <w:pPr>
        <w:rPr>
          <w:rFonts w:cs="Arial"/>
          <w:color w:val="404040" w:themeColor="background1" w:themeShade="40"/>
          <w:szCs w:val="20"/>
        </w:rPr>
      </w:pPr>
      <w:r>
        <w:rPr>
          <w:color w:val="404040" w:themeColor="background1" w:themeShade="40"/>
          <w:szCs w:val="20"/>
        </w:rPr>
        <w:t>Ergebnis, das mit den drei Innovationspfaden in Zusammenhang steht, z. B.: 1. Ermittlung und Förderung potenziell innovativer Ideen; 2. Förderung der Innovationsfähigkeit; und 3. Schaffung eines innovationsfördernden Umfelds. Es kann ausgedrückt werden als Veränderungen bei der Zahl und Qualität aufkommender innovativer Ideen; Veränderungen bei der Innovationsfähigkeit und Veränderungen des innovationsfördernden Umfelds.</w:t>
      </w:r>
    </w:p>
    <w:p w:rsidR="0025413B" w:rsidRPr="005E61D0" w:rsidRDefault="0025413B" w:rsidP="0025413B">
      <w:pPr>
        <w:rPr>
          <w:rFonts w:cs="Arial"/>
          <w:i/>
          <w:color w:val="404040" w:themeColor="background1" w:themeShade="40"/>
          <w:sz w:val="16"/>
          <w:szCs w:val="16"/>
        </w:rPr>
      </w:pPr>
      <w:r>
        <w:rPr>
          <w:i/>
          <w:color w:val="404040" w:themeColor="background1" w:themeShade="40"/>
          <w:sz w:val="16"/>
          <w:szCs w:val="16"/>
          <w:u w:val="single"/>
        </w:rPr>
        <w:t>Quelle</w:t>
      </w:r>
      <w:r>
        <w:rPr>
          <w:i/>
          <w:color w:val="404040" w:themeColor="background1" w:themeShade="40"/>
          <w:sz w:val="16"/>
          <w:szCs w:val="16"/>
        </w:rPr>
        <w:t>: Thematische Arbeitsgruppe 4.</w:t>
      </w:r>
    </w:p>
    <w:p w:rsidR="0025413B" w:rsidRDefault="0025413B" w:rsidP="0025413B">
      <w:pPr>
        <w:rPr>
          <w:rFonts w:eastAsia="Arial" w:cs="Arial"/>
          <w:b/>
          <w:color w:val="57825E"/>
          <w:szCs w:val="20"/>
        </w:rPr>
      </w:pPr>
      <w:r>
        <w:rPr>
          <w:b/>
          <w:color w:val="57825E"/>
          <w:szCs w:val="20"/>
        </w:rPr>
        <w:t>Europäische Innovationspartnerschaft (EIP)</w:t>
      </w:r>
    </w:p>
    <w:p w:rsidR="0025413B" w:rsidRDefault="0025413B" w:rsidP="0025413B">
      <w:pPr>
        <w:rPr>
          <w:rFonts w:cs="Arial"/>
          <w:color w:val="404040" w:themeColor="background1" w:themeShade="40"/>
          <w:szCs w:val="20"/>
        </w:rPr>
      </w:pPr>
      <w:r>
        <w:rPr>
          <w:color w:val="404040" w:themeColor="background1" w:themeShade="40"/>
          <w:szCs w:val="20"/>
        </w:rPr>
        <w:t>Sie ist als Teil der Leitinitiative Innovationsunion ein Konzept für Forschung und Innovation in der EU. Sie ist auf Herausforderungen ausgerichtet, wirkt auf die gesamte Forschungs- und Innovationskette ein und verschlankt und vereinfacht bestehende Instrumente und Initiativen und stimmt sie besser aufeinander ab.</w:t>
      </w:r>
    </w:p>
    <w:p w:rsidR="0025413B" w:rsidRPr="00A05F6E" w:rsidRDefault="0025413B" w:rsidP="0025413B">
      <w:pPr>
        <w:rPr>
          <w:rFonts w:eastAsia="Times New Roman" w:cs="Arial"/>
          <w:color w:val="404040" w:themeColor="background1" w:themeShade="40"/>
          <w:szCs w:val="20"/>
        </w:rPr>
      </w:pPr>
      <w:r>
        <w:rPr>
          <w:i/>
          <w:color w:val="404040" w:themeColor="background1" w:themeShade="40"/>
          <w:sz w:val="16"/>
          <w:szCs w:val="16"/>
          <w:u w:val="single"/>
        </w:rPr>
        <w:t>Quelle</w:t>
      </w:r>
      <w:r>
        <w:rPr>
          <w:i/>
          <w:color w:val="404040" w:themeColor="background1" w:themeShade="40"/>
          <w:sz w:val="16"/>
          <w:szCs w:val="16"/>
        </w:rPr>
        <w:t xml:space="preserve">: Mitteilung an das Europäische Parlament, den Rat, den Europäischen Wirtschafts- und Sozialausschuss und den Ausschuss der Regionen: Leitinitiative der Strategie Europa 2020 Innovationsunion (2010) </w:t>
      </w:r>
      <w:hyperlink r:id="rId129" w:history="1">
        <w:r>
          <w:rPr>
            <w:rStyle w:val="Hyperlink"/>
            <w:i/>
            <w:szCs w:val="16"/>
          </w:rPr>
          <w:t>https://ec.europa.eu/research/innovation-union/pdf/innovation-union-communication_de.pdf.</w:t>
        </w:r>
      </w:hyperlink>
    </w:p>
    <w:p w:rsidR="0025413B" w:rsidRDefault="0025413B" w:rsidP="000E0FE4">
      <w:pPr>
        <w:jc w:val="left"/>
        <w:rPr>
          <w:rFonts w:eastAsia="Arial" w:cs="Arial"/>
          <w:b/>
          <w:color w:val="57825E"/>
          <w:szCs w:val="20"/>
        </w:rPr>
      </w:pPr>
      <w:r>
        <w:rPr>
          <w:b/>
          <w:color w:val="57825E"/>
          <w:szCs w:val="20"/>
        </w:rPr>
        <w:t>Europäische Innovationspartnerschaft „Landwirtschaftliche Produktivität und Nachhaltigkeit“ (EIP-AGRI)</w:t>
      </w:r>
    </w:p>
    <w:p w:rsidR="0025413B" w:rsidRDefault="0025413B" w:rsidP="0025413B">
      <w:pPr>
        <w:rPr>
          <w:rFonts w:cs="Arial"/>
          <w:szCs w:val="20"/>
        </w:rPr>
      </w:pPr>
      <w:r>
        <w:t>Die EIP-AGRI wurde von der Kommission im Jahr 2012 auf den Weg gebracht und ist die Europäische Innovationspartnerschaft mit Schwerpunkt auf den Bereichen Land- und Forstwirtschaft. Die EIP-AGRI bringt Akteure im Bereich Innovation zusammen und schafft Synergien zwischen bestehenden Politikbereichen. Ihr übergeordnetes Ziel besteht darin, die Wettbewerbsfähigkeit und Nachhaltigkeit in diesen Wirtschaftszweigen zu fördern und auf diese Weise zu Folgendem beizutragen: eine stetige Versorgung mit Lebensmitteln, Futtermitteln und Biomaterialien und eine nachhaltige Bewirtschaftung der wesentlichen natürlichen Ressourcen, von denen die Land- und Forstwirtschaft abhängt, in Harmonie mit der Umwelt.</w:t>
      </w:r>
    </w:p>
    <w:p w:rsidR="0025413B" w:rsidRPr="00D5702B" w:rsidRDefault="0025413B" w:rsidP="0025413B">
      <w:pPr>
        <w:spacing w:after="120" w:line="280" w:lineRule="atLeast"/>
        <w:jc w:val="left"/>
        <w:rPr>
          <w:rFonts w:cs="Arial"/>
          <w:i/>
          <w:color w:val="404040" w:themeColor="background1" w:themeShade="40"/>
          <w:sz w:val="16"/>
          <w:szCs w:val="16"/>
        </w:rPr>
      </w:pPr>
      <w:r>
        <w:rPr>
          <w:i/>
          <w:color w:val="404040" w:themeColor="background1" w:themeShade="40"/>
          <w:sz w:val="16"/>
          <w:szCs w:val="16"/>
          <w:u w:val="single"/>
        </w:rPr>
        <w:t>Quelle</w:t>
      </w:r>
      <w:r>
        <w:rPr>
          <w:i/>
          <w:color w:val="404040" w:themeColor="background1" w:themeShade="40"/>
          <w:sz w:val="16"/>
          <w:szCs w:val="16"/>
        </w:rPr>
        <w:t xml:space="preserve">: „Evaluation study of the implementation of the European Innovation Partnership for Agricultural Productivity and Sustainability“ (Bewertungsstudie zur Umsetzung der Europäischen Innovationspartnerschaft „Landwirtschaftliche Produktivität und Nachhaltigkeit“) </w:t>
      </w:r>
      <w:r>
        <w:rPr>
          <w:i/>
          <w:color w:val="F07E31"/>
          <w:sz w:val="16"/>
          <w:szCs w:val="16"/>
          <w:u w:val="single"/>
        </w:rPr>
        <w:t>https://ec.europa.eu/agriculture/external-studies/2016-eip_en</w:t>
      </w:r>
    </w:p>
    <w:p w:rsidR="0025413B" w:rsidRPr="00D5702B" w:rsidRDefault="0025413B" w:rsidP="0025413B">
      <w:pPr>
        <w:jc w:val="left"/>
        <w:rPr>
          <w:rFonts w:eastAsia="Times New Roman" w:cs="Arial"/>
          <w:i/>
          <w:szCs w:val="20"/>
        </w:rPr>
      </w:pPr>
      <w:r>
        <w:rPr>
          <w:i/>
          <w:color w:val="404040" w:themeColor="background1" w:themeShade="40"/>
          <w:sz w:val="16"/>
          <w:szCs w:val="16"/>
        </w:rPr>
        <w:t xml:space="preserve">Mitteilung der Kommission an das Europäische Parlament und den Rat über die Europäische Innovationspartnerschaft „Landwirtschaftliche Produktivität und Nachhaltigkeit“ (2012), </w:t>
      </w:r>
      <w:hyperlink r:id="rId130" w:history="1">
        <w:r>
          <w:rPr>
            <w:rStyle w:val="Hyperlink"/>
            <w:i/>
            <w:szCs w:val="16"/>
          </w:rPr>
          <w:t>https://ec.europa.eu/eip/agriculture/sites/agri-eip/files/communication_on_eip_-_en.pdf</w:t>
        </w:r>
      </w:hyperlink>
    </w:p>
    <w:p w:rsidR="0025413B" w:rsidRPr="009125CD" w:rsidRDefault="0025413B" w:rsidP="0025413B">
      <w:pPr>
        <w:rPr>
          <w:rFonts w:eastAsia="Arial" w:cs="Arial"/>
          <w:b/>
          <w:color w:val="57825E"/>
          <w:szCs w:val="20"/>
        </w:rPr>
      </w:pPr>
      <w:r>
        <w:rPr>
          <w:b/>
          <w:color w:val="57825E"/>
          <w:szCs w:val="20"/>
        </w:rPr>
        <w:t>Innovationsfähigkeit</w:t>
      </w:r>
    </w:p>
    <w:p w:rsidR="0025413B" w:rsidRPr="005E61D0" w:rsidRDefault="0025413B" w:rsidP="0025413B">
      <w:pPr>
        <w:rPr>
          <w:rFonts w:cs="Arial"/>
          <w:szCs w:val="20"/>
        </w:rPr>
      </w:pPr>
      <w:r>
        <w:t>Die anhaltende Fähigkeit, unterschiedliche Arten von Wissen miteinander zu verknüpfen und nutzbar zu machen.</w:t>
      </w:r>
    </w:p>
    <w:p w:rsidR="0025413B" w:rsidRPr="00A86A02" w:rsidRDefault="0025413B" w:rsidP="0025413B">
      <w:pPr>
        <w:rPr>
          <w:rFonts w:cs="Arial"/>
          <w:i/>
          <w:color w:val="404040" w:themeColor="background1" w:themeShade="40"/>
          <w:sz w:val="16"/>
          <w:szCs w:val="16"/>
          <w:lang w:val="en-GB"/>
        </w:rPr>
      </w:pPr>
      <w:r>
        <w:rPr>
          <w:i/>
          <w:color w:val="404040" w:themeColor="background1" w:themeShade="40"/>
          <w:sz w:val="16"/>
          <w:szCs w:val="16"/>
          <w:u w:val="single"/>
        </w:rPr>
        <w:t>Quelle</w:t>
      </w:r>
      <w:r>
        <w:rPr>
          <w:i/>
          <w:color w:val="404040" w:themeColor="background1" w:themeShade="40"/>
          <w:sz w:val="16"/>
          <w:szCs w:val="16"/>
        </w:rPr>
        <w:t xml:space="preserve">: Chuluunbaatar, D. und LeGrand, S. (2015), Enabling the capacity to innovate with a system-wide assessment process (Förderung der Innovationsfähigkeit durch ein systemweites Bewertungsverfahren). </w:t>
      </w:r>
      <w:r w:rsidRPr="00A86A02">
        <w:rPr>
          <w:i/>
          <w:color w:val="404040" w:themeColor="background1" w:themeShade="40"/>
          <w:sz w:val="16"/>
          <w:szCs w:val="16"/>
          <w:lang w:val="en-GB"/>
        </w:rPr>
        <w:t xml:space="preserve">Occasional Papers in Innovation in Family Farming. FAO, Rom. </w:t>
      </w:r>
      <w:r w:rsidRPr="00A86A02">
        <w:rPr>
          <w:rStyle w:val="Hyperlink"/>
          <w:i/>
          <w:szCs w:val="16"/>
          <w:lang w:val="en-GB"/>
        </w:rPr>
        <w:t>http://www.fao.org/3/a-i5097e.pdf</w:t>
      </w:r>
    </w:p>
    <w:p w:rsidR="0025413B" w:rsidRPr="009125CD" w:rsidRDefault="0025413B" w:rsidP="0025413B">
      <w:pPr>
        <w:rPr>
          <w:rFonts w:eastAsia="Arial" w:cs="Arial"/>
          <w:b/>
          <w:color w:val="57825E"/>
          <w:szCs w:val="20"/>
        </w:rPr>
      </w:pPr>
      <w:r>
        <w:rPr>
          <w:b/>
          <w:color w:val="57825E"/>
          <w:szCs w:val="20"/>
        </w:rPr>
        <w:t xml:space="preserve">Innovationswirkung </w:t>
      </w:r>
    </w:p>
    <w:p w:rsidR="0025413B" w:rsidRDefault="0025413B" w:rsidP="0025413B">
      <w:pPr>
        <w:rPr>
          <w:rFonts w:cs="Arial"/>
          <w:color w:val="404040" w:themeColor="background1" w:themeShade="40"/>
          <w:szCs w:val="20"/>
        </w:rPr>
      </w:pPr>
      <w:r>
        <w:rPr>
          <w:color w:val="404040" w:themeColor="background1" w:themeShade="40"/>
          <w:szCs w:val="20"/>
        </w:rPr>
        <w:t>Innovationswirkungen ergeben sich aus den innovationsfördernden Ergebnissen (z. B. neue Verfahrensweisen, höheres Einkommen, Einführung nachhaltigerer landwirtschaftlicher Bewirtschaftungsmethoden).</w:t>
      </w:r>
    </w:p>
    <w:p w:rsidR="0025413B" w:rsidRPr="009125CD" w:rsidRDefault="0025413B" w:rsidP="0025413B">
      <w:pPr>
        <w:rPr>
          <w:rFonts w:cs="Arial"/>
          <w:color w:val="404040" w:themeColor="background1" w:themeShade="40"/>
          <w:szCs w:val="20"/>
        </w:rPr>
      </w:pPr>
      <w:r>
        <w:rPr>
          <w:i/>
          <w:color w:val="404040" w:themeColor="background1" w:themeShade="40"/>
          <w:sz w:val="16"/>
          <w:szCs w:val="16"/>
          <w:u w:val="single"/>
        </w:rPr>
        <w:t>Quelle</w:t>
      </w:r>
      <w:r>
        <w:rPr>
          <w:i/>
          <w:color w:val="404040" w:themeColor="background1" w:themeShade="40"/>
          <w:sz w:val="16"/>
          <w:szCs w:val="16"/>
        </w:rPr>
        <w:t>: Thematische Arbeitsgruppe 4, S. 11.</w:t>
      </w:r>
    </w:p>
    <w:p w:rsidR="0025413B" w:rsidRDefault="0025413B" w:rsidP="0025413B">
      <w:pPr>
        <w:rPr>
          <w:rFonts w:eastAsia="Arial" w:cs="Arial"/>
          <w:b/>
          <w:color w:val="57825E"/>
          <w:szCs w:val="20"/>
        </w:rPr>
      </w:pPr>
      <w:r>
        <w:rPr>
          <w:b/>
          <w:color w:val="57825E"/>
          <w:szCs w:val="20"/>
        </w:rPr>
        <w:t>Dienste zur Innovationsförderung</w:t>
      </w:r>
    </w:p>
    <w:p w:rsidR="0025413B" w:rsidRDefault="0025413B" w:rsidP="0025413B">
      <w:pPr>
        <w:rPr>
          <w:rFonts w:cs="Arial"/>
          <w:color w:val="404040" w:themeColor="background1" w:themeShade="40"/>
          <w:szCs w:val="20"/>
        </w:rPr>
      </w:pPr>
      <w:r>
        <w:rPr>
          <w:color w:val="404040" w:themeColor="background1" w:themeShade="40"/>
          <w:szCs w:val="20"/>
        </w:rPr>
        <w:lastRenderedPageBreak/>
        <w:t>Dienste zur Innovationsförderung arbeiten mit Modellen, die an die lokalen Bedingungen angepasst sind, und können eine wichtige Rolle dabei übernehmen, die richtigen Personen an Projekten zu beteiligen, Landwirte mit Forschern zusammenzubringen und Finanzierungsmöglichkeiten zu ermitteln.</w:t>
      </w:r>
    </w:p>
    <w:p w:rsidR="0025413B" w:rsidRPr="009125CD" w:rsidRDefault="0025413B" w:rsidP="0025413B">
      <w:pPr>
        <w:rPr>
          <w:rFonts w:cs="Arial"/>
          <w:color w:val="404040" w:themeColor="background1" w:themeShade="40"/>
          <w:szCs w:val="20"/>
        </w:rPr>
      </w:pPr>
      <w:r>
        <w:rPr>
          <w:i/>
          <w:color w:val="404040" w:themeColor="background1" w:themeShade="40"/>
          <w:sz w:val="16"/>
          <w:szCs w:val="16"/>
          <w:u w:val="single"/>
        </w:rPr>
        <w:t>Quelle</w:t>
      </w:r>
      <w:r>
        <w:rPr>
          <w:i/>
          <w:color w:val="404040" w:themeColor="background1" w:themeShade="40"/>
          <w:sz w:val="16"/>
          <w:szCs w:val="16"/>
        </w:rPr>
        <w:t xml:space="preserve">: Broschüre der EIP-AGRI über Dienste zur Innovationsförderung: </w:t>
      </w:r>
      <w:hyperlink r:id="rId131" w:history="1">
        <w:r>
          <w:rPr>
            <w:rStyle w:val="Hyperlink"/>
            <w:i/>
            <w:szCs w:val="16"/>
          </w:rPr>
          <w:t>https://ec.europa.eu/eip/agriculture/en/content/innovation-support-services</w:t>
        </w:r>
      </w:hyperlink>
      <w:r>
        <w:rPr>
          <w:i/>
          <w:color w:val="404040" w:themeColor="background1" w:themeShade="40"/>
          <w:sz w:val="16"/>
          <w:szCs w:val="16"/>
        </w:rPr>
        <w:t>.</w:t>
      </w:r>
    </w:p>
    <w:p w:rsidR="0025413B" w:rsidRPr="009125CD" w:rsidRDefault="0025413B" w:rsidP="0025413B">
      <w:pPr>
        <w:rPr>
          <w:rFonts w:eastAsia="Arial" w:cs="Arial"/>
          <w:b/>
          <w:color w:val="57825E"/>
          <w:szCs w:val="20"/>
        </w:rPr>
      </w:pPr>
      <w:r>
        <w:rPr>
          <w:b/>
          <w:color w:val="57825E"/>
          <w:szCs w:val="20"/>
        </w:rPr>
        <w:t>Innovationssystem</w:t>
      </w:r>
    </w:p>
    <w:p w:rsidR="0025413B" w:rsidRDefault="0025413B" w:rsidP="0025413B">
      <w:pPr>
        <w:rPr>
          <w:rFonts w:cs="Arial"/>
          <w:color w:val="404040" w:themeColor="background1" w:themeShade="40"/>
          <w:szCs w:val="20"/>
        </w:rPr>
      </w:pPr>
      <w:r>
        <w:rPr>
          <w:color w:val="404040" w:themeColor="background1" w:themeShade="40"/>
          <w:szCs w:val="20"/>
        </w:rPr>
        <w:t>Die Gruppen von Organisationen und Einzelpersonen, die an der Generierung, Verbreitung und Anpassung sowie Nutzung von sozioökonomisch bedeutsamem Wissen beteiligt sind, und der institutionelle Rahmen, durch den bestimmt wird, wie diese Interaktionen und Prozesse stattfinden.</w:t>
      </w:r>
    </w:p>
    <w:p w:rsidR="0025413B" w:rsidRDefault="0025413B" w:rsidP="0025413B">
      <w:pPr>
        <w:rPr>
          <w:rFonts w:cs="Arial"/>
          <w:color w:val="404040" w:themeColor="background1" w:themeShade="40"/>
          <w:szCs w:val="20"/>
        </w:rPr>
      </w:pPr>
      <w:r>
        <w:rPr>
          <w:i/>
          <w:color w:val="404040" w:themeColor="background1" w:themeShade="40"/>
          <w:sz w:val="16"/>
          <w:szCs w:val="16"/>
          <w:u w:val="single"/>
        </w:rPr>
        <w:t>Quelle</w:t>
      </w:r>
      <w:r>
        <w:rPr>
          <w:i/>
          <w:color w:val="404040" w:themeColor="background1" w:themeShade="40"/>
          <w:sz w:val="16"/>
          <w:szCs w:val="16"/>
        </w:rPr>
        <w:t>: Hall, A., Rasheed, S., Clark, N. und Yoganand, B. (2003), From measuring impact to learning institutional lessons: an innovation system’s perspective on improving the management of international agricultural research (Vom Messen von Auswirkungen zu institutionellen Lehren: die Verbesserung des Managements der internationalen Agrarforschung aus der Perspektive eines Innovationssystems). Agricultural Systems 78: 213-241.</w:t>
      </w:r>
    </w:p>
    <w:p w:rsidR="0025413B" w:rsidRPr="009125CD" w:rsidRDefault="0025413B" w:rsidP="0025413B">
      <w:pPr>
        <w:rPr>
          <w:rFonts w:eastAsia="Arial" w:cs="Arial"/>
          <w:b/>
          <w:color w:val="57825E"/>
          <w:szCs w:val="20"/>
        </w:rPr>
      </w:pPr>
      <w:r>
        <w:rPr>
          <w:b/>
          <w:color w:val="57825E"/>
          <w:szCs w:val="20"/>
        </w:rPr>
        <w:t>Innovationspfad</w:t>
      </w:r>
    </w:p>
    <w:p w:rsidR="0025413B" w:rsidRDefault="0025413B" w:rsidP="0025413B">
      <w:pPr>
        <w:rPr>
          <w:rFonts w:cs="Arial"/>
          <w:color w:val="404040" w:themeColor="background1" w:themeShade="40"/>
          <w:szCs w:val="20"/>
        </w:rPr>
      </w:pPr>
      <w:r>
        <w:rPr>
          <w:color w:val="404040" w:themeColor="background1" w:themeShade="40"/>
          <w:szCs w:val="20"/>
        </w:rPr>
        <w:t>Ein Prozess, durch den die Aktivitäten des Programms zur Entwicklung des ländlichen Raums Outputs, Ergebnisse und Auswirkungen hervorbringen, die zur Verwirklichung der Zielsetzungen des Programms beitragen, und der von dem Innovationssystem, in dem er stattfindet, beeinflusst wird und dieses selbst auch beeinflusst.</w:t>
      </w:r>
    </w:p>
    <w:p w:rsidR="0025413B" w:rsidRPr="009125CD" w:rsidRDefault="0025413B" w:rsidP="0025413B">
      <w:pPr>
        <w:rPr>
          <w:rFonts w:eastAsia="Arial" w:cs="Arial"/>
          <w:color w:val="404040" w:themeColor="background1" w:themeShade="40"/>
          <w:szCs w:val="20"/>
        </w:rPr>
      </w:pPr>
      <w:r>
        <w:rPr>
          <w:i/>
          <w:color w:val="404040" w:themeColor="background1" w:themeShade="40"/>
          <w:sz w:val="16"/>
          <w:szCs w:val="16"/>
          <w:u w:val="single"/>
        </w:rPr>
        <w:t>Quelle</w:t>
      </w:r>
      <w:r>
        <w:rPr>
          <w:i/>
          <w:color w:val="404040" w:themeColor="background1" w:themeShade="40"/>
          <w:sz w:val="16"/>
          <w:szCs w:val="16"/>
        </w:rPr>
        <w:t>: Thematische Arbeitsgruppe 4, S. 5.</w:t>
      </w:r>
    </w:p>
    <w:p w:rsidR="0025413B" w:rsidRDefault="0025413B" w:rsidP="0025413B">
      <w:pPr>
        <w:rPr>
          <w:rFonts w:eastAsia="Arial" w:cs="Arial"/>
          <w:b/>
          <w:color w:val="57825E"/>
          <w:szCs w:val="20"/>
        </w:rPr>
      </w:pPr>
      <w:r>
        <w:rPr>
          <w:b/>
          <w:color w:val="57825E"/>
          <w:szCs w:val="20"/>
        </w:rPr>
        <w:t>Interaktive Innovation</w:t>
      </w:r>
    </w:p>
    <w:p w:rsidR="0025413B" w:rsidRDefault="0025413B" w:rsidP="0025413B">
      <w:pPr>
        <w:rPr>
          <w:rFonts w:cs="Arial"/>
          <w:color w:val="404040" w:themeColor="background1" w:themeShade="40"/>
          <w:szCs w:val="20"/>
        </w:rPr>
      </w:pPr>
      <w:r>
        <w:rPr>
          <w:color w:val="404040" w:themeColor="background1" w:themeShade="40"/>
          <w:szCs w:val="20"/>
        </w:rPr>
        <w:t>Bei der interaktiven (System-)Innovation wird davon ausgegangen, dass die Bausteine für Innovation von der Wissenschaft, aber auch aus der Praxis und über Vermittler bereitgestellt werden, darunter Landwirte, Beratungsdienste, NRO, Forscher usw. als Akteure in einem Bottom-up-Prozess. Interaktive Innovation schließt vorhandenes (in einigen Fällen unerschlossenes) Wissen ein, das nicht immer rein wissenschaftlich ist.</w:t>
      </w:r>
    </w:p>
    <w:p w:rsidR="0025413B" w:rsidRPr="00A05F6E" w:rsidRDefault="0025413B" w:rsidP="0025413B">
      <w:pPr>
        <w:jc w:val="left"/>
        <w:rPr>
          <w:rFonts w:eastAsia="Times New Roman" w:cs="Arial"/>
          <w:color w:val="404040" w:themeColor="background1" w:themeShade="40"/>
          <w:szCs w:val="20"/>
        </w:rPr>
      </w:pPr>
      <w:r>
        <w:rPr>
          <w:i/>
          <w:color w:val="404040" w:themeColor="background1" w:themeShade="40"/>
          <w:sz w:val="16"/>
          <w:szCs w:val="16"/>
          <w:u w:val="single"/>
        </w:rPr>
        <w:t>Quelle</w:t>
      </w:r>
      <w:r>
        <w:rPr>
          <w:i/>
          <w:color w:val="404040" w:themeColor="background1" w:themeShade="40"/>
          <w:sz w:val="16"/>
          <w:szCs w:val="16"/>
        </w:rPr>
        <w:t xml:space="preserve">: „Guidelines on programming for innovation and the implementation of the EIP for agricultural productivity and sustainability“ (Leitlinien für die Programmplanung im Bereich Innovation und für die Durchführung der EIP für landwirtschaftliche Produktivität und Nachhaltigkeit) </w:t>
      </w:r>
      <w:hyperlink r:id="rId132" w:history="1">
        <w:r>
          <w:rPr>
            <w:rStyle w:val="Hyperlink"/>
            <w:i/>
            <w:szCs w:val="16"/>
          </w:rPr>
          <w:t>http://ec.europa.eu/eip/agriculture/sites/agri-eip/files/eip-guidelines-july-2014_en.pdf</w:t>
        </w:r>
      </w:hyperlink>
      <w:r>
        <w:rPr>
          <w:i/>
          <w:color w:val="404040" w:themeColor="background1" w:themeShade="40"/>
          <w:sz w:val="16"/>
          <w:szCs w:val="16"/>
        </w:rPr>
        <w:t>.</w:t>
      </w:r>
    </w:p>
    <w:p w:rsidR="0025413B" w:rsidRDefault="0025413B" w:rsidP="0025413B">
      <w:pPr>
        <w:rPr>
          <w:rFonts w:eastAsia="Arial" w:cs="Arial"/>
          <w:b/>
          <w:color w:val="57825E"/>
          <w:szCs w:val="20"/>
        </w:rPr>
      </w:pPr>
      <w:r>
        <w:rPr>
          <w:b/>
          <w:color w:val="57825E"/>
          <w:szCs w:val="20"/>
        </w:rPr>
        <w:t>Operationelle Gruppen</w:t>
      </w:r>
    </w:p>
    <w:p w:rsidR="0025413B" w:rsidRDefault="0025413B" w:rsidP="0025413B">
      <w:pPr>
        <w:rPr>
          <w:rFonts w:cs="Arial"/>
          <w:color w:val="404040" w:themeColor="background1" w:themeShade="40"/>
          <w:szCs w:val="20"/>
        </w:rPr>
      </w:pPr>
      <w:r>
        <w:rPr>
          <w:color w:val="404040" w:themeColor="background1" w:themeShade="40"/>
          <w:szCs w:val="20"/>
        </w:rPr>
        <w:t>Gruppen von Personen (wie Landwirte, Forscher, Berater usw.), die gemeinsam an einem in der Praxis durchgeführten Innovationsprojekt mit konkreten Zielen arbeiten.</w:t>
      </w:r>
    </w:p>
    <w:p w:rsidR="0025413B" w:rsidRPr="00A05F6E" w:rsidRDefault="0025413B" w:rsidP="0025413B">
      <w:pPr>
        <w:rPr>
          <w:rFonts w:eastAsia="Times New Roman" w:cs="Arial"/>
          <w:color w:val="404040" w:themeColor="background1" w:themeShade="40"/>
          <w:szCs w:val="20"/>
        </w:rPr>
      </w:pPr>
      <w:r>
        <w:rPr>
          <w:i/>
          <w:color w:val="404040" w:themeColor="background1" w:themeShade="40"/>
          <w:sz w:val="16"/>
          <w:szCs w:val="16"/>
          <w:u w:val="single"/>
        </w:rPr>
        <w:t>Quelle</w:t>
      </w:r>
      <w:r>
        <w:rPr>
          <w:i/>
          <w:color w:val="404040" w:themeColor="background1" w:themeShade="40"/>
          <w:sz w:val="16"/>
          <w:szCs w:val="16"/>
        </w:rPr>
        <w:t xml:space="preserve">: Broschüre der EIP-AGRI über Dienste zur Innovationsförderung: </w:t>
      </w:r>
      <w:hyperlink r:id="rId133" w:history="1">
        <w:r>
          <w:rPr>
            <w:rStyle w:val="Hyperlink"/>
            <w:i/>
            <w:szCs w:val="16"/>
          </w:rPr>
          <w:t>https://ec.europa.eu/eip/agriculture/en/content/innovation-support-services</w:t>
        </w:r>
      </w:hyperlink>
    </w:p>
    <w:p w:rsidR="0025413B" w:rsidRPr="009125CD" w:rsidRDefault="0025413B" w:rsidP="0025413B">
      <w:pPr>
        <w:rPr>
          <w:rFonts w:eastAsia="Arial" w:cs="Arial"/>
          <w:b/>
          <w:color w:val="57825E"/>
          <w:szCs w:val="20"/>
        </w:rPr>
      </w:pPr>
      <w:r>
        <w:rPr>
          <w:b/>
          <w:color w:val="57825E"/>
          <w:szCs w:val="20"/>
        </w:rPr>
        <w:t xml:space="preserve">Innovationspotenzial des Programms zur Entwicklung des ländlichen Raums </w:t>
      </w:r>
    </w:p>
    <w:p w:rsidR="0025413B" w:rsidRDefault="0025413B" w:rsidP="0025413B">
      <w:pPr>
        <w:rPr>
          <w:rFonts w:cs="Arial"/>
          <w:color w:val="404040" w:themeColor="background1" w:themeShade="40"/>
          <w:szCs w:val="20"/>
        </w:rPr>
      </w:pPr>
      <w:r>
        <w:rPr>
          <w:color w:val="404040" w:themeColor="background1" w:themeShade="40"/>
          <w:szCs w:val="20"/>
        </w:rPr>
        <w:t xml:space="preserve">Das Innovationspotenzial des Programms zur Entwicklung des ländlichen Raums ist das Ausmaß, in dem der spezielle, innovationsbezogene Ansatz des Programms in einem gegebenen Innovationssystem oder -kontext Innovation fördern und politische Ziele verwirklichen kann. </w:t>
      </w:r>
    </w:p>
    <w:p w:rsidR="0025413B" w:rsidRPr="00A05F6E" w:rsidRDefault="0025413B" w:rsidP="0025413B">
      <w:pPr>
        <w:rPr>
          <w:rFonts w:eastAsia="Arial" w:cs="Arial"/>
          <w:color w:val="404040" w:themeColor="background1" w:themeShade="40"/>
          <w:szCs w:val="20"/>
        </w:rPr>
      </w:pPr>
      <w:r>
        <w:rPr>
          <w:i/>
          <w:color w:val="404040" w:themeColor="background1" w:themeShade="40"/>
          <w:sz w:val="16"/>
          <w:szCs w:val="16"/>
          <w:u w:val="single"/>
        </w:rPr>
        <w:t>Quelle</w:t>
      </w:r>
      <w:r>
        <w:rPr>
          <w:i/>
          <w:color w:val="404040" w:themeColor="background1" w:themeShade="40"/>
          <w:sz w:val="16"/>
          <w:szCs w:val="16"/>
        </w:rPr>
        <w:t>: Thematische Arbeitsgruppe 4.</w:t>
      </w:r>
    </w:p>
    <w:p w:rsidR="0025413B" w:rsidRPr="009125CD" w:rsidRDefault="0025413B" w:rsidP="0025413B">
      <w:pPr>
        <w:rPr>
          <w:rFonts w:eastAsia="Arial" w:cs="Arial"/>
          <w:b/>
          <w:color w:val="57825E"/>
          <w:szCs w:val="20"/>
        </w:rPr>
      </w:pPr>
      <w:r>
        <w:rPr>
          <w:b/>
          <w:color w:val="57825E"/>
          <w:szCs w:val="20"/>
        </w:rPr>
        <w:t>Soziale Innovation</w:t>
      </w:r>
    </w:p>
    <w:p w:rsidR="0025413B" w:rsidRDefault="0025413B" w:rsidP="0025413B">
      <w:pPr>
        <w:rPr>
          <w:rFonts w:cs="Arial"/>
          <w:color w:val="404040" w:themeColor="background1" w:themeShade="40"/>
          <w:szCs w:val="20"/>
        </w:rPr>
      </w:pPr>
      <w:r>
        <w:rPr>
          <w:color w:val="404040" w:themeColor="background1" w:themeShade="40"/>
          <w:szCs w:val="20"/>
        </w:rPr>
        <w:t>Soziale Innovation ist die Entwicklung und Umsetzung neuer Ideen (Produkte, Dienstleistungen und Modelle), mit denen soziale Bedürfnisse erfüllt und neue soziale Beziehungen oder Kooperationen hergestellt werden.</w:t>
      </w:r>
    </w:p>
    <w:p w:rsidR="0025413B" w:rsidRPr="00A05F6E" w:rsidRDefault="0025413B" w:rsidP="0025413B">
      <w:pPr>
        <w:rPr>
          <w:rFonts w:eastAsia="Arial" w:cs="Arial"/>
          <w:color w:val="404040" w:themeColor="background1" w:themeShade="40"/>
          <w:szCs w:val="20"/>
        </w:rPr>
      </w:pPr>
      <w:r w:rsidRPr="00A86A02">
        <w:rPr>
          <w:i/>
          <w:color w:val="404040" w:themeColor="background1" w:themeShade="40"/>
          <w:sz w:val="16"/>
          <w:szCs w:val="16"/>
          <w:u w:val="single"/>
          <w:lang w:val="it-IT"/>
        </w:rPr>
        <w:t>Quelle</w:t>
      </w:r>
      <w:r w:rsidRPr="00A86A02">
        <w:rPr>
          <w:i/>
          <w:color w:val="404040" w:themeColor="background1" w:themeShade="40"/>
          <w:sz w:val="16"/>
          <w:szCs w:val="16"/>
          <w:lang w:val="it-IT"/>
        </w:rPr>
        <w:t xml:space="preserve">: GD REGIO, GD EMPL, GD AGRI usw. </w:t>
      </w:r>
      <w:r>
        <w:rPr>
          <w:i/>
          <w:color w:val="404040" w:themeColor="background1" w:themeShade="40"/>
          <w:sz w:val="16"/>
          <w:szCs w:val="16"/>
        </w:rPr>
        <w:t>(2013), Guide to Social Innovation (Leitfaden für soziale Innovation).</w:t>
      </w:r>
    </w:p>
    <w:p w:rsidR="0025413B" w:rsidRPr="009125CD" w:rsidRDefault="0025413B" w:rsidP="0025413B">
      <w:pPr>
        <w:rPr>
          <w:rFonts w:eastAsia="Arial" w:cs="Arial"/>
          <w:b/>
          <w:color w:val="57825E"/>
          <w:szCs w:val="20"/>
        </w:rPr>
      </w:pPr>
      <w:r>
        <w:rPr>
          <w:b/>
          <w:color w:val="57825E"/>
          <w:szCs w:val="20"/>
        </w:rPr>
        <w:t>Thematische und analytische Austauschmöglichkeiten</w:t>
      </w:r>
    </w:p>
    <w:p w:rsidR="0025413B" w:rsidRDefault="0025413B" w:rsidP="0025413B">
      <w:pPr>
        <w:rPr>
          <w:rFonts w:cs="Arial"/>
          <w:color w:val="404040" w:themeColor="background1" w:themeShade="40"/>
          <w:szCs w:val="20"/>
        </w:rPr>
      </w:pPr>
      <w:r>
        <w:rPr>
          <w:color w:val="404040" w:themeColor="background1" w:themeShade="40"/>
          <w:szCs w:val="20"/>
        </w:rPr>
        <w:t>Austauschmöglichkeiten können von NRN auf unterschiedliche Weise gefördert werden. Die gängigste Form des von NRN entwickelten thematischen Austauschs sind ständige oder ad hoc zusammentreffende thematische Arbeitsgruppen. In den thematischen Arbeitsgruppen von NRN kommen verschiedene Interessengruppen zusammen, um Informationen zu gemeinsamen Themen zu erörtern, zu analysieren und auszutauschen, was häufig zu Empfehlungen im Hinblick auf die Umsetzung der Programme zur Entwicklung des ländlichen Raums und die Programmplanung führt.</w:t>
      </w:r>
    </w:p>
    <w:p w:rsidR="0025413B" w:rsidRPr="00A05F6E" w:rsidRDefault="0025413B" w:rsidP="0025413B">
      <w:pPr>
        <w:jc w:val="left"/>
        <w:rPr>
          <w:rFonts w:eastAsia="Arial" w:cs="Arial"/>
          <w:color w:val="404040" w:themeColor="background1" w:themeShade="40"/>
          <w:szCs w:val="20"/>
        </w:rPr>
      </w:pPr>
      <w:r>
        <w:rPr>
          <w:i/>
          <w:color w:val="404040" w:themeColor="background1" w:themeShade="40"/>
          <w:sz w:val="16"/>
          <w:szCs w:val="16"/>
          <w:u w:val="single"/>
        </w:rPr>
        <w:t xml:space="preserve"> Quelle</w:t>
      </w:r>
      <w:r>
        <w:rPr>
          <w:i/>
          <w:color w:val="404040" w:themeColor="background1" w:themeShade="40"/>
          <w:sz w:val="16"/>
          <w:szCs w:val="16"/>
        </w:rPr>
        <w:t xml:space="preserve">: NRN Guidebook (Handbuch der nationalen Netzwerke für den ländlichen Raum), </w:t>
      </w:r>
      <w:hyperlink r:id="rId134" w:history="1">
        <w:r>
          <w:rPr>
            <w:rStyle w:val="Hyperlink"/>
            <w:i/>
            <w:szCs w:val="16"/>
          </w:rPr>
          <w:t>http://enrd.ec.europa.eu/enrd-</w:t>
        </w:r>
        <w:r>
          <w:rPr>
            <w:rStyle w:val="Hyperlink"/>
            <w:i/>
            <w:szCs w:val="16"/>
          </w:rPr>
          <w:lastRenderedPageBreak/>
          <w:t>static/app_templates/enrd_assets/pdf/guidebook/nrn_handbook_webversion.pdf</w:t>
        </w:r>
      </w:hyperlink>
    </w:p>
    <w:p w:rsidR="0025413B" w:rsidRPr="00C6274D" w:rsidRDefault="0025413B" w:rsidP="0025413B">
      <w:pPr>
        <w:rPr>
          <w:rFonts w:cs="Arial"/>
          <w:color w:val="404040" w:themeColor="background1" w:themeShade="40"/>
          <w:szCs w:val="20"/>
        </w:rPr>
        <w:sectPr w:rsidR="0025413B" w:rsidRPr="00C6274D" w:rsidSect="001F6F07">
          <w:type w:val="continuous"/>
          <w:pgSz w:w="11907" w:h="16840" w:code="9"/>
          <w:pgMar w:top="1440" w:right="1440" w:bottom="1134" w:left="1440" w:header="567" w:footer="1020" w:gutter="0"/>
          <w:cols w:num="2" w:space="708"/>
          <w:titlePg/>
          <w:docGrid w:linePitch="435"/>
        </w:sectPr>
      </w:pPr>
    </w:p>
    <w:p w:rsidR="0025413B" w:rsidRPr="00BC0813" w:rsidRDefault="0025413B" w:rsidP="001319A0">
      <w:pPr>
        <w:pStyle w:val="HStandard"/>
      </w:pPr>
    </w:p>
    <w:p w:rsidR="00E05D08" w:rsidRPr="00A86A02" w:rsidRDefault="00E05D08" w:rsidP="00E05D08">
      <w:pPr>
        <w:spacing w:before="60" w:after="140" w:line="220" w:lineRule="atLeast"/>
        <w:rPr>
          <w:rFonts w:eastAsia="Times New Roman" w:cs="Times New Roman"/>
          <w:sz w:val="18"/>
          <w:szCs w:val="24"/>
          <w:lang w:eastAsia="de-DE"/>
        </w:rPr>
        <w:sectPr w:rsidR="00E05D08" w:rsidRPr="00A86A02" w:rsidSect="00400064">
          <w:endnotePr>
            <w:numFmt w:val="decimal"/>
          </w:endnotePr>
          <w:type w:val="continuous"/>
          <w:pgSz w:w="11907" w:h="16840" w:code="9"/>
          <w:pgMar w:top="1440" w:right="1440" w:bottom="1134" w:left="1440" w:header="567" w:footer="709" w:gutter="0"/>
          <w:cols w:space="708"/>
          <w:noEndnote/>
          <w:titlePg/>
          <w:docGrid w:linePitch="360"/>
        </w:sectPr>
      </w:pPr>
    </w:p>
    <w:p w:rsidR="00E05D08" w:rsidRPr="000A14B3" w:rsidRDefault="00E05D08" w:rsidP="0025413B">
      <w:pPr>
        <w:pStyle w:val="HHeading2"/>
        <w:numPr>
          <w:ilvl w:val="1"/>
          <w:numId w:val="119"/>
        </w:numPr>
        <w:ind w:left="567" w:hanging="567"/>
      </w:pPr>
      <w:bookmarkStart w:id="146" w:name="_Toc493151908"/>
      <w:bookmarkStart w:id="147" w:name="_Toc501382138"/>
      <w:bookmarkStart w:id="148" w:name="_Toc508377848"/>
      <w:r>
        <w:lastRenderedPageBreak/>
        <w:t>Ermittlung des Innovationspotenzials des Programms zur Entwicklung des ländlichen Raums: Schritt für Schritt</w:t>
      </w:r>
      <w:bookmarkEnd w:id="146"/>
      <w:bookmarkEnd w:id="147"/>
      <w:bookmarkEnd w:id="148"/>
    </w:p>
    <w:tbl>
      <w:tblPr>
        <w:tblStyle w:val="TableGrid3"/>
        <w:tblW w:w="1487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980"/>
        <w:gridCol w:w="3260"/>
        <w:gridCol w:w="2268"/>
        <w:gridCol w:w="2693"/>
        <w:gridCol w:w="2268"/>
        <w:gridCol w:w="2410"/>
      </w:tblGrid>
      <w:tr w:rsidR="00E05D08" w:rsidRPr="00E05D08" w:rsidTr="004D0B91">
        <w:trPr>
          <w:trHeight w:val="294"/>
          <w:tblHeader/>
        </w:trPr>
        <w:tc>
          <w:tcPr>
            <w:tcW w:w="1980" w:type="dxa"/>
            <w:shd w:val="clear" w:color="auto" w:fill="F07E31"/>
          </w:tcPr>
          <w:p w:rsidR="00E05D08" w:rsidRPr="00E05D08" w:rsidRDefault="00E05D08" w:rsidP="00E05D08">
            <w:pPr>
              <w:tabs>
                <w:tab w:val="right" w:pos="2885"/>
              </w:tabs>
              <w:spacing w:before="120" w:after="120" w:line="280" w:lineRule="atLeast"/>
              <w:jc w:val="center"/>
              <w:rPr>
                <w:rFonts w:cs="Arial"/>
                <w:b/>
                <w:color w:val="FFFFFF"/>
                <w:sz w:val="18"/>
                <w:szCs w:val="18"/>
              </w:rPr>
            </w:pPr>
            <w:r>
              <w:rPr>
                <w:b/>
                <w:color w:val="FFFFFF"/>
                <w:sz w:val="18"/>
                <w:szCs w:val="18"/>
              </w:rPr>
              <w:t>Schritte</w:t>
            </w:r>
          </w:p>
        </w:tc>
        <w:tc>
          <w:tcPr>
            <w:tcW w:w="3260"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 xml:space="preserve">Zu beantwortende Kernfrage </w:t>
            </w:r>
          </w:p>
        </w:tc>
        <w:tc>
          <w:tcPr>
            <w:tcW w:w="2268"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Wo im Programm?</w:t>
            </w:r>
          </w:p>
        </w:tc>
        <w:tc>
          <w:tcPr>
            <w:tcW w:w="2693"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Beispiele</w:t>
            </w:r>
          </w:p>
        </w:tc>
        <w:tc>
          <w:tcPr>
            <w:tcW w:w="2268"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Mit dem Schritt verbundene Risiken</w:t>
            </w:r>
          </w:p>
        </w:tc>
        <w:tc>
          <w:tcPr>
            <w:tcW w:w="2410"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Lösungen</w:t>
            </w:r>
          </w:p>
        </w:tc>
      </w:tr>
      <w:tr w:rsidR="00E05D08" w:rsidRPr="00E05D08" w:rsidTr="00E05D08">
        <w:tc>
          <w:tcPr>
            <w:tcW w:w="1980" w:type="dxa"/>
          </w:tcPr>
          <w:p w:rsidR="00E05D08" w:rsidRPr="00F31494" w:rsidRDefault="00E05D08" w:rsidP="00F31494">
            <w:pPr>
              <w:jc w:val="left"/>
              <w:rPr>
                <w:rFonts w:cs="Arial"/>
                <w:color w:val="F07E31"/>
                <w:sz w:val="18"/>
                <w:szCs w:val="18"/>
              </w:rPr>
            </w:pPr>
            <w:r>
              <w:rPr>
                <w:color w:val="F07E31"/>
                <w:sz w:val="18"/>
                <w:szCs w:val="18"/>
              </w:rPr>
              <w:t xml:space="preserve">Schritt 1: Ermittlung von Verknüpfungen zwischen innovationsbezogenem Bedarf und der Maßnahme/Teilmaßnahme </w:t>
            </w:r>
          </w:p>
        </w:tc>
        <w:tc>
          <w:tcPr>
            <w:tcW w:w="3260" w:type="dxa"/>
          </w:tcPr>
          <w:p w:rsidR="00E05D08" w:rsidRPr="00E05D08" w:rsidRDefault="00AA5817" w:rsidP="00F31494">
            <w:pPr>
              <w:spacing w:after="120"/>
              <w:jc w:val="left"/>
              <w:rPr>
                <w:rFonts w:cs="Arial"/>
                <w:sz w:val="16"/>
                <w:szCs w:val="16"/>
              </w:rPr>
            </w:pPr>
            <w:r>
              <w:rPr>
                <w:sz w:val="16"/>
                <w:szCs w:val="16"/>
              </w:rPr>
              <w:t>Welcher innovationsbezogene Bedarf wurde bei der Bedarfsermittlung im Zusammenhang mit der Maßnahme/Teilmaßnahme festgestellt?</w:t>
            </w:r>
          </w:p>
          <w:p w:rsidR="00E05D08" w:rsidRPr="00E05D08" w:rsidRDefault="00E05D08" w:rsidP="00F31494">
            <w:pPr>
              <w:spacing w:after="120"/>
              <w:jc w:val="left"/>
              <w:rPr>
                <w:rFonts w:cs="Arial"/>
                <w:sz w:val="16"/>
                <w:szCs w:val="16"/>
              </w:rPr>
            </w:pPr>
            <w:r>
              <w:rPr>
                <w:sz w:val="16"/>
                <w:szCs w:val="16"/>
              </w:rPr>
              <w:t>Wie wird, bezogen auf die drei Pfade, mit der Maßnahme/Teilmaßnahme auf diesen Bedarf eingegangen?</w:t>
            </w:r>
          </w:p>
        </w:tc>
        <w:tc>
          <w:tcPr>
            <w:tcW w:w="2268" w:type="dxa"/>
          </w:tcPr>
          <w:p w:rsidR="00E05D08" w:rsidRPr="00E05D08" w:rsidRDefault="00E05D08" w:rsidP="00F31494">
            <w:pPr>
              <w:jc w:val="left"/>
              <w:rPr>
                <w:rFonts w:cs="Arial"/>
                <w:sz w:val="16"/>
                <w:szCs w:val="16"/>
              </w:rPr>
            </w:pPr>
            <w:r>
              <w:rPr>
                <w:sz w:val="16"/>
                <w:szCs w:val="16"/>
              </w:rPr>
              <w:t>Abschnitt 4 – SWOT- und Bedarfsanalyse</w:t>
            </w:r>
          </w:p>
          <w:p w:rsidR="00E05D08" w:rsidRPr="00E05D08" w:rsidRDefault="00E05D08" w:rsidP="00F31494">
            <w:pPr>
              <w:jc w:val="left"/>
              <w:rPr>
                <w:rFonts w:cs="Arial"/>
                <w:sz w:val="16"/>
                <w:szCs w:val="16"/>
              </w:rPr>
            </w:pPr>
            <w:r>
              <w:rPr>
                <w:sz w:val="16"/>
                <w:szCs w:val="16"/>
              </w:rPr>
              <w:t>Abschnitt 5 – Beschreibung der Strategie</w:t>
            </w:r>
          </w:p>
          <w:p w:rsidR="00E05D08" w:rsidRPr="00E05D08" w:rsidRDefault="00E05D08" w:rsidP="00F31494">
            <w:pPr>
              <w:jc w:val="left"/>
              <w:rPr>
                <w:rFonts w:cs="Arial"/>
                <w:sz w:val="16"/>
                <w:szCs w:val="16"/>
              </w:rPr>
            </w:pPr>
            <w:r>
              <w:rPr>
                <w:sz w:val="16"/>
                <w:szCs w:val="16"/>
              </w:rPr>
              <w:t>Abschnitt 8 – Beschreibung der Maßnahmen und Teilmaßnahmen</w:t>
            </w:r>
          </w:p>
        </w:tc>
        <w:tc>
          <w:tcPr>
            <w:tcW w:w="2693" w:type="dxa"/>
          </w:tcPr>
          <w:p w:rsidR="00E05D08" w:rsidRPr="00E05D08" w:rsidRDefault="00E05D08" w:rsidP="00F31494">
            <w:pPr>
              <w:jc w:val="left"/>
              <w:rPr>
                <w:rFonts w:cs="Arial"/>
                <w:sz w:val="16"/>
                <w:szCs w:val="16"/>
              </w:rPr>
            </w:pPr>
            <w:r>
              <w:rPr>
                <w:sz w:val="16"/>
                <w:szCs w:val="16"/>
              </w:rPr>
              <w:t>Bedarf für eine Verbesserung des FuE- und Innovationssystems; Bedarf für eine Verbesserung der Mechanismen zum Wissenstransfer; Bedarf für eine Förderung der Innovationskultur unter Akteuren im Agrar- und Nahrungsmittelsektor.</w:t>
            </w:r>
          </w:p>
        </w:tc>
        <w:tc>
          <w:tcPr>
            <w:tcW w:w="2268" w:type="dxa"/>
          </w:tcPr>
          <w:p w:rsidR="00E05D08" w:rsidRPr="00E05D08" w:rsidRDefault="00AA5817" w:rsidP="00963A81">
            <w:pPr>
              <w:jc w:val="left"/>
              <w:rPr>
                <w:rFonts w:cs="Arial"/>
                <w:sz w:val="16"/>
                <w:szCs w:val="16"/>
              </w:rPr>
            </w:pPr>
            <w:r>
              <w:rPr>
                <w:sz w:val="16"/>
                <w:szCs w:val="16"/>
              </w:rPr>
              <w:t xml:space="preserve">Innovationsbezogener Bedarf wurde im Rahmen der SWOT- und Bedarfsanalyse nicht klar formuliert. </w:t>
            </w:r>
          </w:p>
        </w:tc>
        <w:tc>
          <w:tcPr>
            <w:tcW w:w="2410" w:type="dxa"/>
          </w:tcPr>
          <w:p w:rsidR="00E05D08" w:rsidRPr="00E05D08" w:rsidRDefault="00E05D08" w:rsidP="00F31494">
            <w:pPr>
              <w:jc w:val="left"/>
              <w:rPr>
                <w:rFonts w:cs="Arial"/>
                <w:sz w:val="16"/>
                <w:szCs w:val="16"/>
              </w:rPr>
            </w:pPr>
            <w:r>
              <w:rPr>
                <w:sz w:val="16"/>
                <w:szCs w:val="16"/>
              </w:rPr>
              <w:t>Überarbeitung der SWOT- und Bedarfsanalyse mit Blick auf den innovationsbezogenen Bedarf.</w:t>
            </w:r>
          </w:p>
        </w:tc>
      </w:tr>
      <w:tr w:rsidR="00E05D08" w:rsidRPr="00E05D08" w:rsidTr="00E05D08">
        <w:tc>
          <w:tcPr>
            <w:tcW w:w="1980" w:type="dxa"/>
          </w:tcPr>
          <w:p w:rsidR="00E05D08" w:rsidRPr="00F31494" w:rsidRDefault="00AA5817" w:rsidP="00F31494">
            <w:pPr>
              <w:spacing w:after="120"/>
              <w:jc w:val="left"/>
              <w:rPr>
                <w:rFonts w:cs="Arial"/>
                <w:color w:val="F07E31"/>
                <w:sz w:val="18"/>
                <w:szCs w:val="18"/>
              </w:rPr>
            </w:pPr>
            <w:r>
              <w:rPr>
                <w:color w:val="F07E31"/>
                <w:sz w:val="18"/>
                <w:szCs w:val="18"/>
              </w:rPr>
              <w:t>Schritt 2: Ermittlung innovationsbezogener Teile der Ziele der Maßnahme/Teilmaßnahme</w:t>
            </w:r>
          </w:p>
        </w:tc>
        <w:tc>
          <w:tcPr>
            <w:tcW w:w="3260" w:type="dxa"/>
          </w:tcPr>
          <w:p w:rsidR="00E05D08" w:rsidRPr="00E05D08" w:rsidRDefault="00E05D08" w:rsidP="00F31494">
            <w:pPr>
              <w:spacing w:after="120"/>
              <w:jc w:val="left"/>
              <w:rPr>
                <w:rFonts w:cs="Arial"/>
                <w:sz w:val="16"/>
                <w:szCs w:val="16"/>
              </w:rPr>
            </w:pPr>
            <w:r>
              <w:rPr>
                <w:sz w:val="16"/>
                <w:szCs w:val="16"/>
              </w:rPr>
              <w:t>In welchem Umfang beschäftigen sich die Ziele der Maßnahme/Teilmaßnahme mit innovationsbezogenem Bedarf?</w:t>
            </w:r>
          </w:p>
          <w:p w:rsidR="00E05D08" w:rsidRPr="00E05D08" w:rsidRDefault="00E05D08" w:rsidP="00F31494">
            <w:pPr>
              <w:spacing w:after="120"/>
              <w:jc w:val="left"/>
              <w:rPr>
                <w:rFonts w:cs="Arial"/>
                <w:sz w:val="16"/>
                <w:szCs w:val="16"/>
              </w:rPr>
            </w:pPr>
            <w:r>
              <w:rPr>
                <w:sz w:val="16"/>
                <w:szCs w:val="16"/>
              </w:rPr>
              <w:t>Wie ist das Ziel oder sind die Ziele im Hinblick auf Innovation formuliert?</w:t>
            </w:r>
          </w:p>
        </w:tc>
        <w:tc>
          <w:tcPr>
            <w:tcW w:w="2268" w:type="dxa"/>
          </w:tcPr>
          <w:p w:rsidR="00E05D08" w:rsidRPr="00E05D08" w:rsidRDefault="00E05D08" w:rsidP="00F31494">
            <w:pPr>
              <w:jc w:val="left"/>
              <w:rPr>
                <w:rFonts w:cs="Arial"/>
                <w:sz w:val="16"/>
                <w:szCs w:val="16"/>
              </w:rPr>
            </w:pPr>
            <w:r>
              <w:rPr>
                <w:sz w:val="16"/>
                <w:szCs w:val="16"/>
              </w:rPr>
              <w:t>Abschnitt 5 – Beschreibung der Strategie</w:t>
            </w:r>
          </w:p>
          <w:p w:rsidR="00E05D08" w:rsidRPr="00E05D08" w:rsidRDefault="00E05D08" w:rsidP="00F31494">
            <w:pPr>
              <w:jc w:val="left"/>
              <w:rPr>
                <w:rFonts w:cs="Arial"/>
                <w:sz w:val="16"/>
                <w:szCs w:val="16"/>
              </w:rPr>
            </w:pPr>
            <w:r>
              <w:rPr>
                <w:sz w:val="16"/>
                <w:szCs w:val="16"/>
              </w:rPr>
              <w:t>Abschnitt 8 – Beschreibung der Maßnahmen und Teilmaßnahmen</w:t>
            </w:r>
          </w:p>
        </w:tc>
        <w:tc>
          <w:tcPr>
            <w:tcW w:w="2693" w:type="dxa"/>
          </w:tcPr>
          <w:p w:rsidR="00E05D08" w:rsidRPr="00E05D08" w:rsidRDefault="00E05D08" w:rsidP="00F31494">
            <w:pPr>
              <w:jc w:val="left"/>
              <w:rPr>
                <w:rFonts w:cs="Arial"/>
                <w:sz w:val="16"/>
                <w:szCs w:val="16"/>
              </w:rPr>
            </w:pPr>
            <w:r>
              <w:rPr>
                <w:sz w:val="16"/>
                <w:szCs w:val="16"/>
              </w:rPr>
              <w:t>Förderung neuer Technologien in Bewässerungssystemen; Einführung von neuem Wissen im Bereich des Schutzes und der Verarbeitung von Kulturpflanzen; Verbesserung der wirtschaftlichen Ergebnisse landwirtschaftlicher Betriebe durch Innovation.</w:t>
            </w:r>
          </w:p>
        </w:tc>
        <w:tc>
          <w:tcPr>
            <w:tcW w:w="2268" w:type="dxa"/>
          </w:tcPr>
          <w:p w:rsidR="00E05D08" w:rsidRPr="00E05D08" w:rsidRDefault="00AA5817" w:rsidP="00F31494">
            <w:pPr>
              <w:jc w:val="left"/>
              <w:rPr>
                <w:rFonts w:cs="Arial"/>
                <w:sz w:val="16"/>
                <w:szCs w:val="16"/>
              </w:rPr>
            </w:pPr>
            <w:r>
              <w:rPr>
                <w:sz w:val="16"/>
                <w:szCs w:val="16"/>
              </w:rPr>
              <w:t>Die innovationsbezogenen Ziele gehen aus der allgemeinen Beschreibung der Maßnahme und der Teilmaßnahmen nicht klar hervor.</w:t>
            </w:r>
          </w:p>
        </w:tc>
        <w:tc>
          <w:tcPr>
            <w:tcW w:w="2410" w:type="dxa"/>
          </w:tcPr>
          <w:p w:rsidR="00E05D08" w:rsidRPr="00E05D08" w:rsidRDefault="00E05D08" w:rsidP="00F31494">
            <w:pPr>
              <w:jc w:val="left"/>
              <w:rPr>
                <w:rFonts w:cs="Arial"/>
                <w:sz w:val="16"/>
                <w:szCs w:val="16"/>
              </w:rPr>
            </w:pPr>
            <w:r>
              <w:rPr>
                <w:sz w:val="16"/>
                <w:szCs w:val="16"/>
              </w:rPr>
              <w:t>Überprüfung aller Teilmaßnahmen und der mit ihnen verbundenen Ziele zur Ermittlung etwaiger innovationsbezogener Ziele.</w:t>
            </w:r>
          </w:p>
        </w:tc>
      </w:tr>
      <w:tr w:rsidR="00E05D08" w:rsidRPr="00E05D08" w:rsidTr="00E05D08">
        <w:tc>
          <w:tcPr>
            <w:tcW w:w="1980" w:type="dxa"/>
          </w:tcPr>
          <w:p w:rsidR="00E05D08" w:rsidRPr="00F31494" w:rsidRDefault="00AA5817" w:rsidP="00F31494">
            <w:pPr>
              <w:jc w:val="left"/>
              <w:rPr>
                <w:rFonts w:cs="Arial"/>
                <w:color w:val="F07E31"/>
                <w:sz w:val="18"/>
                <w:szCs w:val="18"/>
              </w:rPr>
            </w:pPr>
            <w:r>
              <w:rPr>
                <w:color w:val="F07E31"/>
                <w:sz w:val="18"/>
                <w:szCs w:val="18"/>
              </w:rPr>
              <w:t>Schritt 3: Ermittlung innovationsbezogener Auswahlkriterien der Maßnahme/Teilmaßnahme</w:t>
            </w:r>
          </w:p>
        </w:tc>
        <w:tc>
          <w:tcPr>
            <w:tcW w:w="3260" w:type="dxa"/>
          </w:tcPr>
          <w:p w:rsidR="00E05D08" w:rsidRPr="00E05D08" w:rsidRDefault="00E05D08" w:rsidP="00F31494">
            <w:pPr>
              <w:spacing w:after="120"/>
              <w:jc w:val="left"/>
              <w:rPr>
                <w:rFonts w:cs="Arial"/>
                <w:sz w:val="16"/>
                <w:szCs w:val="16"/>
              </w:rPr>
            </w:pPr>
            <w:r>
              <w:rPr>
                <w:sz w:val="16"/>
                <w:szCs w:val="16"/>
              </w:rPr>
              <w:t xml:space="preserve">In welchem Umfang wird durch die Projektauswahlkriterien der Maßnahme/Teilmaßnahme die Innovationsförderung bezogen auf die drei Pfade unterstützt? </w:t>
            </w:r>
          </w:p>
          <w:p w:rsidR="00E05D08" w:rsidRPr="00E05D08" w:rsidRDefault="00E05D08" w:rsidP="00F31494">
            <w:pPr>
              <w:spacing w:after="120"/>
              <w:jc w:val="left"/>
              <w:rPr>
                <w:rFonts w:cs="Arial"/>
                <w:sz w:val="16"/>
                <w:szCs w:val="16"/>
              </w:rPr>
            </w:pPr>
            <w:r>
              <w:rPr>
                <w:sz w:val="16"/>
                <w:szCs w:val="16"/>
              </w:rPr>
              <w:t>Durch welche konkreten Auswahlkriterien werden Projekte gefördert, die innovationsfördernd sind?</w:t>
            </w:r>
          </w:p>
        </w:tc>
        <w:tc>
          <w:tcPr>
            <w:tcW w:w="2268" w:type="dxa"/>
          </w:tcPr>
          <w:p w:rsidR="00E05D08" w:rsidRPr="00E05D08" w:rsidRDefault="00E05D08" w:rsidP="00F31494">
            <w:pPr>
              <w:jc w:val="left"/>
              <w:rPr>
                <w:rFonts w:cs="Arial"/>
                <w:sz w:val="16"/>
                <w:szCs w:val="16"/>
              </w:rPr>
            </w:pPr>
            <w:r>
              <w:rPr>
                <w:sz w:val="16"/>
                <w:szCs w:val="16"/>
              </w:rPr>
              <w:t>Abschnitt 8 – Beschreibung der Maßnahmen und Teilmaßnahmen</w:t>
            </w:r>
          </w:p>
          <w:p w:rsidR="00E05D08" w:rsidRPr="00E05D08" w:rsidRDefault="00E05D08" w:rsidP="00F31494">
            <w:pPr>
              <w:jc w:val="left"/>
              <w:rPr>
                <w:rFonts w:cs="Arial"/>
                <w:sz w:val="16"/>
                <w:szCs w:val="16"/>
              </w:rPr>
            </w:pPr>
            <w:r>
              <w:rPr>
                <w:sz w:val="16"/>
                <w:szCs w:val="16"/>
              </w:rPr>
              <w:t>Während der Umsetzung entwickelte Auswahlkriterien (Quelle: Programm-Website, Verwaltungsbehörde)</w:t>
            </w:r>
          </w:p>
        </w:tc>
        <w:tc>
          <w:tcPr>
            <w:tcW w:w="2693" w:type="dxa"/>
          </w:tcPr>
          <w:p w:rsidR="00E05D08" w:rsidRPr="00E05D08" w:rsidRDefault="00E05D08" w:rsidP="00F31494">
            <w:pPr>
              <w:jc w:val="left"/>
              <w:rPr>
                <w:rFonts w:cs="Arial"/>
                <w:sz w:val="16"/>
                <w:szCs w:val="16"/>
              </w:rPr>
            </w:pPr>
            <w:r>
              <w:rPr>
                <w:sz w:val="16"/>
                <w:szCs w:val="16"/>
              </w:rPr>
              <w:t>Priorisierung von Akteuren mit Erfahrung im Bereich Innovation; Priorisierung von Vorhaben, mit denen Forschung und Praxis verknüpft werden; Schwerpunkt auf der Bildung von Partnerschaften (in Kooperationsvorhaben).</w:t>
            </w:r>
          </w:p>
        </w:tc>
        <w:tc>
          <w:tcPr>
            <w:tcW w:w="2268" w:type="dxa"/>
          </w:tcPr>
          <w:p w:rsidR="00E05D08" w:rsidRPr="00E05D08" w:rsidRDefault="00E05D08" w:rsidP="00F31494">
            <w:pPr>
              <w:jc w:val="left"/>
              <w:rPr>
                <w:rFonts w:cs="Arial"/>
                <w:sz w:val="16"/>
                <w:szCs w:val="16"/>
              </w:rPr>
            </w:pPr>
            <w:r>
              <w:rPr>
                <w:sz w:val="16"/>
                <w:szCs w:val="16"/>
              </w:rPr>
              <w:t xml:space="preserve">Die Beschreibung der Maßnahmen enthält keine innovationsbezogenen Projektauswahlkriterien oder lediglich eine allgemeine Formulierung wie „ausgewählte Projekte sind innovativ“. </w:t>
            </w:r>
          </w:p>
        </w:tc>
        <w:tc>
          <w:tcPr>
            <w:tcW w:w="2410" w:type="dxa"/>
          </w:tcPr>
          <w:p w:rsidR="00E05D08" w:rsidRPr="00E05D08" w:rsidRDefault="00E05D08" w:rsidP="00F31494">
            <w:pPr>
              <w:jc w:val="left"/>
              <w:rPr>
                <w:rFonts w:cs="Arial"/>
                <w:sz w:val="16"/>
                <w:szCs w:val="16"/>
              </w:rPr>
            </w:pPr>
            <w:r>
              <w:rPr>
                <w:sz w:val="16"/>
                <w:szCs w:val="16"/>
              </w:rPr>
              <w:t>Vorschlag für operationelle Kriterien entwickeln, durch die festgelegt wird, unter welchen Voraussetzungen das ausgewählte Projekt als innovativ gilt.</w:t>
            </w:r>
          </w:p>
        </w:tc>
      </w:tr>
      <w:tr w:rsidR="00E05D08" w:rsidRPr="00E05D08" w:rsidTr="00E05D08">
        <w:tc>
          <w:tcPr>
            <w:tcW w:w="1980" w:type="dxa"/>
          </w:tcPr>
          <w:p w:rsidR="00E05D08" w:rsidRPr="00F31494" w:rsidRDefault="00E05D08" w:rsidP="001F3D91">
            <w:pPr>
              <w:spacing w:after="120"/>
              <w:jc w:val="left"/>
              <w:rPr>
                <w:rFonts w:cs="Arial"/>
                <w:color w:val="F07E31"/>
                <w:sz w:val="18"/>
                <w:szCs w:val="18"/>
              </w:rPr>
            </w:pPr>
            <w:r>
              <w:rPr>
                <w:color w:val="F07E31"/>
                <w:sz w:val="18"/>
                <w:szCs w:val="18"/>
              </w:rPr>
              <w:t>Schritt 4: Ermittlung von Innovationsakteuren in der Beschreibung der Maßnahme/Teilmaßnahme</w:t>
            </w:r>
          </w:p>
        </w:tc>
        <w:tc>
          <w:tcPr>
            <w:tcW w:w="3260" w:type="dxa"/>
          </w:tcPr>
          <w:p w:rsidR="00E05D08" w:rsidRPr="00E05D08" w:rsidRDefault="00E05D08" w:rsidP="00F31494">
            <w:pPr>
              <w:spacing w:after="120"/>
              <w:jc w:val="left"/>
              <w:rPr>
                <w:rFonts w:cs="Arial"/>
                <w:sz w:val="16"/>
                <w:szCs w:val="16"/>
              </w:rPr>
            </w:pPr>
            <w:r>
              <w:rPr>
                <w:sz w:val="16"/>
                <w:szCs w:val="16"/>
              </w:rPr>
              <w:t>Bei welchen Begünstigten wird angenommen, dass sie über die drei Pfade zur Innovationsförderung beitragen?</w:t>
            </w:r>
          </w:p>
          <w:p w:rsidR="00E05D08" w:rsidRPr="00E05D08" w:rsidRDefault="00E05D08" w:rsidP="00F31494">
            <w:pPr>
              <w:spacing w:after="120"/>
              <w:jc w:val="left"/>
              <w:rPr>
                <w:rFonts w:cs="Arial"/>
                <w:sz w:val="16"/>
                <w:szCs w:val="16"/>
              </w:rPr>
            </w:pPr>
            <w:r>
              <w:rPr>
                <w:sz w:val="16"/>
                <w:szCs w:val="16"/>
              </w:rPr>
              <w:t>Welche anderen Innovationsakteure sind an der Umsetzung der Maßnahme beteiligt?</w:t>
            </w:r>
          </w:p>
        </w:tc>
        <w:tc>
          <w:tcPr>
            <w:tcW w:w="2268" w:type="dxa"/>
          </w:tcPr>
          <w:p w:rsidR="00E05D08" w:rsidRPr="00E05D08" w:rsidRDefault="00E05D08" w:rsidP="00F31494">
            <w:pPr>
              <w:jc w:val="left"/>
              <w:rPr>
                <w:rFonts w:cs="Arial"/>
                <w:sz w:val="16"/>
                <w:szCs w:val="16"/>
              </w:rPr>
            </w:pPr>
            <w:r>
              <w:rPr>
                <w:sz w:val="16"/>
                <w:szCs w:val="16"/>
              </w:rPr>
              <w:t>Abschnitt 8 – Beschreibung der Maßnahmen und Teilmaßnahmen</w:t>
            </w:r>
          </w:p>
        </w:tc>
        <w:tc>
          <w:tcPr>
            <w:tcW w:w="2693" w:type="dxa"/>
          </w:tcPr>
          <w:p w:rsidR="00E05D08" w:rsidRPr="00E05D08" w:rsidRDefault="00E05D08" w:rsidP="00F31494">
            <w:pPr>
              <w:jc w:val="left"/>
              <w:rPr>
                <w:rFonts w:cs="Arial"/>
                <w:sz w:val="16"/>
                <w:szCs w:val="16"/>
              </w:rPr>
            </w:pPr>
            <w:r>
              <w:rPr>
                <w:sz w:val="16"/>
                <w:szCs w:val="16"/>
              </w:rPr>
              <w:t>FuE-Zentren</w:t>
            </w:r>
          </w:p>
          <w:p w:rsidR="00E05D08" w:rsidRPr="00E05D08" w:rsidRDefault="00E05D08" w:rsidP="00F31494">
            <w:pPr>
              <w:jc w:val="left"/>
              <w:rPr>
                <w:rFonts w:cs="Arial"/>
                <w:sz w:val="16"/>
                <w:szCs w:val="16"/>
              </w:rPr>
            </w:pPr>
            <w:r>
              <w:rPr>
                <w:sz w:val="16"/>
                <w:szCs w:val="16"/>
              </w:rPr>
              <w:t>Technologieinstitute</w:t>
            </w:r>
          </w:p>
          <w:p w:rsidR="00E05D08" w:rsidRPr="00E05D08" w:rsidRDefault="00E05D08" w:rsidP="00F31494">
            <w:pPr>
              <w:jc w:val="left"/>
              <w:rPr>
                <w:rFonts w:cs="Arial"/>
                <w:sz w:val="16"/>
                <w:szCs w:val="16"/>
              </w:rPr>
            </w:pPr>
            <w:r>
              <w:rPr>
                <w:sz w:val="16"/>
                <w:szCs w:val="16"/>
              </w:rPr>
              <w:t>Innovationsabteilungen öffentlicher Einrichtungen</w:t>
            </w:r>
          </w:p>
          <w:p w:rsidR="00E05D08" w:rsidRPr="00A86A02" w:rsidRDefault="00E05D08" w:rsidP="00F31494">
            <w:pPr>
              <w:jc w:val="left"/>
              <w:rPr>
                <w:rFonts w:cs="Arial"/>
                <w:sz w:val="16"/>
                <w:szCs w:val="16"/>
              </w:rPr>
            </w:pPr>
          </w:p>
          <w:p w:rsidR="00E05D08" w:rsidRPr="00A86A02" w:rsidRDefault="00E05D08" w:rsidP="00F31494">
            <w:pPr>
              <w:jc w:val="left"/>
              <w:rPr>
                <w:rFonts w:cs="Arial"/>
                <w:sz w:val="16"/>
                <w:szCs w:val="16"/>
              </w:rPr>
            </w:pPr>
          </w:p>
        </w:tc>
        <w:tc>
          <w:tcPr>
            <w:tcW w:w="2268" w:type="dxa"/>
          </w:tcPr>
          <w:p w:rsidR="00E05D08" w:rsidRPr="00E05D08" w:rsidRDefault="00AA5817" w:rsidP="00F31494">
            <w:pPr>
              <w:jc w:val="left"/>
              <w:rPr>
                <w:rFonts w:cs="Arial"/>
                <w:sz w:val="16"/>
                <w:szCs w:val="16"/>
              </w:rPr>
            </w:pPr>
            <w:r>
              <w:rPr>
                <w:sz w:val="16"/>
                <w:szCs w:val="16"/>
              </w:rPr>
              <w:t>Innovationsbezogene Akteure werden bei der Gestaltung der Maßnahme unter Umständen nicht definiert.</w:t>
            </w:r>
          </w:p>
        </w:tc>
        <w:tc>
          <w:tcPr>
            <w:tcW w:w="2410" w:type="dxa"/>
          </w:tcPr>
          <w:p w:rsidR="00E05D08" w:rsidRPr="00E05D08" w:rsidRDefault="00E05D08" w:rsidP="00F31494">
            <w:pPr>
              <w:jc w:val="left"/>
              <w:rPr>
                <w:rFonts w:cs="Arial"/>
                <w:sz w:val="16"/>
                <w:szCs w:val="16"/>
              </w:rPr>
            </w:pPr>
            <w:r>
              <w:rPr>
                <w:sz w:val="16"/>
                <w:szCs w:val="16"/>
              </w:rPr>
              <w:t xml:space="preserve">Der Bewerter sollte überprüfen, ob innovationsbezogene Akteure an der Umsetzung der Maßnahme und der Teilmaßnahmen beteiligt sind. </w:t>
            </w:r>
          </w:p>
        </w:tc>
      </w:tr>
      <w:tr w:rsidR="00E05D08" w:rsidRPr="00E05D08" w:rsidTr="00E05D08">
        <w:tc>
          <w:tcPr>
            <w:tcW w:w="1980" w:type="dxa"/>
          </w:tcPr>
          <w:p w:rsidR="00E05D08" w:rsidRPr="00F31494" w:rsidRDefault="00AA5817" w:rsidP="00F31494">
            <w:pPr>
              <w:spacing w:after="120"/>
              <w:jc w:val="left"/>
              <w:rPr>
                <w:rFonts w:cs="Arial"/>
                <w:color w:val="F07E31"/>
                <w:sz w:val="18"/>
                <w:szCs w:val="18"/>
              </w:rPr>
            </w:pPr>
            <w:r>
              <w:rPr>
                <w:color w:val="F07E31"/>
                <w:sz w:val="18"/>
                <w:szCs w:val="18"/>
              </w:rPr>
              <w:t xml:space="preserve">Schritt 5: Ermittlung innovationsbezogener Aktionen, Kosten und Haushaltsmittel in der Beschreibung der </w:t>
            </w:r>
            <w:r>
              <w:rPr>
                <w:color w:val="F07E31"/>
                <w:sz w:val="18"/>
                <w:szCs w:val="18"/>
              </w:rPr>
              <w:lastRenderedPageBreak/>
              <w:t>Maßnahme/Teilmaßnahme</w:t>
            </w:r>
          </w:p>
        </w:tc>
        <w:tc>
          <w:tcPr>
            <w:tcW w:w="3260" w:type="dxa"/>
          </w:tcPr>
          <w:p w:rsidR="00E05D08" w:rsidRPr="00E05D08" w:rsidRDefault="00E05D08" w:rsidP="00F31494">
            <w:pPr>
              <w:spacing w:after="120"/>
              <w:jc w:val="left"/>
              <w:rPr>
                <w:rFonts w:cs="Arial"/>
                <w:sz w:val="16"/>
                <w:szCs w:val="16"/>
              </w:rPr>
            </w:pPr>
            <w:r>
              <w:rPr>
                <w:sz w:val="16"/>
                <w:szCs w:val="16"/>
              </w:rPr>
              <w:lastRenderedPageBreak/>
              <w:t xml:space="preserve">Welche förderfähigen Aktionen und Kosten fördern Innovation? </w:t>
            </w:r>
          </w:p>
          <w:p w:rsidR="00E05D08" w:rsidRPr="00E05D08" w:rsidRDefault="00E05D08" w:rsidP="00963A81">
            <w:pPr>
              <w:spacing w:after="120"/>
              <w:jc w:val="left"/>
              <w:rPr>
                <w:rFonts w:cs="Arial"/>
                <w:sz w:val="16"/>
                <w:szCs w:val="16"/>
              </w:rPr>
            </w:pPr>
            <w:r>
              <w:rPr>
                <w:sz w:val="16"/>
                <w:szCs w:val="16"/>
              </w:rPr>
              <w:t>Wie hoch sind die Haushaltsmittel, die für innovationsfördernde Aktionen und Kosten vorgesehen sind?</w:t>
            </w:r>
          </w:p>
        </w:tc>
        <w:tc>
          <w:tcPr>
            <w:tcW w:w="2268" w:type="dxa"/>
          </w:tcPr>
          <w:p w:rsidR="00E05D08" w:rsidRPr="00E05D08" w:rsidRDefault="00E05D08" w:rsidP="00F31494">
            <w:pPr>
              <w:jc w:val="left"/>
              <w:rPr>
                <w:rFonts w:cs="Arial"/>
                <w:sz w:val="16"/>
                <w:szCs w:val="16"/>
              </w:rPr>
            </w:pPr>
            <w:r>
              <w:rPr>
                <w:sz w:val="16"/>
                <w:szCs w:val="16"/>
              </w:rPr>
              <w:t>Abschnitt 8 – Beschreibung der Maßnahmen und Teilmaßnahmen</w:t>
            </w:r>
          </w:p>
          <w:p w:rsidR="00E05D08" w:rsidRPr="00E05D08" w:rsidRDefault="00E05D08" w:rsidP="00F31494">
            <w:pPr>
              <w:jc w:val="left"/>
              <w:rPr>
                <w:rFonts w:cs="Arial"/>
                <w:sz w:val="16"/>
                <w:szCs w:val="16"/>
              </w:rPr>
            </w:pPr>
            <w:r>
              <w:rPr>
                <w:sz w:val="16"/>
                <w:szCs w:val="16"/>
              </w:rPr>
              <w:t xml:space="preserve">Während der Umsetzung entwickelte Bereitstellungssysteme </w:t>
            </w:r>
            <w:r>
              <w:rPr>
                <w:sz w:val="16"/>
                <w:szCs w:val="16"/>
              </w:rPr>
              <w:lastRenderedPageBreak/>
              <w:t>(Quelle: Programm-Website, Verwaltungsbehörde)</w:t>
            </w:r>
          </w:p>
          <w:p w:rsidR="00E05D08" w:rsidRPr="00A86A02" w:rsidRDefault="00E05D08" w:rsidP="00F31494">
            <w:pPr>
              <w:jc w:val="left"/>
              <w:rPr>
                <w:rFonts w:cs="Arial"/>
                <w:sz w:val="16"/>
                <w:szCs w:val="16"/>
              </w:rPr>
            </w:pPr>
          </w:p>
          <w:p w:rsidR="00E05D08" w:rsidRPr="00E05D08" w:rsidRDefault="00E05D08" w:rsidP="00F31494">
            <w:pPr>
              <w:jc w:val="left"/>
              <w:rPr>
                <w:rFonts w:cs="Arial"/>
                <w:sz w:val="16"/>
                <w:szCs w:val="16"/>
              </w:rPr>
            </w:pPr>
            <w:r>
              <w:rPr>
                <w:sz w:val="16"/>
                <w:szCs w:val="16"/>
              </w:rPr>
              <w:t xml:space="preserve">Abschnitt 10 – Finanzplan, Haushaltsmittel je Maßnahme </w:t>
            </w:r>
          </w:p>
        </w:tc>
        <w:tc>
          <w:tcPr>
            <w:tcW w:w="2693" w:type="dxa"/>
          </w:tcPr>
          <w:p w:rsidR="00E05D08" w:rsidRPr="00E05D08" w:rsidRDefault="00E05D08" w:rsidP="00F31494">
            <w:pPr>
              <w:jc w:val="left"/>
              <w:rPr>
                <w:rFonts w:cs="Arial"/>
                <w:sz w:val="16"/>
                <w:szCs w:val="16"/>
              </w:rPr>
            </w:pPr>
            <w:r>
              <w:rPr>
                <w:sz w:val="16"/>
                <w:szCs w:val="16"/>
              </w:rPr>
              <w:lastRenderedPageBreak/>
              <w:t xml:space="preserve">Einsatz von Innovationsvermittlern für die Einrichtung von operationellen Gruppen; Einrichtung von Lenkungsgruppen zur Beobachtung von Innovation; Verwaltungsprobleme bei innovationsfördernden </w:t>
            </w:r>
            <w:r>
              <w:rPr>
                <w:sz w:val="16"/>
                <w:szCs w:val="16"/>
              </w:rPr>
              <w:lastRenderedPageBreak/>
              <w:t xml:space="preserve">Interventionen; Informationsveranstaltungen zu Innovation. </w:t>
            </w:r>
          </w:p>
        </w:tc>
        <w:tc>
          <w:tcPr>
            <w:tcW w:w="2268" w:type="dxa"/>
          </w:tcPr>
          <w:p w:rsidR="00E05D08" w:rsidRPr="00E05D08" w:rsidRDefault="00E05D08" w:rsidP="00F31494">
            <w:pPr>
              <w:jc w:val="left"/>
              <w:rPr>
                <w:rFonts w:cs="Arial"/>
                <w:sz w:val="16"/>
                <w:szCs w:val="16"/>
              </w:rPr>
            </w:pPr>
            <w:r>
              <w:rPr>
                <w:sz w:val="16"/>
                <w:szCs w:val="16"/>
              </w:rPr>
              <w:lastRenderedPageBreak/>
              <w:t>Fehlende Nachweise zu innovationsbezogenen Instrumenten und innovationsbezogener Unterstützung.</w:t>
            </w:r>
          </w:p>
        </w:tc>
        <w:tc>
          <w:tcPr>
            <w:tcW w:w="2410" w:type="dxa"/>
          </w:tcPr>
          <w:p w:rsidR="00E05D08" w:rsidRPr="00E05D08" w:rsidRDefault="00E05D08" w:rsidP="00F31494">
            <w:pPr>
              <w:jc w:val="left"/>
              <w:rPr>
                <w:rFonts w:cs="Arial"/>
                <w:sz w:val="16"/>
                <w:szCs w:val="16"/>
              </w:rPr>
            </w:pPr>
            <w:r>
              <w:rPr>
                <w:sz w:val="16"/>
                <w:szCs w:val="16"/>
              </w:rPr>
              <w:t xml:space="preserve">Analyse zusätzlicher Informationen über die Umsetzung der Maßnahme und Teilmaßnahmen, die in den jährlichen Durchführungsberichten oder </w:t>
            </w:r>
            <w:r>
              <w:rPr>
                <w:sz w:val="16"/>
                <w:szCs w:val="16"/>
              </w:rPr>
              <w:lastRenderedPageBreak/>
              <w:t>von den Verwaltungsbehörden bereitgestellt werden.</w:t>
            </w:r>
          </w:p>
        </w:tc>
      </w:tr>
    </w:tbl>
    <w:p w:rsidR="00863DB0" w:rsidRDefault="00863DB0" w:rsidP="00E05D08">
      <w:pPr>
        <w:spacing w:before="120" w:after="120" w:line="280" w:lineRule="atLeast"/>
        <w:mirrorIndents/>
        <w:rPr>
          <w:rFonts w:eastAsia="Times New Roman" w:cs="Times New Roman"/>
          <w:szCs w:val="20"/>
          <w:lang w:eastAsia="de-DE"/>
        </w:rPr>
        <w:sectPr w:rsidR="00863DB0" w:rsidSect="001F6F07">
          <w:endnotePr>
            <w:numFmt w:val="decimal"/>
          </w:endnotePr>
          <w:pgSz w:w="16840" w:h="11907" w:orient="landscape" w:code="9"/>
          <w:pgMar w:top="1440" w:right="1440" w:bottom="1440" w:left="1134" w:header="567" w:footer="1020" w:gutter="0"/>
          <w:cols w:space="708"/>
          <w:noEndnote/>
          <w:titlePg/>
          <w:docGrid w:linePitch="435"/>
        </w:sectPr>
      </w:pPr>
    </w:p>
    <w:p w:rsidR="00E05D08" w:rsidRPr="00E05D08" w:rsidRDefault="00E05D08" w:rsidP="00E05D08">
      <w:pPr>
        <w:spacing w:before="120" w:after="120" w:line="280" w:lineRule="atLeast"/>
        <w:mirrorIndents/>
        <w:rPr>
          <w:rFonts w:eastAsia="Times New Roman" w:cs="Times New Roman"/>
          <w:szCs w:val="20"/>
          <w:lang w:eastAsia="de-DE"/>
        </w:rPr>
        <w:sectPr w:rsidR="00E05D08" w:rsidRPr="00E05D08" w:rsidSect="00863DB0">
          <w:endnotePr>
            <w:numFmt w:val="decimal"/>
          </w:endnotePr>
          <w:pgSz w:w="11907" w:h="16840" w:code="9"/>
          <w:pgMar w:top="1440" w:right="1440" w:bottom="1134" w:left="1440" w:header="567" w:footer="1020" w:gutter="0"/>
          <w:cols w:space="708"/>
          <w:noEndnote/>
          <w:titlePg/>
          <w:docGrid w:linePitch="435"/>
        </w:sectPr>
      </w:pPr>
    </w:p>
    <w:p w:rsidR="003F6AF1" w:rsidRDefault="003F6AF1">
      <w:pPr>
        <w:jc w:val="left"/>
        <w:rPr>
          <w:rFonts w:eastAsia="Times New Roman" w:cs="Times New Roman"/>
          <w:szCs w:val="20"/>
          <w:lang w:eastAsia="de-DE"/>
        </w:rPr>
      </w:pPr>
    </w:p>
    <w:p w:rsidR="00E05D08" w:rsidRPr="00E05D08" w:rsidRDefault="00E05D08" w:rsidP="00690E70">
      <w:pPr>
        <w:spacing w:after="0" w:line="240" w:lineRule="auto"/>
        <w:jc w:val="left"/>
        <w:rPr>
          <w:rFonts w:eastAsia="Times New Roman" w:cs="Times New Roman"/>
          <w:szCs w:val="20"/>
        </w:rPr>
      </w:pPr>
    </w:p>
    <w:bookmarkEnd w:id="0"/>
    <w:p w:rsidR="00E16522" w:rsidRDefault="00E16522"/>
    <w:sectPr w:rsidR="00E16522" w:rsidSect="00055039">
      <w:headerReference w:type="default" r:id="rId135"/>
      <w:endnotePr>
        <w:numFmt w:val="decimal"/>
      </w:endnotePr>
      <w:pgSz w:w="11906" w:h="16838" w:code="9"/>
      <w:pgMar w:top="1440" w:right="1440" w:bottom="1134" w:left="1440" w:header="567" w:footer="1021"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4DA2" w:rsidRDefault="00E34DA2" w:rsidP="00E05D08">
      <w:pPr>
        <w:spacing w:after="0" w:line="240" w:lineRule="auto"/>
      </w:pPr>
      <w:r>
        <w:separator/>
      </w:r>
    </w:p>
  </w:endnote>
  <w:endnote w:type="continuationSeparator" w:id="0">
    <w:p w:rsidR="00E34DA2" w:rsidRDefault="00E34DA2" w:rsidP="00E05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Helvetica LT Pro">
    <w:altName w:val="Segoe Script"/>
    <w:panose1 w:val="020B0704020202030204"/>
    <w:charset w:val="00"/>
    <w:family w:val="swiss"/>
    <w:pitch w:val="variable"/>
    <w:sig w:usb0="A00002AF" w:usb1="5000204A" w:usb2="00000000" w:usb3="00000000" w:csb0="00000097"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F8C" w:rsidRDefault="00533F8C">
    <w:pPr>
      <w:pStyle w:val="Footer"/>
    </w:pPr>
    <w:r>
      <w:t xml:space="preserve">Seite </w:t>
    </w:r>
    <w:r w:rsidRPr="00E05D08">
      <w:rPr>
        <w:rStyle w:val="PageNumber"/>
      </w:rPr>
      <w:fldChar w:fldCharType="begin"/>
    </w:r>
    <w:r w:rsidRPr="00E05D08">
      <w:rPr>
        <w:rStyle w:val="PageNumber"/>
      </w:rPr>
      <w:instrText xml:space="preserve"> PAGE </w:instrText>
    </w:r>
    <w:r w:rsidRPr="00E05D08">
      <w:rPr>
        <w:rStyle w:val="PageNumber"/>
      </w:rPr>
      <w:fldChar w:fldCharType="separate"/>
    </w:r>
    <w:r>
      <w:rPr>
        <w:rStyle w:val="PageNumber"/>
        <w:noProof/>
      </w:rPr>
      <w:t>94</w:t>
    </w:r>
    <w:r w:rsidRPr="00E05D08">
      <w:rPr>
        <w:rStyle w:val="PageNumber"/>
      </w:rPr>
      <w:fldChar w:fldCharType="end"/>
    </w:r>
    <w:r>
      <w:rPr>
        <w:rStyle w:val="PageNumber"/>
      </w:rPr>
      <w:tab/>
    </w:r>
    <w:r>
      <w:rPr>
        <w:noProof/>
        <w:lang w:val="en-GB" w:eastAsia="en-GB"/>
      </w:rPr>
      <w:drawing>
        <wp:inline distT="0" distB="0" distL="0" distR="0" wp14:anchorId="04F391BE" wp14:editId="0F2AC86B">
          <wp:extent cx="971550" cy="247650"/>
          <wp:effectExtent l="19050" t="0" r="0" b="0"/>
          <wp:docPr id="33"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F8C" w:rsidRPr="00611706" w:rsidRDefault="00533F8C" w:rsidP="00E16522">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5226613"/>
      <w:docPartObj>
        <w:docPartGallery w:val="Page Numbers (Bottom of Page)"/>
        <w:docPartUnique/>
      </w:docPartObj>
    </w:sdtPr>
    <w:sdtEndPr>
      <w:rPr>
        <w:noProof/>
        <w:sz w:val="18"/>
        <w:szCs w:val="18"/>
      </w:rPr>
    </w:sdtEndPr>
    <w:sdtContent>
      <w:p w:rsidR="00533F8C" w:rsidRPr="00611706" w:rsidRDefault="00533F8C">
        <w:pPr>
          <w:pStyle w:val="Footer"/>
          <w:rPr>
            <w:sz w:val="18"/>
            <w:szCs w:val="18"/>
          </w:rPr>
        </w:pPr>
      </w:p>
    </w:sdtContent>
  </w:sdt>
  <w:p w:rsidR="00533F8C" w:rsidRPr="006D33F1" w:rsidRDefault="00533F8C" w:rsidP="00E165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F8C" w:rsidRPr="00431FF5" w:rsidRDefault="00533F8C" w:rsidP="00431FF5">
    <w:pPr>
      <w:pStyle w:val="Footer"/>
      <w:spacing w:before="240"/>
      <w:rPr>
        <w:rStyle w:val="PageNumber"/>
        <w:rFonts w:eastAsiaTheme="majorEastAsia"/>
        <w:noProof/>
        <w:color w:val="373737"/>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F8C" w:rsidRPr="00150D5B" w:rsidRDefault="00533F8C" w:rsidP="00E165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222601"/>
      <w:docPartObj>
        <w:docPartGallery w:val="Page Numbers (Bottom of Page)"/>
        <w:docPartUnique/>
      </w:docPartObj>
    </w:sdtPr>
    <w:sdtEndPr>
      <w:rPr>
        <w:rStyle w:val="PageNumber"/>
        <w:rFonts w:eastAsiaTheme="majorEastAsia"/>
        <w:color w:val="808080"/>
        <w:sz w:val="18"/>
        <w:szCs w:val="18"/>
      </w:rPr>
    </w:sdtEndPr>
    <w:sdtContent>
      <w:p w:rsidR="00533F8C" w:rsidRDefault="00533F8C">
        <w:pPr>
          <w:pStyle w:val="Footer"/>
          <w:spacing w:before="240"/>
          <w:rPr>
            <w:rStyle w:val="PageNumber"/>
            <w:rFonts w:eastAsiaTheme="majorEastAsia"/>
            <w:noProof/>
            <w:color w:val="373737"/>
            <w:szCs w:val="18"/>
          </w:rPr>
        </w:pPr>
        <w:r w:rsidRPr="00431FF5">
          <w:rPr>
            <w:rStyle w:val="PageNumber"/>
            <w:rFonts w:eastAsiaTheme="majorEastAsia"/>
            <w:color w:val="373737"/>
            <w:szCs w:val="18"/>
          </w:rPr>
          <w:fldChar w:fldCharType="begin"/>
        </w:r>
        <w:r w:rsidRPr="00431FF5">
          <w:rPr>
            <w:rStyle w:val="PageNumber"/>
            <w:rFonts w:eastAsiaTheme="majorEastAsia"/>
            <w:color w:val="373737"/>
            <w:szCs w:val="18"/>
          </w:rPr>
          <w:instrText xml:space="preserve"> PAGE   \* MERGEFORMAT </w:instrText>
        </w:r>
        <w:r w:rsidRPr="00431FF5">
          <w:rPr>
            <w:rStyle w:val="PageNumber"/>
            <w:rFonts w:eastAsiaTheme="majorEastAsia"/>
            <w:color w:val="373737"/>
            <w:szCs w:val="18"/>
          </w:rPr>
          <w:fldChar w:fldCharType="separate"/>
        </w:r>
        <w:r w:rsidR="007926F6">
          <w:rPr>
            <w:rStyle w:val="PageNumber"/>
            <w:rFonts w:eastAsiaTheme="majorEastAsia"/>
            <w:noProof/>
            <w:color w:val="373737"/>
            <w:szCs w:val="18"/>
          </w:rPr>
          <w:t>12</w:t>
        </w:r>
        <w:r w:rsidRPr="00431FF5">
          <w:rPr>
            <w:rStyle w:val="PageNumber"/>
            <w:rFonts w:eastAsiaTheme="majorEastAsia"/>
            <w:color w:val="373737"/>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F8C" w:rsidRDefault="00533F8C">
    <w:pPr>
      <w:pStyle w:val="Footer"/>
    </w:pPr>
    <w:r>
      <w:t xml:space="preserve">Seite </w:t>
    </w: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noProof/>
      </w:rPr>
      <w:t>94</w:t>
    </w:r>
    <w:r>
      <w:rPr>
        <w:rStyle w:val="PageNumber"/>
        <w:rFonts w:eastAsiaTheme="majorEastAsia"/>
      </w:rPr>
      <w:fldChar w:fldCharType="end"/>
    </w:r>
    <w:r>
      <w:rPr>
        <w:rStyle w:val="PageNumber"/>
      </w:rPr>
      <w:tab/>
    </w:r>
    <w:r>
      <w:rPr>
        <w:noProof/>
        <w:lang w:val="en-GB" w:eastAsia="en-GB"/>
      </w:rPr>
      <w:drawing>
        <wp:inline distT="0" distB="0" distL="0" distR="0" wp14:anchorId="775772A8" wp14:editId="70D6834D">
          <wp:extent cx="971550" cy="247650"/>
          <wp:effectExtent l="19050" t="0" r="0" b="0"/>
          <wp:docPr id="708"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F8C" w:rsidRPr="00611706" w:rsidRDefault="00533F8C" w:rsidP="00485923">
    <w:pPr>
      <w:pStyle w:val="Footer"/>
      <w:spacing w:before="240"/>
      <w:rPr>
        <w:sz w:val="18"/>
        <w:szCs w:val="18"/>
      </w:rPr>
    </w:pPr>
    <w:r w:rsidRPr="00611706">
      <w:rPr>
        <w:rStyle w:val="PageNumber"/>
        <w:rFonts w:eastAsiaTheme="majorEastAsia"/>
        <w:color w:val="373737"/>
        <w:szCs w:val="18"/>
      </w:rPr>
      <w:fldChar w:fldCharType="begin"/>
    </w:r>
    <w:r w:rsidRPr="00611706">
      <w:rPr>
        <w:rStyle w:val="PageNumber"/>
        <w:rFonts w:eastAsiaTheme="majorEastAsia"/>
        <w:color w:val="373737"/>
        <w:szCs w:val="18"/>
      </w:rPr>
      <w:instrText xml:space="preserve"> PAGE </w:instrText>
    </w:r>
    <w:r w:rsidRPr="00611706">
      <w:rPr>
        <w:rStyle w:val="PageNumber"/>
        <w:rFonts w:eastAsiaTheme="majorEastAsia"/>
        <w:color w:val="373737"/>
        <w:szCs w:val="18"/>
      </w:rPr>
      <w:fldChar w:fldCharType="separate"/>
    </w:r>
    <w:r w:rsidR="007926F6">
      <w:rPr>
        <w:rStyle w:val="PageNumber"/>
        <w:rFonts w:eastAsiaTheme="majorEastAsia"/>
        <w:noProof/>
        <w:color w:val="373737"/>
        <w:szCs w:val="18"/>
      </w:rPr>
      <w:t>32</w:t>
    </w:r>
    <w:r w:rsidRPr="00611706">
      <w:rPr>
        <w:rStyle w:val="PageNumber"/>
        <w:rFonts w:eastAsiaTheme="majorEastAsia"/>
        <w:color w:val="373737"/>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653537"/>
      <w:docPartObj>
        <w:docPartGallery w:val="Page Numbers (Bottom of Page)"/>
        <w:docPartUnique/>
      </w:docPartObj>
    </w:sdtPr>
    <w:sdtEndPr>
      <w:rPr>
        <w:noProof/>
        <w:sz w:val="18"/>
        <w:szCs w:val="18"/>
      </w:rPr>
    </w:sdtEndPr>
    <w:sdtContent>
      <w:p w:rsidR="00533F8C" w:rsidRDefault="00533F8C">
        <w:pPr>
          <w:pStyle w:val="Footer"/>
          <w:rPr>
            <w:sz w:val="18"/>
            <w:szCs w:val="18"/>
          </w:rPr>
        </w:pPr>
        <w:r w:rsidRPr="00611706">
          <w:rPr>
            <w:sz w:val="18"/>
            <w:szCs w:val="18"/>
          </w:rPr>
          <w:fldChar w:fldCharType="begin"/>
        </w:r>
        <w:r w:rsidRPr="00611706">
          <w:rPr>
            <w:sz w:val="18"/>
            <w:szCs w:val="18"/>
          </w:rPr>
          <w:instrText xml:space="preserve"> PAGE   \* MERGEFORMAT </w:instrText>
        </w:r>
        <w:r w:rsidRPr="00611706">
          <w:rPr>
            <w:sz w:val="18"/>
            <w:szCs w:val="18"/>
          </w:rPr>
          <w:fldChar w:fldCharType="separate"/>
        </w:r>
        <w:r w:rsidR="007926F6">
          <w:rPr>
            <w:noProof/>
            <w:sz w:val="18"/>
            <w:szCs w:val="18"/>
          </w:rPr>
          <w:t>83</w:t>
        </w:r>
        <w:r w:rsidRPr="00611706">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4DA2" w:rsidRPr="00CE2990" w:rsidRDefault="00E34DA2" w:rsidP="00E05D08">
      <w:pPr>
        <w:spacing w:after="0" w:line="240" w:lineRule="auto"/>
        <w:rPr>
          <w:color w:val="F07E31"/>
        </w:rPr>
      </w:pPr>
      <w:r w:rsidRPr="00CE2990">
        <w:rPr>
          <w:color w:val="F07E31"/>
        </w:rPr>
        <w:separator/>
      </w:r>
    </w:p>
  </w:footnote>
  <w:footnote w:type="continuationSeparator" w:id="0">
    <w:p w:rsidR="00E34DA2" w:rsidRDefault="00E34DA2" w:rsidP="00E05D08">
      <w:pPr>
        <w:spacing w:after="0" w:line="240" w:lineRule="auto"/>
      </w:pPr>
      <w:r>
        <w:continuationSeparator/>
      </w:r>
    </w:p>
  </w:footnote>
  <w:footnote w:id="1">
    <w:p w:rsidR="00533F8C" w:rsidRPr="00194986" w:rsidRDefault="00533F8C" w:rsidP="00E05D08">
      <w:pPr>
        <w:pStyle w:val="FootnoteText"/>
      </w:pPr>
      <w:r w:rsidRPr="00194986">
        <w:rPr>
          <w:rStyle w:val="FootnoteReference"/>
          <w:rFonts w:cs="Arial"/>
        </w:rPr>
        <w:footnoteRef/>
      </w:r>
      <w:r>
        <w:t xml:space="preserve">Die anderen beiden Querschnittsziele sind der Umweltschutz sowie die Eindämmung des Klimawandels und Anpassung an seine Auswirkungen. </w:t>
      </w:r>
    </w:p>
  </w:footnote>
  <w:footnote w:id="2">
    <w:p w:rsidR="00533F8C" w:rsidRPr="00194986" w:rsidRDefault="00533F8C" w:rsidP="00E05D08">
      <w:pPr>
        <w:pStyle w:val="FootnoteText"/>
      </w:pPr>
      <w:r w:rsidRPr="00194986">
        <w:rPr>
          <w:rStyle w:val="FootnoteReference"/>
          <w:rFonts w:cs="Arial"/>
        </w:rPr>
        <w:footnoteRef/>
      </w:r>
      <w:r>
        <w:t xml:space="preserve"> Artikel 8 Absatz 1 Buchstabe c Ziffer v der Verordnung (EU) Nr. 1305/2013 und Anhang I Teil 1 Nummer 5 Buchstabe c der Verordnung (EU) Nr. 808/2014.</w:t>
      </w:r>
    </w:p>
  </w:footnote>
  <w:footnote w:id="3">
    <w:p w:rsidR="00533F8C" w:rsidRPr="00B97B27" w:rsidRDefault="00533F8C" w:rsidP="00E05D08">
      <w:pPr>
        <w:pStyle w:val="FootnoteText"/>
      </w:pPr>
      <w:r w:rsidRPr="00194986">
        <w:rPr>
          <w:rStyle w:val="FootnoteReference"/>
          <w:rFonts w:cs="Arial"/>
        </w:rPr>
        <w:footnoteRef/>
      </w:r>
      <w:r>
        <w:t xml:space="preserve"> Artikel 68 der Verordnung (EU) Nr. 1305/2013.</w:t>
      </w:r>
    </w:p>
  </w:footnote>
  <w:footnote w:id="4">
    <w:p w:rsidR="00533F8C" w:rsidRDefault="00533F8C" w:rsidP="000E1D4B">
      <w:pPr>
        <w:pStyle w:val="FootnoteText"/>
      </w:pPr>
      <w:r w:rsidRPr="000E1D4B">
        <w:rPr>
          <w:rStyle w:val="FootnoteReference"/>
          <w:sz w:val="12"/>
          <w:szCs w:val="12"/>
        </w:rPr>
        <w:footnoteRef/>
      </w:r>
      <w:r>
        <w:t xml:space="preserve"> Guidelines on programming for innovation and the implementation of the EIP for agricultural productivity and sustainability (Leitlinien für die Programmplanung im Bereich Innovation und für die Durchführung der EIP für landwirtschaftliche Produktivität und Nachhaltigkeit) </w:t>
      </w:r>
      <w:r>
        <w:rPr>
          <w:rStyle w:val="Hyperlink"/>
        </w:rPr>
        <w:t>https://ec.europa.eu/eip/agriculture/sites/agri-eip/files/pb_guidelines_eip_implementation_2014_en.pdf</w:t>
      </w:r>
    </w:p>
  </w:footnote>
  <w:footnote w:id="5">
    <w:p w:rsidR="00533F8C" w:rsidRPr="00DC008D" w:rsidRDefault="00533F8C" w:rsidP="00F74459">
      <w:pPr>
        <w:pStyle w:val="FootnoteText"/>
        <w:rPr>
          <w:rFonts w:eastAsia="Calibri"/>
        </w:rPr>
      </w:pPr>
      <w:r>
        <w:rPr>
          <w:rStyle w:val="FootnoteReference"/>
        </w:rPr>
        <w:footnoteRef/>
      </w:r>
      <w:r>
        <w:t xml:space="preserve"> Guidelines on programming for innovation and the implementation of the EIP for agricultural productivity and sustainability (Leitlinien für die Programmplanung im Bereich Innovation und für die Durchführung der EIP für landwirtschaftliche Produktivität und Nachhaltigkeit) </w:t>
      </w:r>
      <w:hyperlink r:id="rId1" w:history="1">
        <w:r>
          <w:rPr>
            <w:rStyle w:val="Hyperlink"/>
          </w:rPr>
          <w:t>https://ec.europa.eu/eip/agriculture/sites/agri-eip/files/pb_guidelines_eip_implementation_2014_en.pdf</w:t>
        </w:r>
      </w:hyperlink>
    </w:p>
  </w:footnote>
  <w:footnote w:id="6">
    <w:p w:rsidR="00533F8C" w:rsidRPr="008F676D" w:rsidRDefault="00533F8C" w:rsidP="00F74459">
      <w:pPr>
        <w:pStyle w:val="FootnoteText"/>
      </w:pPr>
      <w:r>
        <w:rPr>
          <w:rStyle w:val="FootnoteReference"/>
        </w:rPr>
        <w:footnoteRef/>
      </w:r>
      <w:r>
        <w:t xml:space="preserve"> Im Rahmen von Horizont 2020 wird das multilaterale Forschungskonzept stark unterstützt. Dabei erarbeiten Landwirte, Berater und andere Praktiker in Zusammenarbeit mit der Forschung gemeinsame Lösungen oder entwickeln innovative Chancen, bei denen die Bedürfnisse aus der landwirtschaftlichen Praxis im Zentrum der Forschungs- und Innovationsvorhaben stehen; für Informationen über die Anforderungen an multilaterale Projekte siehe Seite 8-9 des Arbeitsprogramms für Horizont 2020 für 2018-2020 (</w:t>
      </w:r>
      <w:hyperlink r:id="rId2" w:history="1">
        <w:r>
          <w:rPr>
            <w:rStyle w:val="Hyperlink"/>
          </w:rPr>
          <w:t>http://ec.europa.eu/research/participants/data/ref/h2020/wp/2018-2020/main/h2020-wp1820-food_en.pdf</w:t>
        </w:r>
      </w:hyperlink>
      <w:r>
        <w:t>) und für Informationen über das Konzept, das mehrere Akteure umfasst, siehe Broschüre der EIP (</w:t>
      </w:r>
      <w:hyperlink r:id="rId3" w:history="1">
        <w:r>
          <w:rPr>
            <w:rStyle w:val="Hyperlink"/>
          </w:rPr>
          <w:t>https://ec.europa.eu/eip/agriculture/sites/agri-eip/files/eip-agri_brochure_multi-actor_projects_2017_en_web.pdf</w:t>
        </w:r>
      </w:hyperlink>
      <w:r>
        <w:t>).</w:t>
      </w:r>
    </w:p>
  </w:footnote>
  <w:footnote w:id="7">
    <w:p w:rsidR="00533F8C" w:rsidRDefault="00533F8C" w:rsidP="00F74459">
      <w:pPr>
        <w:pStyle w:val="FootnoteText"/>
      </w:pPr>
      <w:r>
        <w:rPr>
          <w:rStyle w:val="FootnoteReference"/>
        </w:rPr>
        <w:footnoteRef/>
      </w:r>
      <w:r>
        <w:t xml:space="preserve"> Berichte der Strategischen Arbeitsgruppe des Ständigen Agrarforschungsausschusses (SCAR) über landwirtschaftliche Wissens- und Innovationssysteme (AKIS):</w:t>
      </w:r>
    </w:p>
    <w:p w:rsidR="00533F8C" w:rsidRDefault="00533F8C" w:rsidP="00F74459">
      <w:pPr>
        <w:pStyle w:val="FootnoteText"/>
      </w:pPr>
      <w:r>
        <w:t>- Agricultural Knowledge and Innovation Systems Towards 2020 – an orientation paper on linking innovation and research (Landwirtschaftliche Wissens- und Innovationssysteme bis 2020 – ein Orientationspapier über die Verknüpfung von Innovation und Forschung)</w:t>
      </w:r>
    </w:p>
    <w:p w:rsidR="00533F8C" w:rsidRDefault="00533F8C" w:rsidP="00F74459">
      <w:pPr>
        <w:pStyle w:val="FootnoteText"/>
      </w:pPr>
      <w:hyperlink r:id="rId4" w:history="1">
        <w:r>
          <w:rPr>
            <w:rStyle w:val="Hyperlink"/>
          </w:rPr>
          <w:t xml:space="preserve">http://www.gppq.fct.pt/h2020/_docs/brochuras/bioeco/agricultural-knowledge-innovation-systems-towards-2020_en.pdf </w:t>
        </w:r>
      </w:hyperlink>
      <w:r>
        <w:t>(über den Aufbau des multilateralen Konzepts).</w:t>
      </w:r>
    </w:p>
    <w:p w:rsidR="00533F8C" w:rsidRPr="009C39EE" w:rsidRDefault="00533F8C" w:rsidP="00F74459">
      <w:pPr>
        <w:pStyle w:val="FootnoteText"/>
      </w:pPr>
      <w:r>
        <w:t xml:space="preserve">- Agricultural Knowledge and Innovation Systems towards the Future – A Foresight paper (Landwirtschaftliche Wissens- und Innovationssysteme der Zukunft – ein Prognosepapier), </w:t>
      </w:r>
      <w:hyperlink r:id="rId5" w:anchor="view=fit&amp;pagemode=none" w:history="1">
        <w:r>
          <w:rPr>
            <w:rStyle w:val="Hyperlink"/>
          </w:rPr>
          <w:t>https://ec.europa.eu/research/scar/pdf/akis-3_end_report.pdf#view=fit&amp;pagemode=none</w:t>
        </w:r>
      </w:hyperlink>
      <w:r>
        <w:rPr>
          <w:rStyle w:val="Hyperlink"/>
        </w:rPr>
        <w:t xml:space="preserve"> </w:t>
      </w:r>
    </w:p>
  </w:footnote>
  <w:footnote w:id="8">
    <w:p w:rsidR="00533F8C" w:rsidRPr="00B13D00" w:rsidRDefault="00533F8C" w:rsidP="00F74459">
      <w:pPr>
        <w:pStyle w:val="FootnoteText"/>
      </w:pPr>
      <w:r w:rsidRPr="00B13D00">
        <w:rPr>
          <w:rStyle w:val="FootnoteReference"/>
          <w:color w:val="373737"/>
        </w:rPr>
        <w:footnoteRef/>
      </w:r>
      <w:r>
        <w:t xml:space="preserve"> Schot und Geels (2008) für weitere Informationen über gesellschaftlich-technologische Nischen. </w:t>
      </w:r>
    </w:p>
  </w:footnote>
  <w:footnote w:id="9">
    <w:p w:rsidR="00533F8C" w:rsidRPr="00F74459" w:rsidRDefault="00533F8C" w:rsidP="00F74459">
      <w:pPr>
        <w:pStyle w:val="FootnoteText"/>
      </w:pPr>
      <w:r w:rsidRPr="00405B0B">
        <w:rPr>
          <w:szCs w:val="16"/>
          <w:vertAlign w:val="superscript"/>
          <w:lang w:val="en-IE"/>
        </w:rPr>
        <w:footnoteRef/>
      </w:r>
      <w:r>
        <w:t xml:space="preserve"> ENRD (2013). Towards Successful Innovation Brokerage: Insights for the 2007-2013 Rural Development Programmes (Erfolgreiche Innovationsvermittlung: Erkenntnisse für die Programm zur Entwicklung des ländlichen Raums 2007-2013) und Leeuwis C, Schut M, Waters-Bayer A, Mur R, Atta-Krah K und Douthwaite B. 2014. Capacity to innovate from a system CGIAR research program perspective (Innovationsfähigkeit aus der Sicht eines CGIAR-Forschungsprogramms). Penang, Malaysia: CGIAR-Forschungsprogramm für aquatische landwirtschaftliche Systeme. Programmkurzinformationen: AAS-2014-29.</w:t>
      </w:r>
    </w:p>
  </w:footnote>
  <w:footnote w:id="10">
    <w:p w:rsidR="00533F8C" w:rsidRPr="00F74459" w:rsidRDefault="00533F8C" w:rsidP="00F74459">
      <w:pPr>
        <w:pStyle w:val="FootnoteText"/>
      </w:pPr>
      <w:r w:rsidRPr="00405B0B">
        <w:rPr>
          <w:szCs w:val="16"/>
          <w:vertAlign w:val="superscript"/>
          <w:lang w:val="en-IE"/>
        </w:rPr>
        <w:footnoteRef/>
      </w:r>
      <w:r>
        <w:t xml:space="preserve"> Das ENRD (2013) beschreibt die Innovationsvermittlung als eine zentrale Fähigkeit des Systems, nämlich das Vorhandensein (und die Tätigkeiten) jener Akteure, die sich für Veränderungen einsetzen, und die kreativ, proaktiv, motiviert, neutral, transparent und mit dem Innovationskontext vertraut sind.</w:t>
      </w:r>
    </w:p>
  </w:footnote>
  <w:footnote w:id="11">
    <w:p w:rsidR="00533F8C" w:rsidRDefault="00533F8C" w:rsidP="00F74459">
      <w:pPr>
        <w:pStyle w:val="FootnoteText"/>
      </w:pPr>
      <w:r w:rsidRPr="00405B0B">
        <w:rPr>
          <w:szCs w:val="16"/>
          <w:vertAlign w:val="superscript"/>
          <w:lang w:val="en-IE"/>
        </w:rPr>
        <w:footnoteRef/>
      </w:r>
      <w:r>
        <w:t xml:space="preserve"> Douthwaite und Hoffecker (i. E.) und Nemes und Augustyn (2017).</w:t>
      </w:r>
    </w:p>
  </w:footnote>
  <w:footnote w:id="12">
    <w:p w:rsidR="00533F8C" w:rsidRPr="00B13D00" w:rsidRDefault="00533F8C" w:rsidP="00E05D08">
      <w:pPr>
        <w:pStyle w:val="FootnoteText"/>
      </w:pPr>
      <w:r w:rsidRPr="00405B0B">
        <w:rPr>
          <w:vertAlign w:val="superscript"/>
        </w:rPr>
        <w:footnoteRef/>
      </w:r>
      <w:r>
        <w:t xml:space="preserve"> ENRD (2013). Towards Successful Innovation Brokerage: Insights for the 2007-2013 Rural Development Programmes (Erfolgreiche Innovationsvermittlung: Erkenntnisse für die Programme zur Entwicklung des ländlichen Raums 2007-2013).</w:t>
      </w:r>
    </w:p>
  </w:footnote>
  <w:footnote w:id="13">
    <w:p w:rsidR="00533F8C" w:rsidRPr="00690E70" w:rsidRDefault="00533F8C" w:rsidP="004508D0">
      <w:pPr>
        <w:pStyle w:val="FootnoteText"/>
        <w:rPr>
          <w:rStyle w:val="Hyperlink"/>
        </w:rPr>
      </w:pPr>
      <w:r>
        <w:rPr>
          <w:rStyle w:val="FootnoteReference"/>
        </w:rPr>
        <w:footnoteRef/>
      </w:r>
      <w:r>
        <w:t xml:space="preserve"> Arbeitstagung der EIP-AGRI (2016) über Städte und Lebensmittel: Verbraucher und Erzeuger verbinden. Abrufbar unter: </w:t>
      </w:r>
      <w:hyperlink r:id="rId6" w:history="1">
        <w:r>
          <w:rPr>
            <w:rStyle w:val="Hyperlink"/>
          </w:rPr>
          <w:t>https://ec.europa.eu/eip/agriculture/sites/agri-eip/files/eip-agri_factsheet_cities_and_food_en_web.pdf</w:t>
        </w:r>
      </w:hyperlink>
    </w:p>
  </w:footnote>
  <w:footnote w:id="14">
    <w:p w:rsidR="00533F8C" w:rsidRPr="00B13D00" w:rsidRDefault="00533F8C" w:rsidP="00E05D08">
      <w:pPr>
        <w:pStyle w:val="FootnoteText"/>
      </w:pPr>
      <w:r w:rsidRPr="00405B0B">
        <w:rPr>
          <w:rStyle w:val="FootnoteReference"/>
        </w:rPr>
        <w:footnoteRef/>
      </w:r>
      <w:r>
        <w:t xml:space="preserve"> Senge, P. M., &amp; Sterman, J. D. (1992). Systems thinking and organisational learning: Acting locally and thinking globally in the organisation of the future (Systemdenken und organisationales Lernen: bei der Organisation der Zukunft lokal handeln und global denken). European Journal of Operational Research, 59(1), 137-150.</w:t>
      </w:r>
    </w:p>
  </w:footnote>
  <w:footnote w:id="15">
    <w:p w:rsidR="00533F8C" w:rsidRPr="00554BBB" w:rsidRDefault="00533F8C" w:rsidP="00E05D08">
      <w:pPr>
        <w:pStyle w:val="FootnoteText"/>
      </w:pPr>
      <w:r w:rsidRPr="00405B0B">
        <w:rPr>
          <w:rStyle w:val="FootnoteReference"/>
        </w:rPr>
        <w:footnoteRef/>
      </w:r>
      <w:r>
        <w:rPr>
          <w:rFonts w:asciiTheme="minorHAnsi" w:hAnsiTheme="minorHAnsi"/>
          <w:color w:val="auto"/>
          <w:sz w:val="22"/>
          <w:szCs w:val="22"/>
        </w:rPr>
        <w:t xml:space="preserve"> </w:t>
      </w:r>
      <w:r>
        <w:t xml:space="preserve">Pawson, R. (2013). </w:t>
      </w:r>
      <w:r>
        <w:rPr>
          <w:i/>
          <w:iCs/>
        </w:rPr>
        <w:t>The science of evaluation: A realist manifesto</w:t>
      </w:r>
      <w:r>
        <w:t xml:space="preserve"> (Die Wissenschaft der Evaluierung: ein realistisches Manifest). London, UK: Sage Publications.</w:t>
      </w:r>
    </w:p>
  </w:footnote>
  <w:footnote w:id="16">
    <w:p w:rsidR="00533F8C" w:rsidRPr="00B13D00" w:rsidRDefault="00533F8C" w:rsidP="00E05D08">
      <w:pPr>
        <w:pStyle w:val="FootnoteText"/>
      </w:pPr>
      <w:r w:rsidRPr="00B76BA4">
        <w:rPr>
          <w:rStyle w:val="FootnoteReference"/>
        </w:rPr>
        <w:footnoteRef/>
      </w:r>
      <w:r>
        <w:t xml:space="preserve"> Horizont 2020 ist das größte Forschungs- und Innovationsprogramm der EU, bei dem quer durch alle Wirtschaftszweige – einschließlich der Land- und Forstwirtschaft – Forschung und Innovation verknüpft werden sollen, um ein intelligentes, nachhaltiges und integratives Wachstum zu erzielen und Arbeitsplätze zu schaffen. Viele andere EU-Politiken, die auf die Förderung der Innovation und der Entwicklung von Kompetenzen abzielen, können ebenso zur Forschung und Innovation in der Landwirtschaft beitragen (Kohäsionspolitik, COSME, ERASMUS, LIFE+).</w:t>
      </w:r>
    </w:p>
  </w:footnote>
  <w:footnote w:id="17">
    <w:p w:rsidR="00533F8C" w:rsidRPr="00B13D00" w:rsidRDefault="00533F8C" w:rsidP="00E05D08">
      <w:pPr>
        <w:pStyle w:val="FootnoteText"/>
      </w:pPr>
      <w:r w:rsidRPr="00B76BA4">
        <w:rPr>
          <w:rStyle w:val="FootnoteReference"/>
          <w:rFonts w:cs="Helvetica"/>
          <w:szCs w:val="16"/>
        </w:rPr>
        <w:footnoteRef/>
      </w:r>
      <w:r>
        <w:t xml:space="preserve"> Ziel der Initiative ist es, großen gesellschaftlichen Herausforderungen wie dem Klimawandel und der Ressourceneffizienz zu begegnen und die einzelnen Glieder der Innovationskette zu stärken (</w:t>
      </w:r>
      <w:hyperlink r:id="rId7" w:history="1">
        <w:r>
          <w:rPr>
            <w:rStyle w:val="Hyperlink"/>
          </w:rPr>
          <w:t>http://ec.europa.eu/europe2020/europe-2020-in-a-nutshell/flagship-initiatives/index_en.htm</w:t>
        </w:r>
      </w:hyperlink>
      <w:r>
        <w:t>).</w:t>
      </w:r>
    </w:p>
  </w:footnote>
  <w:footnote w:id="18">
    <w:p w:rsidR="00533F8C" w:rsidRPr="00275EE5" w:rsidRDefault="00533F8C" w:rsidP="00E05D08">
      <w:pPr>
        <w:pStyle w:val="FootnoteText"/>
      </w:pPr>
      <w:r w:rsidRPr="00B76BA4">
        <w:rPr>
          <w:rStyle w:val="FootnoteReference"/>
        </w:rPr>
        <w:footnoteRef/>
      </w:r>
      <w:r>
        <w:t xml:space="preserve"> </w:t>
      </w:r>
      <w:hyperlink r:id="rId8" w:history="1">
        <w:r>
          <w:rPr>
            <w:rStyle w:val="Hyperlink"/>
          </w:rPr>
          <w:t>http://ec.europa.eu/europe2020/europe-2020-in-a-nutshell/targets/index_en.htm</w:t>
        </w:r>
      </w:hyperlink>
      <w:r>
        <w:t xml:space="preserve"> </w:t>
      </w:r>
    </w:p>
  </w:footnote>
  <w:footnote w:id="19">
    <w:p w:rsidR="00533F8C" w:rsidRPr="00B13D00" w:rsidRDefault="00533F8C" w:rsidP="00E05D08">
      <w:pPr>
        <w:pStyle w:val="FootnoteText"/>
      </w:pPr>
      <w:r w:rsidRPr="00B76BA4">
        <w:rPr>
          <w:rStyle w:val="FootnoteReference"/>
        </w:rPr>
        <w:footnoteRef/>
      </w:r>
      <w:r>
        <w:t xml:space="preserve"> Artikel 5 der Verordnung (EU) Nr. 1305/2013.</w:t>
      </w:r>
    </w:p>
  </w:footnote>
  <w:footnote w:id="20">
    <w:p w:rsidR="00533F8C" w:rsidRPr="00171202" w:rsidRDefault="00533F8C" w:rsidP="00E05D08">
      <w:pPr>
        <w:pStyle w:val="FootnoteText"/>
      </w:pPr>
      <w:r w:rsidRPr="00B76BA4">
        <w:rPr>
          <w:rStyle w:val="FootnoteReference"/>
        </w:rPr>
        <w:footnoteRef/>
      </w:r>
      <w:r>
        <w:t xml:space="preserve"> Artikel 8 Absatz 1 Buchstabe c Ziffer v der Verordnung 1305/2013.</w:t>
      </w:r>
    </w:p>
  </w:footnote>
  <w:footnote w:id="21">
    <w:p w:rsidR="00533F8C" w:rsidRPr="00171202" w:rsidRDefault="00533F8C" w:rsidP="00E05D08">
      <w:pPr>
        <w:pStyle w:val="FootnoteText"/>
      </w:pPr>
      <w:r w:rsidRPr="00171202">
        <w:rPr>
          <w:rStyle w:val="FootnoteReference"/>
          <w:i/>
        </w:rPr>
        <w:footnoteRef/>
      </w:r>
      <w:r>
        <w:t xml:space="preserve"> Artikel 8 Absatz 1 Buchstabe b der Verordnung 1305/2013.</w:t>
      </w:r>
    </w:p>
  </w:footnote>
  <w:footnote w:id="22">
    <w:p w:rsidR="00533F8C" w:rsidRPr="00171202" w:rsidRDefault="00533F8C" w:rsidP="00E05D08">
      <w:pPr>
        <w:pStyle w:val="FootnoteText"/>
      </w:pPr>
      <w:r w:rsidRPr="00171202">
        <w:rPr>
          <w:rStyle w:val="FootnoteReference"/>
          <w:i/>
        </w:rPr>
        <w:footnoteRef/>
      </w:r>
      <w:r>
        <w:t xml:space="preserve"> Artikel 5 der Verordnung 1305/2013.</w:t>
      </w:r>
    </w:p>
  </w:footnote>
  <w:footnote w:id="23">
    <w:p w:rsidR="00533F8C" w:rsidRPr="00D461AB" w:rsidRDefault="00533F8C" w:rsidP="00D461AB">
      <w:pPr>
        <w:pStyle w:val="FootnoteText"/>
      </w:pPr>
      <w:r>
        <w:rPr>
          <w:rStyle w:val="FootnoteReference"/>
        </w:rPr>
        <w:footnoteRef/>
      </w:r>
      <w:r>
        <w:t xml:space="preserve"> Guidelines on programming for innovation and the implementation of the EIP for agricultural productivity and sustainability (Leitlinien für die Programmplanung im Bereich Innovation und für die Durchführung der EIP für landwirtschaftliche Produktivität und Nachhaltigkeit), Abschnitt 8.2 Seite 13.</w:t>
      </w:r>
    </w:p>
  </w:footnote>
  <w:footnote w:id="24">
    <w:p w:rsidR="00533F8C" w:rsidRPr="00171202" w:rsidRDefault="00533F8C" w:rsidP="00E05D08">
      <w:pPr>
        <w:pStyle w:val="FootnoteText"/>
      </w:pPr>
      <w:r w:rsidRPr="00B76BA4">
        <w:rPr>
          <w:rStyle w:val="FootnoteReference"/>
        </w:rPr>
        <w:footnoteRef/>
      </w:r>
      <w:r>
        <w:t xml:space="preserve"> Verordnung (EU) Nr. 1303/2013, Anhang 1 Teil 5 der Verordnung (EU) Nr. 808/2014 und Guidelines on programming for innovation and the implementation of the EIP for agricultural productivity and sustainability (Leitlinien für die Programmplanung im Bereich Innovation und für die Durchführung der EIP für landwirtschaftliche Produktivität und Nachhaltigkeit) (2014, S. 10).</w:t>
      </w:r>
    </w:p>
  </w:footnote>
  <w:footnote w:id="25">
    <w:p w:rsidR="00533F8C" w:rsidRPr="00171202" w:rsidRDefault="00533F8C" w:rsidP="00E05D08">
      <w:pPr>
        <w:pStyle w:val="FootnoteText"/>
      </w:pPr>
      <w:r w:rsidRPr="00B76BA4">
        <w:rPr>
          <w:rStyle w:val="FootnoteReference"/>
        </w:rPr>
        <w:footnoteRef/>
      </w:r>
      <w:r>
        <w:t xml:space="preserve"> Artikel 27 der Verordnung (EU) Nr. 1303/2013 und Anhang I Teil 5 der Verordnung (EU) Nr. 808/2014.</w:t>
      </w:r>
    </w:p>
  </w:footnote>
  <w:footnote w:id="26">
    <w:p w:rsidR="00533F8C" w:rsidRPr="00171202" w:rsidRDefault="00533F8C" w:rsidP="00E05D08">
      <w:pPr>
        <w:pStyle w:val="FootnoteText"/>
      </w:pPr>
      <w:r w:rsidRPr="00B76BA4">
        <w:rPr>
          <w:rStyle w:val="FootnoteReference"/>
        </w:rPr>
        <w:footnoteRef/>
      </w:r>
      <w:r>
        <w:t xml:space="preserve"> Artikel 32-34 der Verordnung (EU) Nr. 1303/2013 und Anhang I Teil 5 der Verordnung (EU) Nr. 808/2014.</w:t>
      </w:r>
    </w:p>
  </w:footnote>
  <w:footnote w:id="27">
    <w:p w:rsidR="00533F8C" w:rsidRPr="00171202" w:rsidRDefault="00533F8C" w:rsidP="00E05D08">
      <w:pPr>
        <w:pStyle w:val="FootnoteText"/>
      </w:pPr>
      <w:r w:rsidRPr="00B76BA4">
        <w:rPr>
          <w:rStyle w:val="FootnoteReference"/>
        </w:rPr>
        <w:footnoteRef/>
      </w:r>
      <w:r>
        <w:t xml:space="preserve"> Artikel 53 der Verordnung (EU) Nr. 1305/2013.</w:t>
      </w:r>
    </w:p>
  </w:footnote>
  <w:footnote w:id="28">
    <w:p w:rsidR="00533F8C" w:rsidRPr="00171202" w:rsidRDefault="00533F8C" w:rsidP="00E05D08">
      <w:pPr>
        <w:pStyle w:val="FootnoteText"/>
      </w:pPr>
      <w:r w:rsidRPr="00B76BA4">
        <w:rPr>
          <w:rStyle w:val="FootnoteReference"/>
        </w:rPr>
        <w:footnoteRef/>
      </w:r>
      <w:r>
        <w:t xml:space="preserve"> Artikel 54 Buchstabe d der Verordnung (EU) Nr. 1305/2013.</w:t>
      </w:r>
    </w:p>
  </w:footnote>
  <w:footnote w:id="29">
    <w:p w:rsidR="00533F8C" w:rsidRPr="00171202" w:rsidRDefault="00533F8C" w:rsidP="00E05D08">
      <w:pPr>
        <w:pStyle w:val="FootnoteText"/>
      </w:pPr>
      <w:r w:rsidRPr="00B76BA4">
        <w:rPr>
          <w:rStyle w:val="FootnoteReference"/>
        </w:rPr>
        <w:footnoteRef/>
      </w:r>
      <w:r>
        <w:t xml:space="preserve"> Guidelines on programming for innovation and the implementation of the EIP for agricultural productivity and sustainability (Leitlinien für die Programmplanung im Bereich Innovation und für die Durchführung der EIP für landwirtschaftliche Produktivität und Nachhaltigkeit) (2014, S. 13).</w:t>
      </w:r>
    </w:p>
  </w:footnote>
  <w:footnote w:id="30">
    <w:p w:rsidR="00533F8C" w:rsidRPr="00171202" w:rsidRDefault="00533F8C" w:rsidP="00E05D08">
      <w:pPr>
        <w:pStyle w:val="FootnoteText"/>
      </w:pPr>
      <w:r w:rsidRPr="00B76BA4">
        <w:rPr>
          <w:rStyle w:val="FootnoteReference"/>
        </w:rPr>
        <w:footnoteRef/>
      </w:r>
      <w:r>
        <w:t xml:space="preserve"> Artikel 54 Absatz 3 Buchstabe b Ziffer iv der Verordnung (EU) Nr. 1305/2013.</w:t>
      </w:r>
    </w:p>
  </w:footnote>
  <w:footnote w:id="31">
    <w:p w:rsidR="00533F8C" w:rsidRPr="00171202" w:rsidRDefault="00533F8C" w:rsidP="00E05D08">
      <w:pPr>
        <w:pStyle w:val="FootnoteText"/>
      </w:pPr>
      <w:r w:rsidRPr="00B76BA4">
        <w:rPr>
          <w:rStyle w:val="FootnoteReference"/>
        </w:rPr>
        <w:footnoteRef/>
      </w:r>
      <w:r>
        <w:t xml:space="preserve"> Anhang I Teil 1 Nummer 9 Absatz 3 Buchstabe a der Verordnung (EU) Nr. 808/2014.</w:t>
      </w:r>
    </w:p>
  </w:footnote>
  <w:footnote w:id="32">
    <w:p w:rsidR="00533F8C" w:rsidRPr="00171202" w:rsidRDefault="00533F8C" w:rsidP="00E05D08">
      <w:pPr>
        <w:pStyle w:val="FootnoteText"/>
      </w:pPr>
      <w:r w:rsidRPr="00B76BA4">
        <w:rPr>
          <w:rStyle w:val="FootnoteReference"/>
        </w:rPr>
        <w:footnoteRef/>
      </w:r>
      <w:r>
        <w:t xml:space="preserve"> Anhang VII Nummer 2 der Verordnung (EU) Nr. 808/2014.</w:t>
      </w:r>
    </w:p>
  </w:footnote>
  <w:footnote w:id="33">
    <w:p w:rsidR="00533F8C" w:rsidRPr="005F1B3E" w:rsidRDefault="00533F8C" w:rsidP="00E05D08">
      <w:pPr>
        <w:pStyle w:val="FootnoteText"/>
      </w:pPr>
      <w:r w:rsidRPr="00B76BA4">
        <w:rPr>
          <w:rStyle w:val="FootnoteReference"/>
        </w:rPr>
        <w:footnoteRef/>
      </w:r>
      <w:r>
        <w:t xml:space="preserve"> Anhang IV der Verordnung (EU) Nr. 808/2014.</w:t>
      </w:r>
    </w:p>
  </w:footnote>
  <w:footnote w:id="34">
    <w:p w:rsidR="00533F8C" w:rsidRPr="00E14E11" w:rsidRDefault="00533F8C" w:rsidP="00E05D08">
      <w:pPr>
        <w:pStyle w:val="FootnoteText"/>
      </w:pPr>
      <w:r>
        <w:rPr>
          <w:rStyle w:val="FootnoteReference"/>
        </w:rPr>
        <w:footnoteRef/>
      </w:r>
      <w:r>
        <w:t xml:space="preserve"> Siehe EIP-Seminar über Wissenssysteme und interaktive Innovation:</w:t>
      </w:r>
      <w:r>
        <w:rPr>
          <w:rStyle w:val="Hyperlink"/>
        </w:rPr>
        <w:t xml:space="preserve"> </w:t>
      </w:r>
      <w:hyperlink r:id="rId9" w:history="1">
        <w:r>
          <w:rPr>
            <w:rStyle w:val="Hyperlink"/>
          </w:rPr>
          <w:t>https://ec.europa.eu/eip/agriculture/sites/agri-eip/files/field_event_attachments/sem-knowledge-20151203-pres02-inge_van_oost.pdf</w:t>
        </w:r>
      </w:hyperlink>
    </w:p>
  </w:footnote>
  <w:footnote w:id="35">
    <w:p w:rsidR="00533F8C" w:rsidRPr="008F676D" w:rsidRDefault="00533F8C" w:rsidP="00E05D08">
      <w:pPr>
        <w:pStyle w:val="FootnoteText"/>
      </w:pPr>
      <w:r>
        <w:rPr>
          <w:rStyle w:val="FootnoteReference"/>
        </w:rPr>
        <w:footnoteRef/>
      </w:r>
      <w:r>
        <w:t xml:space="preserve"> Folgende Leitlinien enthalten weiterführende Informationen: „Assessment of RDP results: how to prepare for reporting on evaluation in 2017“ (Bewertung der Ergebnisse der Programme zur Entwicklung des ländlichen Raums: Vorbereitung der Berichterstattung über die Bewertung 2017) </w:t>
      </w:r>
      <w:hyperlink r:id="rId10" w:history="1">
        <w:r>
          <w:rPr>
            <w:rStyle w:val="Hyperlink"/>
          </w:rPr>
          <w:t>https://enrd.ec.europa.eu/evaluation/publications/guidelines-assessment-rdp-results-how-prepare-reporting-evaluation-2017_en</w:t>
        </w:r>
      </w:hyperlink>
    </w:p>
  </w:footnote>
  <w:footnote w:id="36">
    <w:p w:rsidR="00533F8C" w:rsidRPr="00401F29" w:rsidRDefault="00533F8C" w:rsidP="00E05D08">
      <w:pPr>
        <w:pStyle w:val="FootnoteText"/>
      </w:pPr>
      <w:r w:rsidRPr="00B76BA4">
        <w:rPr>
          <w:rStyle w:val="FootnoteReference"/>
        </w:rPr>
        <w:footnoteRef/>
      </w:r>
      <w:r>
        <w:t xml:space="preserve"> Artikel 66 der Verordnung (EU) Nr. 1305/2013 und Artikel 15 und Anhang VII der Verordnung (EU) Nr. 808/2014.</w:t>
      </w:r>
    </w:p>
  </w:footnote>
  <w:footnote w:id="37">
    <w:p w:rsidR="00533F8C" w:rsidRPr="00576A73" w:rsidRDefault="00533F8C" w:rsidP="00804433">
      <w:pPr>
        <w:pStyle w:val="FootnoteText"/>
      </w:pPr>
      <w:r w:rsidRPr="00964A79">
        <w:rPr>
          <w:rStyle w:val="FootnoteReference"/>
        </w:rPr>
        <w:footnoteRef/>
      </w:r>
      <w:r>
        <w:t xml:space="preserve"> Siehe Leitlinien „Assessment of RDP results: How to prepare for reporting on evaluation in 2017” (Bewertung der Ergebnisse der Programme zur Entwicklung des ländlichen Raums: Vorbereitung der Berichterstattung über die Bewertung 2017, Evaluierungs-Helpdesk, September 2016, </w:t>
      </w:r>
      <w:hyperlink r:id="rId11" w:history="1">
        <w:r>
          <w:rPr>
            <w:rStyle w:val="Hyperlink"/>
          </w:rPr>
          <w:t>https://enrd.ec.europa.eu/evaluation/publications/guidelines-assessment-rdp-results-how-prepare-reporting-evaluation-2017_en</w:t>
        </w:r>
      </w:hyperlink>
    </w:p>
  </w:footnote>
  <w:footnote w:id="38">
    <w:p w:rsidR="00533F8C" w:rsidRPr="00626C0C" w:rsidRDefault="00533F8C" w:rsidP="00583AC8">
      <w:pPr>
        <w:pStyle w:val="FootnoteText"/>
      </w:pPr>
      <w:r>
        <w:rPr>
          <w:rStyle w:val="FootnoteReference"/>
        </w:rPr>
        <w:footnoteRef/>
      </w:r>
      <w:r>
        <w:t xml:space="preserve"> Link zum schwedischen Bewertungssekretariat: </w:t>
      </w:r>
      <w:hyperlink r:id="rId12" w:history="1">
        <w:r>
          <w:rPr>
            <w:rStyle w:val="Hyperlink"/>
          </w:rPr>
          <w:t>https://www.jordbruksverket.se/utvardering</w:t>
        </w:r>
      </w:hyperlink>
    </w:p>
  </w:footnote>
  <w:footnote w:id="39">
    <w:p w:rsidR="00533F8C" w:rsidRPr="00171202" w:rsidRDefault="00533F8C" w:rsidP="00804433">
      <w:pPr>
        <w:pStyle w:val="FootnoteText"/>
      </w:pPr>
      <w:r>
        <w:rPr>
          <w:rStyle w:val="FootnoteReference"/>
        </w:rPr>
        <w:footnoteRef/>
      </w:r>
      <w:r>
        <w:t xml:space="preserve"> Anhang VII, Nummer 7 der Verordnung (EU) Nr. 808/2014.</w:t>
      </w:r>
    </w:p>
  </w:footnote>
  <w:footnote w:id="40">
    <w:p w:rsidR="00533F8C" w:rsidRPr="00171202" w:rsidRDefault="00533F8C" w:rsidP="00804433">
      <w:pPr>
        <w:pStyle w:val="FootnoteText"/>
      </w:pPr>
      <w:r w:rsidRPr="00B76BA4">
        <w:rPr>
          <w:rStyle w:val="FootnoteReference"/>
        </w:rPr>
        <w:footnoteRef/>
      </w:r>
      <w:r>
        <w:t xml:space="preserve"> Anhang IV, Nummer 2, 3 und 4 der Verordnung (EU) Nr. 808/2014.</w:t>
      </w:r>
    </w:p>
  </w:footnote>
  <w:footnote w:id="41">
    <w:p w:rsidR="00533F8C" w:rsidRPr="00171202" w:rsidRDefault="00533F8C" w:rsidP="00E05D08">
      <w:pPr>
        <w:pStyle w:val="FootnoteText"/>
      </w:pPr>
      <w:r w:rsidRPr="00B76BA4">
        <w:rPr>
          <w:rStyle w:val="FootnoteReference"/>
        </w:rPr>
        <w:footnoteRef/>
      </w:r>
      <w:r>
        <w:t xml:space="preserve"> Beurteilungskriterien laut Arbeitspapier: Gemeinsame Bewertungsfragen für die Programme zur Entwicklung des ländlichen Raums 2014-2020,</w:t>
      </w:r>
      <w:r>
        <w:rPr>
          <w:rStyle w:val="Hyperlink"/>
        </w:rPr>
        <w:t xml:space="preserve"> </w:t>
      </w:r>
      <w:hyperlink r:id="rId13" w:history="1">
        <w:r>
          <w:rPr>
            <w:rStyle w:val="Hyperlink"/>
          </w:rPr>
          <w:t>https://enrd.ec.europa.eu/evaluation/publications/working-document-common-evaluation-questions-rural-development-programmes_en</w:t>
        </w:r>
      </w:hyperlink>
    </w:p>
  </w:footnote>
  <w:footnote w:id="42">
    <w:p w:rsidR="00533F8C" w:rsidRPr="00171202" w:rsidRDefault="00533F8C" w:rsidP="00E05D08">
      <w:pPr>
        <w:pStyle w:val="FootnoteText"/>
      </w:pPr>
      <w:r w:rsidRPr="00B76BA4">
        <w:rPr>
          <w:rStyle w:val="FootnoteReference"/>
        </w:rPr>
        <w:footnoteRef/>
      </w:r>
      <w:r>
        <w:t xml:space="preserve"> Anhang IV der Verordnung (EU) Nr. 808/2014.</w:t>
      </w:r>
    </w:p>
  </w:footnote>
  <w:footnote w:id="43">
    <w:p w:rsidR="00533F8C" w:rsidRPr="00091F73" w:rsidRDefault="00533F8C" w:rsidP="00E05D08">
      <w:pPr>
        <w:pStyle w:val="FootnoteText"/>
      </w:pPr>
      <w:r w:rsidRPr="00091F73">
        <w:rPr>
          <w:rStyle w:val="FootnoteReference"/>
        </w:rPr>
        <w:footnoteRef/>
      </w:r>
      <w:r>
        <w:t xml:space="preserve"> In den Mitgliedstaaten werden neben den Beurteilungskriterien im Arbeitspapier „Common evaluation questions for Rural Development Programmes 2014-2020“ (Gemeinsame Bewertungsfragen für die Programme zur Entwicklung des ländlichen Raums 2014-2020) zusätzliche Beurteilungskriterien entwickelt. </w:t>
      </w:r>
    </w:p>
  </w:footnote>
  <w:footnote w:id="44">
    <w:p w:rsidR="00533F8C" w:rsidRPr="00091F73" w:rsidRDefault="00533F8C" w:rsidP="00E05D08">
      <w:pPr>
        <w:pStyle w:val="FootnoteText"/>
      </w:pPr>
      <w:r w:rsidRPr="00091F73">
        <w:rPr>
          <w:rStyle w:val="FootnoteReference"/>
        </w:rPr>
        <w:footnoteRef/>
      </w:r>
      <w:r>
        <w:t xml:space="preserve"> Zusätzliche Indikatoren sind solche Indikatoren, die in den Mitgliedstaaten zusätzlich zu den gemeinsamen Indikatoren entwickelt werden, falls die gemeinsamen Indikatoren nicht ausreichen, um die Bewertungsfragen entsprechend den Beurteilungskriterien richtig zu beantworten. Für weitere Informationen siehe die Leitlinien „Assessment of RDP results: how to prepare for reporting on evaluation in 2017“ (Bewertung der Ergebnisse der Programme zur Entwicklung des ländlichen Raums: Vorbereitung der Berichterstattung über die Bewertung 2017) </w:t>
      </w:r>
      <w:hyperlink r:id="rId14" w:history="1">
        <w:r>
          <w:rPr>
            <w:rStyle w:val="Hyperlink"/>
          </w:rPr>
          <w:t>https://enrd.ec.europa.eu/evaluation/publications/guidelines-assessment-rdp-results-how-prepare-reporting-evaluation-2017_en</w:t>
        </w:r>
      </w:hyperlink>
    </w:p>
    <w:p w:rsidR="00533F8C" w:rsidRPr="00091F73" w:rsidRDefault="00533F8C" w:rsidP="00F74459">
      <w:pPr>
        <w:pStyle w:val="FootnoteText"/>
        <w:rPr>
          <w:lang w:val="sk-SK"/>
        </w:rPr>
      </w:pPr>
    </w:p>
  </w:footnote>
  <w:footnote w:id="45">
    <w:p w:rsidR="00533F8C" w:rsidRPr="00576A73" w:rsidRDefault="00533F8C">
      <w:pPr>
        <w:pStyle w:val="FootnoteText"/>
        <w:rPr>
          <w:sz w:val="12"/>
          <w:szCs w:val="12"/>
        </w:rPr>
      </w:pPr>
      <w:r w:rsidRPr="00B76BA4">
        <w:rPr>
          <w:rStyle w:val="FootnoteReference"/>
          <w:szCs w:val="16"/>
        </w:rPr>
        <w:footnoteRef/>
      </w:r>
      <w:r>
        <w:rPr>
          <w:sz w:val="12"/>
          <w:szCs w:val="12"/>
        </w:rPr>
        <w:t xml:space="preserve"> </w:t>
      </w:r>
      <w:r>
        <w:t>Artikel 15 Absatz 4 Buchstaben a-g.</w:t>
      </w:r>
    </w:p>
  </w:footnote>
  <w:footnote w:id="46">
    <w:p w:rsidR="00533F8C" w:rsidRPr="00401F29" w:rsidRDefault="00533F8C" w:rsidP="00E05D08">
      <w:pPr>
        <w:pStyle w:val="FootnoteText"/>
        <w:rPr>
          <w:rStyle w:val="Hyperlink"/>
        </w:rPr>
      </w:pPr>
      <w:r w:rsidRPr="00B76BA4">
        <w:rPr>
          <w:rStyle w:val="FootnoteReference"/>
        </w:rPr>
        <w:footnoteRef/>
      </w:r>
      <w:r>
        <w:t xml:space="preserve"> Siehe:</w:t>
      </w:r>
      <w:r>
        <w:rPr>
          <w:rStyle w:val="Hyperlink"/>
        </w:rPr>
        <w:t xml:space="preserve"> </w:t>
      </w:r>
      <w:hyperlink r:id="rId15" w:history="1">
        <w:r>
          <w:rPr>
            <w:rStyle w:val="Hyperlink"/>
          </w:rPr>
          <w:t>http://ec.europa.eu/europe2020/targets/eu-targets/index_en.htm</w:t>
        </w:r>
      </w:hyperlink>
    </w:p>
  </w:footnote>
  <w:footnote w:id="47">
    <w:p w:rsidR="00533F8C" w:rsidRPr="00401F29" w:rsidRDefault="00533F8C" w:rsidP="00C3092C">
      <w:pPr>
        <w:pStyle w:val="FootnoteText"/>
      </w:pPr>
      <w:r w:rsidRPr="00964A79">
        <w:rPr>
          <w:vertAlign w:val="superscript"/>
        </w:rPr>
        <w:footnoteRef/>
      </w:r>
      <w:r>
        <w:t xml:space="preserve"> Arbeitspapier: Gemeinsame Bewertungsfragen für die Programme zur Entwicklung des ländlichen Raums 2014-2020, </w:t>
      </w:r>
      <w:hyperlink r:id="rId16" w:history="1">
        <w:r>
          <w:rPr>
            <w:rStyle w:val="Hyperlink"/>
          </w:rPr>
          <w:t>http://enrd.ec.europa.eu/evaluation/publications/working-document-common-evaluation-questions-rural-development-programmes_en</w:t>
        </w:r>
      </w:hyperlink>
    </w:p>
  </w:footnote>
  <w:footnote w:id="48">
    <w:p w:rsidR="00533F8C" w:rsidRPr="00401F29" w:rsidRDefault="00533F8C" w:rsidP="00E05D08">
      <w:pPr>
        <w:pStyle w:val="FootnoteText"/>
      </w:pPr>
      <w:r w:rsidRPr="00964A79">
        <w:rPr>
          <w:rStyle w:val="FootnoteReference"/>
        </w:rPr>
        <w:footnoteRef/>
      </w:r>
      <w:r>
        <w:t xml:space="preserve"> Die Artikel sind Teil der Verordnung (EU) Nr. 1305/2013.</w:t>
      </w:r>
    </w:p>
  </w:footnote>
  <w:footnote w:id="49">
    <w:p w:rsidR="00533F8C" w:rsidRPr="00401F29" w:rsidRDefault="00533F8C" w:rsidP="00E05D08">
      <w:pPr>
        <w:pStyle w:val="FootnoteText"/>
      </w:pPr>
      <w:r w:rsidRPr="00964A79">
        <w:rPr>
          <w:rStyle w:val="FootnoteReference"/>
        </w:rPr>
        <w:footnoteRef/>
      </w:r>
      <w:r>
        <w:t xml:space="preserve"> Artikel 15 Absatz 4 Buchstabe c der Verordnung (EU) Nr. 1305/2013.</w:t>
      </w:r>
    </w:p>
  </w:footnote>
  <w:footnote w:id="50">
    <w:p w:rsidR="00533F8C" w:rsidRPr="00401F29" w:rsidRDefault="00533F8C" w:rsidP="00E05D08">
      <w:pPr>
        <w:pStyle w:val="FootnoteText"/>
      </w:pPr>
      <w:r w:rsidRPr="00964A79">
        <w:rPr>
          <w:rStyle w:val="FootnoteReference"/>
        </w:rPr>
        <w:footnoteRef/>
      </w:r>
      <w:r>
        <w:t xml:space="preserve"> Artikel 32 der Verordnung (EU) Nr. 1303/2013.</w:t>
      </w:r>
    </w:p>
  </w:footnote>
  <w:footnote w:id="51">
    <w:p w:rsidR="00533F8C" w:rsidRPr="00C3092C" w:rsidRDefault="00533F8C" w:rsidP="00C3092C">
      <w:pPr>
        <w:pStyle w:val="FootnoteText"/>
      </w:pPr>
      <w:r>
        <w:rPr>
          <w:rStyle w:val="FootnoteReference"/>
        </w:rPr>
        <w:footnoteRef/>
      </w:r>
      <w:r>
        <w:t xml:space="preserve"> Artikel 35 Absatz 2 Buchstabe b der Verordnung (EU) Nr. 1305/2013.</w:t>
      </w:r>
    </w:p>
  </w:footnote>
  <w:footnote w:id="52">
    <w:p w:rsidR="00533F8C" w:rsidRPr="0026694F" w:rsidRDefault="00533F8C" w:rsidP="00E05D08">
      <w:pPr>
        <w:pStyle w:val="FootnoteText"/>
        <w:rPr>
          <w:color w:val="373737"/>
        </w:rPr>
      </w:pPr>
      <w:r w:rsidRPr="00964A79">
        <w:rPr>
          <w:rStyle w:val="FootnoteReference"/>
        </w:rPr>
        <w:footnoteRef/>
      </w:r>
      <w:r>
        <w:t xml:space="preserve"> Artikel 35 der Verordnung (EU) Nr. 1305/2013. Der Leitfaden „‘Co-operation‘ measure“ (Maßnahme „Zusammenarbeit“) in der Fassung vom November 2014 enthält im Anhang I eine Auflistung aller Teilmaßnahmen der Maßnahme „Zusammenarbeit“, </w:t>
      </w:r>
      <w:hyperlink r:id="rId17" w:history="1">
        <w:r>
          <w:rPr>
            <w:rStyle w:val="Hyperlink"/>
          </w:rPr>
          <w:t>https://ec.europa.eu/eip/agriculture/sites/agri-eip/files/16_measure_fiche_art_35_co-operation.pdf</w:t>
        </w:r>
      </w:hyperlink>
      <w:r>
        <w:t>.</w:t>
      </w:r>
    </w:p>
  </w:footnote>
  <w:footnote w:id="53">
    <w:p w:rsidR="00533F8C" w:rsidRPr="00401F29" w:rsidRDefault="00533F8C" w:rsidP="00E05D08">
      <w:pPr>
        <w:pStyle w:val="FootnoteText"/>
      </w:pPr>
      <w:r w:rsidRPr="007E63EF">
        <w:rPr>
          <w:rStyle w:val="FootnoteReference"/>
        </w:rPr>
        <w:footnoteRef/>
      </w:r>
      <w:r>
        <w:t xml:space="preserve"> Artikel 35 Absatz 1 der Verordnung (EU) Nr. 1305/2013.</w:t>
      </w:r>
    </w:p>
  </w:footnote>
  <w:footnote w:id="54">
    <w:p w:rsidR="00533F8C" w:rsidRPr="00AB16BB" w:rsidRDefault="00533F8C">
      <w:pPr>
        <w:pStyle w:val="FootnoteText"/>
        <w:rPr>
          <w:sz w:val="12"/>
          <w:szCs w:val="12"/>
        </w:rPr>
      </w:pPr>
      <w:r w:rsidRPr="007E63EF">
        <w:rPr>
          <w:rStyle w:val="FootnoteReference"/>
          <w:szCs w:val="16"/>
        </w:rPr>
        <w:footnoteRef/>
      </w:r>
      <w:r>
        <w:t xml:space="preserve">Vorstellung von Programmplanungsbeispielen in Zusammenhang mit den ELER-Prioritäten P4 und P5. Abrufbar unter: </w:t>
      </w:r>
      <w:hyperlink r:id="rId18" w:history="1">
        <w:r>
          <w:rPr>
            <w:rStyle w:val="Hyperlink"/>
          </w:rPr>
          <w:t>http://enrd.ec.europa.eu/sites/enrd/files/w10_m16_finland_karlsson.pdf</w:t>
        </w:r>
      </w:hyperlink>
      <w:r>
        <w:rPr>
          <w:sz w:val="12"/>
          <w:szCs w:val="12"/>
        </w:rPr>
        <w:t xml:space="preserve"> </w:t>
      </w:r>
    </w:p>
  </w:footnote>
  <w:footnote w:id="55">
    <w:p w:rsidR="00533F8C" w:rsidRPr="00A45935" w:rsidRDefault="00533F8C">
      <w:pPr>
        <w:pStyle w:val="FootnoteText"/>
        <w:rPr>
          <w:szCs w:val="16"/>
        </w:rPr>
      </w:pPr>
      <w:r w:rsidRPr="00A45935">
        <w:rPr>
          <w:rStyle w:val="FootnoteReference"/>
          <w:szCs w:val="16"/>
        </w:rPr>
        <w:footnoteRef/>
      </w:r>
      <w:r>
        <w:rPr>
          <w:rStyle w:val="Hyperlink"/>
        </w:rPr>
        <w:t xml:space="preserve"> </w:t>
      </w:r>
      <w:hyperlink r:id="rId19" w:history="1">
        <w:r>
          <w:rPr>
            <w:rStyle w:val="Hyperlink"/>
          </w:rPr>
          <w:t>https://ec.europa.eu/eip/agriculture/en/content/innovative-stable-reducing-ammonia-emissions</w:t>
        </w:r>
      </w:hyperlink>
    </w:p>
  </w:footnote>
  <w:footnote w:id="56">
    <w:p w:rsidR="00533F8C" w:rsidRDefault="00533F8C">
      <w:pPr>
        <w:pStyle w:val="FootnoteText"/>
      </w:pPr>
      <w:r w:rsidRPr="00A45935">
        <w:rPr>
          <w:rStyle w:val="FootnoteReference"/>
          <w:szCs w:val="16"/>
        </w:rPr>
        <w:footnoteRef/>
      </w:r>
      <w:r>
        <w:t xml:space="preserve"> Vorstellung von Programmplanungsbeispielen in Zusammenhang mit den ELER-Prioritäten P4 und P5. Abrufbar unter: </w:t>
      </w:r>
      <w:hyperlink r:id="rId20" w:history="1">
        <w:r>
          <w:rPr>
            <w:rStyle w:val="Hyperlink"/>
          </w:rPr>
          <w:t>http://enrd.ec.europa.eu/sites/enrd/files/w10_m16.5_hesse_de_vonkutzleben.pdf</w:t>
        </w:r>
      </w:hyperlink>
    </w:p>
  </w:footnote>
  <w:footnote w:id="57">
    <w:p w:rsidR="00533F8C" w:rsidRPr="00401F29" w:rsidRDefault="00533F8C" w:rsidP="00E05D08">
      <w:pPr>
        <w:pStyle w:val="FootnoteText"/>
      </w:pPr>
      <w:r w:rsidRPr="00964A79">
        <w:rPr>
          <w:rStyle w:val="FootnoteReference"/>
        </w:rPr>
        <w:footnoteRef/>
      </w:r>
      <w:r>
        <w:t xml:space="preserve"> Artikel 54 Absatz 2 der Verordnung (EU) Nr. 1305/2013.</w:t>
      </w:r>
    </w:p>
  </w:footnote>
  <w:footnote w:id="58">
    <w:p w:rsidR="00533F8C" w:rsidRPr="002D11C3" w:rsidRDefault="00533F8C" w:rsidP="00E05D08">
      <w:pPr>
        <w:pStyle w:val="FootnoteText"/>
      </w:pPr>
      <w:r>
        <w:rPr>
          <w:rStyle w:val="FootnoteReference"/>
        </w:rPr>
        <w:footnoteRef/>
      </w:r>
      <w:r>
        <w:t xml:space="preserve"> Eine Anleitung, wie CEQ Nr. 21 zu beantworten ist, enthalten auch die Leitlinien „Assessment of RDP results: How to prepare for reporting on evaluation in 2017“ (Bewertung der Ergebnisse der Programme zur Entwicklung des ländlichen Raums: Vorbereitung der Berichterstattung über die Bewertung 2017), Anhang 11, wo alle die NRN betreffenden Ziele im Hinblick auf die Beantwortung der CEQ berücksichtigt wurden (</w:t>
      </w:r>
      <w:hyperlink r:id="rId21" w:history="1">
        <w:r>
          <w:rPr>
            <w:rStyle w:val="Hyperlink"/>
          </w:rPr>
          <w:t>https://enrd.ec.europa.eu/evaluation/publications/guidelines-assessment-rdp-results-how-prepare-reporting-evaluation-2017_de</w:t>
        </w:r>
      </w:hyperlink>
      <w:r>
        <w:t>).</w:t>
      </w:r>
    </w:p>
  </w:footnote>
  <w:footnote w:id="59">
    <w:p w:rsidR="00533F8C" w:rsidRPr="00401F29" w:rsidRDefault="00533F8C" w:rsidP="00E05D08">
      <w:pPr>
        <w:pStyle w:val="FootnoteText"/>
      </w:pPr>
      <w:r w:rsidRPr="007E63EF">
        <w:rPr>
          <w:rStyle w:val="FootnoteReference"/>
        </w:rPr>
        <w:footnoteRef/>
      </w:r>
      <w:r>
        <w:t xml:space="preserve"> Artikel 54 der Verordnung (EU) Nr. 1305/2013.</w:t>
      </w:r>
    </w:p>
  </w:footnote>
  <w:footnote w:id="60">
    <w:p w:rsidR="00533F8C" w:rsidRPr="00401F29" w:rsidRDefault="00533F8C" w:rsidP="00E05D08">
      <w:pPr>
        <w:pStyle w:val="FootnoteText"/>
      </w:pPr>
      <w:r w:rsidRPr="00964A79">
        <w:rPr>
          <w:rStyle w:val="FootnoteReference"/>
        </w:rPr>
        <w:footnoteRef/>
      </w:r>
      <w:r>
        <w:t xml:space="preserve"> Artikel 54 Absatz 3 Buchstabe b der Verordnung (EU) Nr. 1305/2013.</w:t>
      </w:r>
    </w:p>
  </w:footnote>
  <w:footnote w:id="61">
    <w:p w:rsidR="00533F8C" w:rsidRPr="00401F29" w:rsidRDefault="00533F8C" w:rsidP="00E05D08">
      <w:pPr>
        <w:pStyle w:val="FootnoteText"/>
      </w:pPr>
      <w:r w:rsidRPr="00964A79">
        <w:rPr>
          <w:rStyle w:val="FootnoteReference"/>
        </w:rPr>
        <w:footnoteRef/>
      </w:r>
      <w:r>
        <w:t xml:space="preserve"> Artikel 8 Absatz 1 Buchstabe c Ziffer v der Verordnung (EU) Nr. 1305/2013 und Anhang I, Teil 1, Nummer 5 Buchstaben c und e der Verordnung (EU) Nr. 808/2014.</w:t>
      </w:r>
    </w:p>
  </w:footnote>
  <w:footnote w:id="62">
    <w:p w:rsidR="00533F8C" w:rsidRPr="00401F29" w:rsidRDefault="00533F8C" w:rsidP="00E05D08">
      <w:pPr>
        <w:pStyle w:val="FootnoteText"/>
      </w:pPr>
      <w:r w:rsidRPr="00964A79">
        <w:rPr>
          <w:rStyle w:val="FootnoteReference"/>
        </w:rPr>
        <w:footnoteRef/>
      </w:r>
      <w:r>
        <w:t xml:space="preserve"> Artikel 54 der Verordnung (EU) Nr. 1305/2013.</w:t>
      </w:r>
    </w:p>
  </w:footnote>
  <w:footnote w:id="63">
    <w:p w:rsidR="00533F8C" w:rsidRPr="00401F29" w:rsidRDefault="00533F8C" w:rsidP="00E05D08">
      <w:pPr>
        <w:pStyle w:val="FootnoteText"/>
        <w:rPr>
          <w:rStyle w:val="Hyperlink"/>
        </w:rPr>
      </w:pPr>
      <w:r w:rsidRPr="00964A79">
        <w:rPr>
          <w:rStyle w:val="FootnoteReference"/>
        </w:rPr>
        <w:footnoteRef/>
      </w:r>
      <w:r>
        <w:t xml:space="preserve"> Evaluierungs-Helpdesk, Arbeitspapier: „Common Evaluation questions for Rural Development Programmes 2014-2020“ (Gemeinsame Bewertungsfragen für die Programme zur Entwicklung des ländlichen Raums 2014-2020), abrufbar unter</w:t>
      </w:r>
      <w:hyperlink r:id="rId22" w:history="1">
        <w:r>
          <w:rPr>
            <w:rStyle w:val="Hyperlink"/>
          </w:rPr>
          <w:t>http://enrd.ec.europa.eu/evaluation/publications/working-document-common-evaluation-questions-rural-development-programmes_en</w:t>
        </w:r>
      </w:hyperlink>
      <w:r>
        <w:t>.</w:t>
      </w:r>
    </w:p>
  </w:footnote>
  <w:footnote w:id="64">
    <w:p w:rsidR="00533F8C" w:rsidRPr="00401F29" w:rsidRDefault="00533F8C" w:rsidP="00E05D08">
      <w:pPr>
        <w:pStyle w:val="FootnoteText"/>
      </w:pPr>
      <w:r w:rsidRPr="007E63EF">
        <w:rPr>
          <w:rStyle w:val="FootnoteReference"/>
        </w:rPr>
        <w:footnoteRef/>
      </w:r>
      <w:r>
        <w:t xml:space="preserve"> Ebenda.</w:t>
      </w:r>
    </w:p>
  </w:footnote>
  <w:footnote w:id="65">
    <w:p w:rsidR="00533F8C" w:rsidRPr="00401F29" w:rsidRDefault="00533F8C" w:rsidP="00E05D08">
      <w:pPr>
        <w:pStyle w:val="FootnoteText"/>
      </w:pPr>
      <w:r w:rsidRPr="00964A79">
        <w:rPr>
          <w:rStyle w:val="FootnoteReference"/>
        </w:rPr>
        <w:footnoteRef/>
      </w:r>
      <w:r>
        <w:t xml:space="preserve"> Allen und Seaman (2007).</w:t>
      </w:r>
    </w:p>
  </w:footnote>
  <w:footnote w:id="66">
    <w:p w:rsidR="00827FB4" w:rsidRDefault="00533F8C" w:rsidP="00E05D08">
      <w:pPr>
        <w:pStyle w:val="FootnoteText"/>
        <w:rPr>
          <w:rStyle w:val="Hyperlink"/>
        </w:rPr>
      </w:pPr>
      <w:r w:rsidRPr="00964A79">
        <w:rPr>
          <w:rStyle w:val="FootnoteReference"/>
        </w:rPr>
        <w:footnoteRef/>
      </w:r>
      <w:r>
        <w:t xml:space="preserve"> Evaluierungs-Helpdesk, Leitlinien für die Bewertung nationaler Netzwerke für den ländlichen Raum 2014-2020, 2016, Kapitel 3.1.3 und Teil III. </w:t>
      </w:r>
      <w:hyperlink r:id="rId23" w:history="1">
        <w:r w:rsidR="00827FB4" w:rsidRPr="00A36283">
          <w:rPr>
            <w:rStyle w:val="Hyperlink"/>
          </w:rPr>
          <w:t>https://enrd.ec.europa.eu/evaluation/publications/guidelines-evaluation-national-rural-networks-2014-2020_de</w:t>
        </w:r>
      </w:hyperlink>
      <w:r w:rsidR="00827FB4">
        <w:rPr>
          <w:rStyle w:val="Hyperlink"/>
        </w:rPr>
        <w:t xml:space="preserve"> </w:t>
      </w:r>
    </w:p>
    <w:p w:rsidR="00533F8C" w:rsidRPr="00401F29" w:rsidRDefault="00533F8C" w:rsidP="00E05D08">
      <w:pPr>
        <w:pStyle w:val="FootnoteText"/>
      </w:pPr>
    </w:p>
  </w:footnote>
  <w:footnote w:id="67">
    <w:p w:rsidR="00533F8C" w:rsidRPr="00401F29" w:rsidRDefault="00533F8C" w:rsidP="00E05D08">
      <w:pPr>
        <w:pStyle w:val="FootnoteText"/>
        <w:rPr>
          <w:rStyle w:val="Hyperlink"/>
        </w:rPr>
      </w:pPr>
      <w:r w:rsidRPr="00964A79">
        <w:rPr>
          <w:rStyle w:val="FootnoteReference"/>
        </w:rPr>
        <w:footnoteRef/>
      </w:r>
      <w:r>
        <w:t xml:space="preserve"> Beispiel aus dem italienischen NRN.</w:t>
      </w:r>
      <w:r>
        <w:rPr>
          <w:rFonts w:ascii="Helvetica" w:hAnsi="Helvetica"/>
          <w:szCs w:val="16"/>
        </w:rPr>
        <w:t xml:space="preserve"> </w:t>
      </w:r>
      <w:hyperlink r:id="rId24" w:history="1">
        <w:r>
          <w:rPr>
            <w:rStyle w:val="Hyperlink"/>
          </w:rPr>
          <w:t>http://www.reterurale.it/flex/cm/pages/ServeBLOB.php/L/IT/IDPagina/16281</w:t>
        </w:r>
      </w:hyperlink>
    </w:p>
    <w:p w:rsidR="00533F8C" w:rsidRPr="00F743D3" w:rsidRDefault="00533F8C" w:rsidP="00F74459">
      <w:pPr>
        <w:pStyle w:val="FootnoteText"/>
        <w:rPr>
          <w:lang w:val="sk-SK"/>
        </w:rPr>
      </w:pPr>
    </w:p>
  </w:footnote>
  <w:footnote w:id="68">
    <w:p w:rsidR="00533F8C" w:rsidRPr="00CE37B0" w:rsidRDefault="00533F8C" w:rsidP="00E05D08">
      <w:pPr>
        <w:pStyle w:val="FootnoteText"/>
      </w:pPr>
      <w:r>
        <w:rPr>
          <w:rStyle w:val="FootnoteReference"/>
        </w:rPr>
        <w:footnoteRef/>
      </w:r>
      <w:r>
        <w:t xml:space="preserve"> EUROPA 2020 – Eine Strategie für intelligentes, nachhaltiges und integratives Wachstum, </w:t>
      </w:r>
      <w:hyperlink r:id="rId25" w:history="1">
        <w:r>
          <w:rPr>
            <w:rStyle w:val="Hyperlink"/>
          </w:rPr>
          <w:t>http://eur-lex.europa.eu/legal-content/de/ALL/?uri=CELEX%3A52010DC2020</w:t>
        </w:r>
      </w:hyperlink>
    </w:p>
  </w:footnote>
  <w:footnote w:id="69">
    <w:p w:rsidR="00533F8C" w:rsidRPr="0026694F" w:rsidRDefault="00533F8C" w:rsidP="00E05D08">
      <w:pPr>
        <w:pStyle w:val="FootnoteText"/>
        <w:rPr>
          <w:rFonts w:cs="Helvetica"/>
          <w:color w:val="373737"/>
          <w:szCs w:val="18"/>
        </w:rPr>
      </w:pPr>
      <w:r w:rsidRPr="007E63EF">
        <w:rPr>
          <w:rStyle w:val="FootnoteReference"/>
          <w:rFonts w:cs="Helvetica"/>
          <w:szCs w:val="18"/>
        </w:rPr>
        <w:footnoteRef/>
      </w:r>
      <w:r>
        <w:rPr>
          <w:color w:val="373737"/>
          <w:szCs w:val="18"/>
        </w:rPr>
        <w:t xml:space="preserve"> </w:t>
      </w:r>
      <w:hyperlink r:id="rId26" w:history="1">
        <w:r>
          <w:rPr>
            <w:rStyle w:val="Hyperlink"/>
          </w:rPr>
          <w:t>http://ec.europa.eu/europe2020/targets/eu-targets/index_en.htm</w:t>
        </w:r>
      </w:hyperlink>
    </w:p>
  </w:footnote>
  <w:footnote w:id="70">
    <w:p w:rsidR="00533F8C" w:rsidRPr="008F676D" w:rsidRDefault="00533F8C" w:rsidP="00E05D08">
      <w:pPr>
        <w:pStyle w:val="FootnoteText"/>
      </w:pPr>
      <w:r>
        <w:rPr>
          <w:rStyle w:val="FootnoteReference"/>
        </w:rPr>
        <w:footnoteRef/>
      </w:r>
      <w:r>
        <w:t xml:space="preserve"> </w:t>
      </w:r>
      <w:hyperlink r:id="rId27" w:history="1">
        <w:r>
          <w:rPr>
            <w:rStyle w:val="Hyperlink"/>
          </w:rPr>
          <w:t>http://ec.europa.eu/eurostat/statistics-explained/index.php/R_%26_D_expenditure/de</w:t>
        </w:r>
      </w:hyperlink>
    </w:p>
  </w:footnote>
  <w:footnote w:id="71">
    <w:p w:rsidR="00533F8C" w:rsidRPr="0026694F" w:rsidRDefault="00533F8C" w:rsidP="00E05D08">
      <w:pPr>
        <w:pStyle w:val="FootnoteText"/>
        <w:rPr>
          <w:rFonts w:cs="Helvetica"/>
          <w:color w:val="373737"/>
          <w:szCs w:val="18"/>
        </w:rPr>
      </w:pPr>
      <w:r w:rsidRPr="007E63EF">
        <w:rPr>
          <w:rStyle w:val="FootnoteReference"/>
          <w:rFonts w:cs="Helvetica"/>
          <w:szCs w:val="18"/>
        </w:rPr>
        <w:footnoteRef/>
      </w:r>
      <w:r>
        <w:rPr>
          <w:color w:val="373737"/>
          <w:szCs w:val="18"/>
        </w:rPr>
        <w:t xml:space="preserve"> </w:t>
      </w:r>
      <w:hyperlink r:id="rId28" w:history="1">
        <w:r>
          <w:rPr>
            <w:rStyle w:val="Hyperlink"/>
          </w:rPr>
          <w:t>http://www.oecd.org/publications/frascati-handbuch-2015-9789264291638-de.htm</w:t>
        </w:r>
      </w:hyperlink>
    </w:p>
  </w:footnote>
  <w:footnote w:id="72">
    <w:p w:rsidR="00533F8C" w:rsidRPr="00401F29" w:rsidRDefault="00533F8C" w:rsidP="00E05D08">
      <w:pPr>
        <w:pStyle w:val="FootnoteText"/>
      </w:pPr>
      <w:r w:rsidRPr="007E63EF">
        <w:rPr>
          <w:rStyle w:val="FootnoteReference"/>
          <w:rFonts w:cs="Helvetica"/>
          <w:szCs w:val="18"/>
        </w:rPr>
        <w:footnoteRef/>
      </w:r>
      <w:r>
        <w:rPr>
          <w:color w:val="373737"/>
          <w:szCs w:val="18"/>
        </w:rPr>
        <w:t xml:space="preserve"> </w:t>
      </w:r>
      <w:r>
        <w:t>Entscheidung Nr. 1608/2003/EG des Europäischen Parlaments und des Rates; Verordnung (EG) Nr. 753/2004 und Verordnung (EU) Nr. 995/2012.</w:t>
      </w:r>
    </w:p>
  </w:footnote>
  <w:footnote w:id="73">
    <w:p w:rsidR="00533F8C" w:rsidRPr="008F676D" w:rsidRDefault="00533F8C" w:rsidP="00E05D08">
      <w:pPr>
        <w:pStyle w:val="FootnoteText"/>
      </w:pPr>
      <w:r>
        <w:rPr>
          <w:rStyle w:val="FootnoteReference"/>
        </w:rPr>
        <w:footnoteRef/>
      </w:r>
      <w:r>
        <w:t xml:space="preserve"> </w:t>
      </w:r>
      <w:hyperlink r:id="rId29" w:history="1">
        <w:r>
          <w:rPr>
            <w:rStyle w:val="Hyperlink"/>
          </w:rPr>
          <w:t>http://ec.europa.eu/eurostat/statistics-explained/index.php/Glossary:Gross_domestic_expenditure_on_R_%26_D_(GERD)/de</w:t>
        </w:r>
      </w:hyperlink>
    </w:p>
  </w:footnote>
  <w:footnote w:id="74">
    <w:p w:rsidR="00533F8C" w:rsidRPr="0026694F" w:rsidRDefault="00533F8C" w:rsidP="00E05D08">
      <w:pPr>
        <w:pStyle w:val="FootnoteText"/>
        <w:rPr>
          <w:rFonts w:ascii="Helvetica" w:hAnsi="Helvetica" w:cs="Helvetica"/>
          <w:szCs w:val="16"/>
        </w:rPr>
      </w:pPr>
      <w:r w:rsidRPr="007E63EF">
        <w:rPr>
          <w:rStyle w:val="FootnoteReference"/>
          <w:rFonts w:cs="Arial"/>
          <w:szCs w:val="16"/>
        </w:rPr>
        <w:footnoteRef/>
      </w:r>
      <w:r>
        <w:rPr>
          <w:rFonts w:ascii="Helvetica" w:hAnsi="Helvetica"/>
          <w:szCs w:val="16"/>
        </w:rPr>
        <w:t xml:space="preserve"> </w:t>
      </w:r>
      <w:bookmarkStart w:id="125" w:name="_Hlk500419553"/>
      <w:r>
        <w:rPr>
          <w:rFonts w:ascii="Helvetica" w:hAnsi="Helvetica"/>
          <w:szCs w:val="16"/>
        </w:rPr>
        <w:t xml:space="preserve">In Deutschland zeigte eine Studie zu den Ex-ante-Bewertungen, in der (unter anderem) die Bedeutung von Programmen zur Entwicklung des ländlichen Raums für die Verwirklichung der Ziele von Europa 2020 untersucht wurde, dass der Beitrag dieser Programme zu dem Kernziel von 3 % als sehr gering eingeschätzt wird. In mehreren Bundesländern machen die diesbezüglichen Ausgaben nur einen sehr kleinen Teil der FuE-Ausgaben insgesamt aus. </w:t>
      </w:r>
    </w:p>
    <w:bookmarkEnd w:id="125"/>
    <w:p w:rsidR="00533F8C" w:rsidRPr="00E05D08" w:rsidRDefault="00533F8C" w:rsidP="00F74459">
      <w:pPr>
        <w:pStyle w:val="FootnoteText"/>
        <w:rPr>
          <w:rFonts w:ascii="Calibri" w:hAnsi="Calibri"/>
          <w:lang w:val="sk-SK"/>
        </w:rPr>
      </w:pPr>
    </w:p>
  </w:footnote>
  <w:footnote w:id="75">
    <w:p w:rsidR="00533F8C" w:rsidRPr="0026694F" w:rsidRDefault="00533F8C" w:rsidP="00E05D08">
      <w:pPr>
        <w:pStyle w:val="FootnoteText"/>
        <w:rPr>
          <w:rFonts w:cs="Helvetica"/>
          <w:color w:val="373737"/>
        </w:rPr>
      </w:pPr>
      <w:r w:rsidRPr="00BA4FCD">
        <w:rPr>
          <w:rStyle w:val="FootnoteReference"/>
          <w:rFonts w:cs="Helvetica"/>
        </w:rPr>
        <w:footnoteRef/>
      </w:r>
      <w:r>
        <w:t xml:space="preserve"> Arbeitspapier „Common evaluation questions for Rural Development Programmes 2014-2020“ (Gemeinsame Bewertungsfragen für die Programme zur Entwicklung des ländlichen Raums 2014-2020), </w:t>
      </w:r>
      <w:hyperlink r:id="rId30" w:history="1">
        <w:r>
          <w:rPr>
            <w:rStyle w:val="Hyperlink"/>
          </w:rPr>
          <w:t>http://enrd.ec.europa.eu/evaluation/publications/working-document-common-evaluation-questions-rural-development-programmes_en</w:t>
        </w:r>
      </w:hyperlink>
    </w:p>
  </w:footnote>
  <w:footnote w:id="76">
    <w:p w:rsidR="00533F8C" w:rsidRPr="00014A2E" w:rsidRDefault="00533F8C" w:rsidP="00E05D08">
      <w:pPr>
        <w:pStyle w:val="FootnoteText"/>
      </w:pPr>
      <w:r w:rsidRPr="00BA4FCD">
        <w:rPr>
          <w:rStyle w:val="FootnoteReference"/>
        </w:rPr>
        <w:footnoteRef/>
      </w:r>
      <w:r>
        <w:t xml:space="preserve"> Artikel 8 Absatz 1 Buchstabe c Ziffer v der Verordnung (EU) Nr. 1305/2013 und Anhang I, Teil 1, Nummer 5 Buchstaben c und e der Verordnung (EU) Nr. 808/2014.</w:t>
      </w:r>
    </w:p>
  </w:footnote>
  <w:footnote w:id="77">
    <w:p w:rsidR="00533F8C" w:rsidRPr="001D68A9" w:rsidRDefault="00533F8C" w:rsidP="00E05D08">
      <w:pPr>
        <w:pStyle w:val="FootnoteText"/>
      </w:pPr>
      <w:r>
        <w:rPr>
          <w:rStyle w:val="FootnoteReference"/>
        </w:rPr>
        <w:footnoteRef/>
      </w:r>
      <w:r>
        <w:t xml:space="preserve"> </w:t>
      </w:r>
      <w:hyperlink r:id="rId31" w:history="1">
        <w:r>
          <w:rPr>
            <w:rStyle w:val="Hyperlink"/>
          </w:rPr>
          <w:t>http://www.analytictech.com/networks/whatis.htm</w:t>
        </w:r>
      </w:hyperlink>
    </w:p>
  </w:footnote>
  <w:footnote w:id="78">
    <w:p w:rsidR="00533F8C" w:rsidRPr="00401F29" w:rsidRDefault="00533F8C" w:rsidP="00E05D08">
      <w:pPr>
        <w:pStyle w:val="FootnoteText"/>
      </w:pPr>
      <w:r>
        <w:rPr>
          <w:rStyle w:val="FootnoteReference"/>
        </w:rPr>
        <w:footnoteRef/>
      </w:r>
      <w:r>
        <w:t xml:space="preserve"> Wilson-Grau, 2015. </w:t>
      </w:r>
    </w:p>
  </w:footnote>
  <w:footnote w:id="79">
    <w:p w:rsidR="00533F8C" w:rsidRPr="00401F29" w:rsidRDefault="00533F8C" w:rsidP="00E05D08">
      <w:pPr>
        <w:pStyle w:val="FootnoteText"/>
      </w:pPr>
      <w:r w:rsidRPr="00964A79">
        <w:rPr>
          <w:rStyle w:val="FootnoteReference"/>
        </w:rPr>
        <w:footnoteRef/>
      </w:r>
      <w:r>
        <w:t xml:space="preserve"> Eine Fallstudie ist eine Methode, mit der Erkenntnisse zu einem komplexen Fall gewonnen werden, die sich auf ein umfassendes Verständnis dieses Falls stützen, das durch eine ausführliche Beschreibung und Analyse dieses Falls in seiner Gesamtheit und in seinem Kontext erhalten wird (GAO, 1990, S. 15).</w:t>
      </w:r>
    </w:p>
  </w:footnote>
  <w:footnote w:id="80">
    <w:p w:rsidR="00533F8C" w:rsidRPr="00401F29" w:rsidRDefault="00533F8C" w:rsidP="00E05D08">
      <w:pPr>
        <w:pStyle w:val="FootnoteText"/>
      </w:pPr>
      <w:r w:rsidRPr="00A847F8">
        <w:rPr>
          <w:rStyle w:val="FootnoteReference"/>
        </w:rPr>
        <w:footnoteRef/>
      </w:r>
      <w:r w:rsidRPr="00A847F8">
        <w:rPr>
          <w:rStyle w:val="FootnoteReference"/>
        </w:rPr>
        <w:t xml:space="preserve"> </w:t>
      </w:r>
      <w:r>
        <w:t xml:space="preserve">Process Tracing ist eine fallbezogene Herangehensweise an die kausale Interferenz, bei der in erster Linie Anhaltspunkte in einem Fall (kausale Prozessbeobachtungen) dafür genutzt werden, zwischen alternativen möglichen Erklärungen abzuwägen (weiterführende Informationen auf </w:t>
      </w:r>
      <w:hyperlink r:id="rId32" w:history="1">
        <w:r>
          <w:rPr>
            <w:rStyle w:val="Hyperlink"/>
            <w:szCs w:val="16"/>
            <w:shd w:val="clear" w:color="auto" w:fill="FFFFFF"/>
          </w:rPr>
          <w:t>http://www.betterevaluation.org/en/evaluation-options/processtracing</w:t>
        </w:r>
      </w:hyperlink>
      <w:r>
        <w:t xml:space="preserve"> sowie in Collier 2011, siehe weiterführende Literatur).</w:t>
      </w:r>
    </w:p>
  </w:footnote>
  <w:footnote w:id="81">
    <w:p w:rsidR="00533F8C" w:rsidRPr="00401F29" w:rsidRDefault="00533F8C" w:rsidP="00E05D08">
      <w:pPr>
        <w:pStyle w:val="FootnoteText"/>
      </w:pPr>
      <w:r w:rsidRPr="00A847F8">
        <w:rPr>
          <w:rStyle w:val="FootnoteReference"/>
        </w:rPr>
        <w:footnoteRef/>
      </w:r>
      <w:r>
        <w:t xml:space="preserve"> Das Anlegen von Innovationshistorien ist eine Methode, mit der ein Innovationsprozess aufgezeichnet und über ihn reflektiert werden kann. Beteiligte an der Innovation erstellen gemeinsam einen ausführlichen schriftlichen Bericht (gelegentlich auch als „Learning History“ bezeichnet), der auf ihren Erinnerungen und verfügbaren Unterlagen beruht. Weiterführende Informationen auf </w:t>
      </w:r>
      <w:hyperlink r:id="rId33" w:history="1">
        <w:r>
          <w:rPr>
            <w:rStyle w:val="Hyperlink"/>
          </w:rPr>
          <w:t>http://www.betterevaluation.org/en/resources/tools/innovation_history/innovation_timeline</w:t>
        </w:r>
      </w:hyperlink>
      <w:r>
        <w:t xml:space="preserve"> sowie in Douthwaite und Ashby (2005), siehe weiterführende Literatur. </w:t>
      </w:r>
    </w:p>
  </w:footnote>
  <w:footnote w:id="82">
    <w:p w:rsidR="00533F8C" w:rsidRPr="00A847F8" w:rsidRDefault="00533F8C" w:rsidP="00A847F8">
      <w:pPr>
        <w:pStyle w:val="FootnoteText"/>
      </w:pPr>
      <w:r>
        <w:rPr>
          <w:rStyle w:val="FootnoteReference"/>
        </w:rPr>
        <w:footnoteRef/>
      </w:r>
      <w:r>
        <w:t xml:space="preserve"> Mayne, 2012, siehe weiterführende Literatur.</w:t>
      </w:r>
    </w:p>
  </w:footnote>
  <w:footnote w:id="83">
    <w:p w:rsidR="00533F8C" w:rsidRPr="00A847F8" w:rsidRDefault="00533F8C" w:rsidP="00A847F8">
      <w:pPr>
        <w:pStyle w:val="FootnoteText"/>
      </w:pPr>
      <w:r w:rsidRPr="00A847F8">
        <w:rPr>
          <w:rStyle w:val="FootnoteReference"/>
        </w:rPr>
        <w:footnoteRef/>
      </w:r>
      <w:r>
        <w:t xml:space="preserve"> Hilton, 1996, siehe weiterführende Literatur.</w:t>
      </w:r>
    </w:p>
  </w:footnote>
  <w:footnote w:id="84">
    <w:p w:rsidR="00533F8C" w:rsidRDefault="00533F8C" w:rsidP="00A847F8">
      <w:pPr>
        <w:pStyle w:val="FootnoteText"/>
      </w:pPr>
      <w:r w:rsidRPr="00A847F8">
        <w:rPr>
          <w:rStyle w:val="FootnoteReference"/>
        </w:rPr>
        <w:footnoteRef/>
      </w:r>
      <w:r>
        <w:t xml:space="preserve"> Pawson et al., 2005, siehe weiterführende Literatur.</w:t>
      </w:r>
    </w:p>
  </w:footnote>
  <w:footnote w:id="85">
    <w:p w:rsidR="00533F8C" w:rsidRDefault="00533F8C" w:rsidP="00BA450C">
      <w:pPr>
        <w:pStyle w:val="FootnoteText"/>
      </w:pPr>
      <w:r w:rsidRPr="00A45935">
        <w:rPr>
          <w:rStyle w:val="FootnoteReference"/>
          <w:szCs w:val="16"/>
        </w:rPr>
        <w:footnoteRef/>
      </w:r>
      <w:r>
        <w:t xml:space="preserve"> </w:t>
      </w:r>
      <w:hyperlink r:id="rId34" w:history="1">
        <w:r>
          <w:rPr>
            <w:rStyle w:val="Hyperlink"/>
          </w:rPr>
          <w:t>http://www.socialresearchmethods.net/kb/scallik.php</w:t>
        </w:r>
      </w:hyperlink>
      <w:r>
        <w:rPr>
          <w:color w:val="373737"/>
          <w:szCs w:val="16"/>
        </w:rPr>
        <w:t xml:space="preserve"> </w:t>
      </w:r>
      <w:r>
        <w:t>sowie Allen und Seaman (2007</w:t>
      </w:r>
      <w:r>
        <w:rPr>
          <w:color w:val="373737"/>
          <w:szCs w:val="1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F8C" w:rsidRDefault="00533F8C" w:rsidP="00400064">
    <w:pPr>
      <w:pStyle w:val="Header"/>
      <w:tabs>
        <w:tab w:val="clear" w:pos="4513"/>
        <w:tab w:val="clear" w:pos="9026"/>
      </w:tabs>
      <w:jc w:val="right"/>
    </w:pPr>
    <w:r>
      <w:t>Leitlinien: Bewertung von Innovation in den Programmen zur Entwicklung des ländlichen Raums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F8C" w:rsidRPr="00400064" w:rsidRDefault="00533F8C" w:rsidP="0025413B">
    <w:pPr>
      <w:jc w:val="right"/>
      <w:rPr>
        <w:color w:val="F07E31"/>
        <w:sz w:val="18"/>
        <w:szCs w:val="18"/>
      </w:rPr>
    </w:pPr>
    <w:r>
      <w:rPr>
        <w:color w:val="F07E31"/>
        <w:sz w:val="18"/>
        <w:szCs w:val="18"/>
      </w:rPr>
      <w:t>Leitlinien: Bewertung von Innovation in den Programmen zur Entwicklung des ländlichen Raums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F8C" w:rsidRPr="00400064" w:rsidRDefault="00533F8C" w:rsidP="00400064">
    <w:pPr>
      <w:jc w:val="right"/>
      <w:rPr>
        <w:color w:val="F07E31"/>
        <w:sz w:val="18"/>
        <w:szCs w:val="18"/>
      </w:rPr>
    </w:pPr>
    <w:r>
      <w:rPr>
        <w:color w:val="F07E31"/>
        <w:sz w:val="18"/>
        <w:szCs w:val="18"/>
      </w:rPr>
      <w:t>Leitlinien: Bewertung von Innovation in den Programmen zur Entwicklung des ländlichen Raums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F8C" w:rsidRDefault="00533F8C" w:rsidP="00E165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F8C" w:rsidRPr="00E4509B" w:rsidRDefault="00533F8C" w:rsidP="00D50EF0">
    <w:pPr>
      <w:pStyle w:val="Header"/>
      <w:tabs>
        <w:tab w:val="clear" w:pos="4513"/>
      </w:tabs>
    </w:pPr>
    <w:r>
      <w:tab/>
    </w:r>
    <w:bookmarkStart w:id="4" w:name="_Hlk503344243"/>
    <w:r>
      <w:t>Leitlinien: Bewertung von Innovation in den Programmen zur Entwicklung des ländlichen Raums</w:t>
    </w:r>
    <w:bookmarkEnd w:id="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F8C" w:rsidRPr="00400064" w:rsidRDefault="00533F8C" w:rsidP="00400064">
    <w:pPr>
      <w:jc w:val="right"/>
      <w:rPr>
        <w:color w:val="F07E31"/>
        <w:sz w:val="18"/>
        <w:szCs w:val="18"/>
      </w:rPr>
    </w:pPr>
    <w:r>
      <w:rPr>
        <w:color w:val="F07E31"/>
        <w:sz w:val="18"/>
        <w:szCs w:val="18"/>
      </w:rPr>
      <w:t>Leitlinien: Bewertung von Innovation in den Programmen zur Entwicklung des ländlichen Raums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F8C" w:rsidRPr="00C947BA" w:rsidRDefault="00533F8C" w:rsidP="00C947BA">
    <w:pPr>
      <w:jc w:val="right"/>
      <w:rPr>
        <w:color w:val="F07E31"/>
        <w:sz w:val="18"/>
        <w:szCs w:val="18"/>
      </w:rPr>
    </w:pPr>
    <w:r>
      <w:rPr>
        <w:color w:val="F07E31"/>
        <w:sz w:val="18"/>
        <w:szCs w:val="18"/>
      </w:rPr>
      <w:t>Leitlinien: Bewertung von Innovation in den Programmen zur Entwicklung des ländlichen Raums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F8C" w:rsidRDefault="00533F8C" w:rsidP="00E165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F8C" w:rsidRPr="0052778E" w:rsidRDefault="00533F8C" w:rsidP="00E16522">
    <w:pPr>
      <w:pStyle w:val="Header"/>
      <w:rPr>
        <w:sz w:val="24"/>
      </w:rPr>
    </w:pPr>
    <w:r>
      <w:tab/>
    </w:r>
  </w:p>
  <w:p w:rsidR="00533F8C" w:rsidRPr="0047590C" w:rsidRDefault="00533F8C" w:rsidP="00E16522">
    <w:pPr>
      <w:pStyle w:val="Header"/>
      <w:rPr>
        <w:color w:val="6F6F6F"/>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F8C" w:rsidRDefault="00533F8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F8C" w:rsidRPr="00656719" w:rsidRDefault="00533F8C" w:rsidP="00E16522">
    <w:pPr>
      <w:pStyle w:val="Header"/>
    </w:pPr>
    <w:r>
      <w:tab/>
      <w:t>Hintergrundpapier: Bewertung von Innovation in den Programmen zur Entwicklung des ländlichen Raums</w:t>
    </w:r>
  </w:p>
  <w:p w:rsidR="00533F8C" w:rsidRPr="00A86A02" w:rsidRDefault="00533F8C" w:rsidP="00E16522">
    <w:pPr>
      <w:pStyle w:val="Header"/>
      <w:rPr>
        <w:sz w:val="24"/>
      </w:rPr>
    </w:pPr>
  </w:p>
  <w:p w:rsidR="00533F8C" w:rsidRPr="0047590C" w:rsidRDefault="00533F8C" w:rsidP="00E16522">
    <w:pPr>
      <w:pStyle w:val="Header"/>
      <w:rPr>
        <w:color w:val="6F6F6F"/>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366AC"/>
    <w:multiLevelType w:val="multilevel"/>
    <w:tmpl w:val="2068AE4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434EAD"/>
    <w:multiLevelType w:val="multilevel"/>
    <w:tmpl w:val="9998C6BA"/>
    <w:lvl w:ilvl="0">
      <w:start w:val="1"/>
      <w:numFmt w:val="decimal"/>
      <w:pStyle w:val="HHeading1"/>
      <w:lvlText w:val="%1."/>
      <w:lvlJc w:val="left"/>
      <w:pPr>
        <w:ind w:left="720" w:hanging="360"/>
      </w:pPr>
      <w:rPr>
        <w:rFonts w:ascii="Arial" w:hAnsi="Arial" w:hint="default"/>
        <w:color w:val="F07E31"/>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0B5324"/>
    <w:multiLevelType w:val="hybridMultilevel"/>
    <w:tmpl w:val="BDD4FD1A"/>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A066D"/>
    <w:multiLevelType w:val="hybridMultilevel"/>
    <w:tmpl w:val="67F0D85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35275F"/>
    <w:multiLevelType w:val="multilevel"/>
    <w:tmpl w:val="080C0025"/>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4722D3A"/>
    <w:multiLevelType w:val="multilevel"/>
    <w:tmpl w:val="A5CAE128"/>
    <w:lvl w:ilvl="0">
      <w:start w:val="1"/>
      <w:numFmt w:val="decimal"/>
      <w:lvlText w:val="%1"/>
      <w:lvlJc w:val="left"/>
      <w:pPr>
        <w:ind w:left="444" w:hanging="444"/>
      </w:pPr>
      <w:rPr>
        <w:rFonts w:hint="default"/>
        <w:color w:val="F07E31"/>
      </w:rPr>
    </w:lvl>
    <w:lvl w:ilvl="1">
      <w:start w:val="2"/>
      <w:numFmt w:val="decimal"/>
      <w:lvlText w:val="%1.%2"/>
      <w:lvlJc w:val="left"/>
      <w:pPr>
        <w:ind w:left="444" w:hanging="444"/>
      </w:pPr>
      <w:rPr>
        <w:rFonts w:hint="default"/>
        <w:color w:val="F07E31"/>
      </w:rPr>
    </w:lvl>
    <w:lvl w:ilvl="2">
      <w:start w:val="2"/>
      <w:numFmt w:val="decimal"/>
      <w:lvlText w:val="%1.%2.%3"/>
      <w:lvlJc w:val="left"/>
      <w:pPr>
        <w:ind w:left="720" w:hanging="720"/>
      </w:pPr>
      <w:rPr>
        <w:rFonts w:hint="default"/>
        <w:color w:val="F07E31"/>
      </w:rPr>
    </w:lvl>
    <w:lvl w:ilvl="3">
      <w:start w:val="1"/>
      <w:numFmt w:val="decimal"/>
      <w:lvlText w:val="%1.%2.%3.%4"/>
      <w:lvlJc w:val="left"/>
      <w:pPr>
        <w:ind w:left="720" w:hanging="720"/>
      </w:pPr>
      <w:rPr>
        <w:rFonts w:hint="default"/>
        <w:color w:val="F07E31"/>
      </w:rPr>
    </w:lvl>
    <w:lvl w:ilvl="4">
      <w:start w:val="1"/>
      <w:numFmt w:val="decimal"/>
      <w:lvlText w:val="%1.%2.%3.%4.%5"/>
      <w:lvlJc w:val="left"/>
      <w:pPr>
        <w:ind w:left="1080" w:hanging="1080"/>
      </w:pPr>
      <w:rPr>
        <w:rFonts w:hint="default"/>
        <w:color w:val="F07E31"/>
      </w:rPr>
    </w:lvl>
    <w:lvl w:ilvl="5">
      <w:start w:val="1"/>
      <w:numFmt w:val="decimal"/>
      <w:lvlText w:val="%1.%2.%3.%4.%5.%6"/>
      <w:lvlJc w:val="left"/>
      <w:pPr>
        <w:ind w:left="1080" w:hanging="1080"/>
      </w:pPr>
      <w:rPr>
        <w:rFonts w:hint="default"/>
        <w:color w:val="F07E31"/>
      </w:rPr>
    </w:lvl>
    <w:lvl w:ilvl="6">
      <w:start w:val="1"/>
      <w:numFmt w:val="decimal"/>
      <w:lvlText w:val="%1.%2.%3.%4.%5.%6.%7"/>
      <w:lvlJc w:val="left"/>
      <w:pPr>
        <w:ind w:left="1440" w:hanging="1440"/>
      </w:pPr>
      <w:rPr>
        <w:rFonts w:hint="default"/>
        <w:color w:val="F07E31"/>
      </w:rPr>
    </w:lvl>
    <w:lvl w:ilvl="7">
      <w:start w:val="1"/>
      <w:numFmt w:val="decimal"/>
      <w:lvlText w:val="%1.%2.%3.%4.%5.%6.%7.%8"/>
      <w:lvlJc w:val="left"/>
      <w:pPr>
        <w:ind w:left="1440" w:hanging="1440"/>
      </w:pPr>
      <w:rPr>
        <w:rFonts w:hint="default"/>
        <w:color w:val="F07E31"/>
      </w:rPr>
    </w:lvl>
    <w:lvl w:ilvl="8">
      <w:start w:val="1"/>
      <w:numFmt w:val="decimal"/>
      <w:lvlText w:val="%1.%2.%3.%4.%5.%6.%7.%8.%9"/>
      <w:lvlJc w:val="left"/>
      <w:pPr>
        <w:ind w:left="1800" w:hanging="1800"/>
      </w:pPr>
      <w:rPr>
        <w:rFonts w:hint="default"/>
        <w:color w:val="F07E31"/>
      </w:rPr>
    </w:lvl>
  </w:abstractNum>
  <w:abstractNum w:abstractNumId="7" w15:restartNumberingAfterBreak="0">
    <w:nsid w:val="06257611"/>
    <w:multiLevelType w:val="hybridMultilevel"/>
    <w:tmpl w:val="58EEF89A"/>
    <w:lvl w:ilvl="0" w:tplc="19F88068">
      <w:start w:val="1"/>
      <w:numFmt w:val="bullet"/>
      <w:lvlText w:val=""/>
      <w:lvlJc w:val="left"/>
      <w:pPr>
        <w:ind w:left="720" w:hanging="360"/>
      </w:pPr>
      <w:rPr>
        <w:rFonts w:ascii="Symbol" w:hAnsi="Symbol" w:hint="default"/>
        <w:b w:val="0"/>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EB648B"/>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9787D25"/>
    <w:multiLevelType w:val="hybridMultilevel"/>
    <w:tmpl w:val="7DB4D96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B544734"/>
    <w:multiLevelType w:val="hybridMultilevel"/>
    <w:tmpl w:val="B426A1C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754C06"/>
    <w:multiLevelType w:val="multilevel"/>
    <w:tmpl w:val="21E6DD94"/>
    <w:lvl w:ilvl="0">
      <w:start w:val="1"/>
      <w:numFmt w:val="decimal"/>
      <w:lvlText w:val="%1"/>
      <w:lvlJc w:val="left"/>
      <w:pPr>
        <w:ind w:left="432" w:hanging="432"/>
      </w:pPr>
      <w:rPr>
        <w:rFonts w:hint="default"/>
        <w:color w:val="F07E31"/>
        <w:sz w:val="24"/>
      </w:r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E422253"/>
    <w:multiLevelType w:val="hybridMultilevel"/>
    <w:tmpl w:val="26AE3D9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577D94"/>
    <w:multiLevelType w:val="multilevel"/>
    <w:tmpl w:val="B8C4BBDE"/>
    <w:lvl w:ilvl="0">
      <w:start w:val="1"/>
      <w:numFmt w:val="decimal"/>
      <w:lvlText w:val="%1."/>
      <w:lvlJc w:val="left"/>
      <w:pPr>
        <w:ind w:left="720" w:hanging="360"/>
      </w:pPr>
    </w:lvl>
    <w:lvl w:ilvl="1">
      <w:start w:val="1"/>
      <w:numFmt w:val="decimal"/>
      <w:isLgl/>
      <w:lvlText w:val="%1.%2"/>
      <w:lvlJc w:val="left"/>
      <w:pPr>
        <w:ind w:left="720" w:hanging="360"/>
      </w:pPr>
      <w:rPr>
        <w:rFonts w:ascii="Helvetica" w:hAnsi="Helvetica" w:cs="Times New Roman" w:hint="default"/>
      </w:rPr>
    </w:lvl>
    <w:lvl w:ilvl="2">
      <w:start w:val="1"/>
      <w:numFmt w:val="decimal"/>
      <w:isLgl/>
      <w:lvlText w:val="%1.%2.%3"/>
      <w:lvlJc w:val="left"/>
      <w:pPr>
        <w:ind w:left="1080" w:hanging="720"/>
      </w:pPr>
      <w:rPr>
        <w:rFonts w:ascii="Helvetica" w:hAnsi="Helvetica" w:cs="Times New Roman" w:hint="default"/>
      </w:rPr>
    </w:lvl>
    <w:lvl w:ilvl="3">
      <w:start w:val="1"/>
      <w:numFmt w:val="decimal"/>
      <w:isLgl/>
      <w:lvlText w:val="%1.%2.%3.%4"/>
      <w:lvlJc w:val="left"/>
      <w:pPr>
        <w:ind w:left="1080" w:hanging="720"/>
      </w:pPr>
      <w:rPr>
        <w:rFonts w:ascii="Helvetica" w:hAnsi="Helvetica" w:cs="Times New Roman" w:hint="default"/>
      </w:rPr>
    </w:lvl>
    <w:lvl w:ilvl="4">
      <w:start w:val="1"/>
      <w:numFmt w:val="decimal"/>
      <w:isLgl/>
      <w:lvlText w:val="%1.%2.%3.%4.%5"/>
      <w:lvlJc w:val="left"/>
      <w:pPr>
        <w:ind w:left="1440" w:hanging="1080"/>
      </w:pPr>
      <w:rPr>
        <w:rFonts w:ascii="Helvetica" w:hAnsi="Helvetica" w:cs="Times New Roman" w:hint="default"/>
      </w:rPr>
    </w:lvl>
    <w:lvl w:ilvl="5">
      <w:start w:val="1"/>
      <w:numFmt w:val="decimal"/>
      <w:isLgl/>
      <w:lvlText w:val="%1.%2.%3.%4.%5.%6"/>
      <w:lvlJc w:val="left"/>
      <w:pPr>
        <w:ind w:left="1440" w:hanging="1080"/>
      </w:pPr>
      <w:rPr>
        <w:rFonts w:ascii="Helvetica" w:hAnsi="Helvetica" w:cs="Times New Roman" w:hint="default"/>
      </w:rPr>
    </w:lvl>
    <w:lvl w:ilvl="6">
      <w:start w:val="1"/>
      <w:numFmt w:val="decimal"/>
      <w:isLgl/>
      <w:lvlText w:val="%1.%2.%3.%4.%5.%6.%7"/>
      <w:lvlJc w:val="left"/>
      <w:pPr>
        <w:ind w:left="1800" w:hanging="1440"/>
      </w:pPr>
      <w:rPr>
        <w:rFonts w:ascii="Helvetica" w:hAnsi="Helvetica" w:cs="Times New Roman" w:hint="default"/>
      </w:rPr>
    </w:lvl>
    <w:lvl w:ilvl="7">
      <w:start w:val="1"/>
      <w:numFmt w:val="decimal"/>
      <w:isLgl/>
      <w:lvlText w:val="%1.%2.%3.%4.%5.%6.%7.%8"/>
      <w:lvlJc w:val="left"/>
      <w:pPr>
        <w:ind w:left="1800" w:hanging="1440"/>
      </w:pPr>
      <w:rPr>
        <w:rFonts w:ascii="Helvetica" w:hAnsi="Helvetica" w:cs="Times New Roman" w:hint="default"/>
      </w:rPr>
    </w:lvl>
    <w:lvl w:ilvl="8">
      <w:start w:val="1"/>
      <w:numFmt w:val="decimal"/>
      <w:isLgl/>
      <w:lvlText w:val="%1.%2.%3.%4.%5.%6.%7.%8.%9"/>
      <w:lvlJc w:val="left"/>
      <w:pPr>
        <w:ind w:left="2160" w:hanging="1800"/>
      </w:pPr>
      <w:rPr>
        <w:rFonts w:ascii="Helvetica" w:hAnsi="Helvetica" w:cs="Times New Roman" w:hint="default"/>
      </w:rPr>
    </w:lvl>
  </w:abstractNum>
  <w:abstractNum w:abstractNumId="15" w15:restartNumberingAfterBreak="0">
    <w:nsid w:val="1133744B"/>
    <w:multiLevelType w:val="hybridMultilevel"/>
    <w:tmpl w:val="6438561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731114"/>
    <w:multiLevelType w:val="hybridMultilevel"/>
    <w:tmpl w:val="B4FCCAE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FF6F19"/>
    <w:multiLevelType w:val="multilevel"/>
    <w:tmpl w:val="F96673BE"/>
    <w:lvl w:ilvl="0">
      <w:start w:val="1"/>
      <w:numFmt w:val="decimal"/>
      <w:lvlText w:val="%1."/>
      <w:lvlJc w:val="left"/>
      <w:pPr>
        <w:ind w:left="720" w:hanging="360"/>
      </w:pPr>
      <w:rPr>
        <w:rFonts w:hint="default"/>
      </w:rPr>
    </w:lvl>
    <w:lvl w:ilvl="1">
      <w:start w:val="4"/>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144314C7"/>
    <w:multiLevelType w:val="hybridMultilevel"/>
    <w:tmpl w:val="B2E2356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967DD2"/>
    <w:multiLevelType w:val="hybridMultilevel"/>
    <w:tmpl w:val="1586027E"/>
    <w:lvl w:ilvl="0" w:tplc="E96ED2EA">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22" w15:restartNumberingAfterBreak="0">
    <w:nsid w:val="167A77B0"/>
    <w:multiLevelType w:val="hybridMultilevel"/>
    <w:tmpl w:val="0D8AA23A"/>
    <w:lvl w:ilvl="0" w:tplc="19F88068">
      <w:start w:val="1"/>
      <w:numFmt w:val="bullet"/>
      <w:lvlText w:val=""/>
      <w:lvlJc w:val="left"/>
      <w:pPr>
        <w:ind w:left="720" w:hanging="360"/>
      </w:pPr>
      <w:rPr>
        <w:rFonts w:ascii="Symbol" w:hAnsi="Symbol" w:hint="default"/>
        <w:b w:val="0"/>
        <w:color w:val="57825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84C4892"/>
    <w:multiLevelType w:val="hybridMultilevel"/>
    <w:tmpl w:val="BBF06EE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89956A0"/>
    <w:multiLevelType w:val="hybridMultilevel"/>
    <w:tmpl w:val="075CAC38"/>
    <w:lvl w:ilvl="0" w:tplc="19F88068">
      <w:start w:val="1"/>
      <w:numFmt w:val="bullet"/>
      <w:lvlText w:val=""/>
      <w:lvlJc w:val="left"/>
      <w:pPr>
        <w:ind w:left="720" w:hanging="360"/>
      </w:pPr>
      <w:rPr>
        <w:rFonts w:ascii="Symbol" w:hAnsi="Symbol" w:hint="default"/>
        <w:b w:val="0"/>
        <w:color w:val="57825E"/>
      </w:rPr>
    </w:lvl>
    <w:lvl w:ilvl="1" w:tplc="815C4ED2">
      <w:start w:val="1"/>
      <w:numFmt w:val="bullet"/>
      <w:lvlText w:val="o"/>
      <w:lvlJc w:val="left"/>
      <w:pPr>
        <w:ind w:left="1069" w:hanging="360"/>
      </w:pPr>
      <w:rPr>
        <w:rFonts w:ascii="Courier New" w:hAnsi="Courier New" w:cs="Courier New" w:hint="default"/>
        <w:color w:val="F07E31"/>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9A46A7C"/>
    <w:multiLevelType w:val="hybridMultilevel"/>
    <w:tmpl w:val="D2F8EEE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49295C"/>
    <w:multiLevelType w:val="hybridMultilevel"/>
    <w:tmpl w:val="586CBF1C"/>
    <w:lvl w:ilvl="0" w:tplc="1756B346">
      <w:start w:val="1"/>
      <w:numFmt w:val="lowerLetter"/>
      <w:lvlText w:val="%1)"/>
      <w:lvlJc w:val="left"/>
      <w:pPr>
        <w:ind w:left="720" w:hanging="360"/>
      </w:pPr>
      <w:rPr>
        <w:rFonts w:ascii="Arial" w:hAnsi="Arial" w:cs="Aria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1BC16E8F"/>
    <w:multiLevelType w:val="hybridMultilevel"/>
    <w:tmpl w:val="50BCC1DE"/>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1C122640"/>
    <w:multiLevelType w:val="hybridMultilevel"/>
    <w:tmpl w:val="D8061F8E"/>
    <w:lvl w:ilvl="0" w:tplc="D676FD1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FFC000"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1DFC7981"/>
    <w:multiLevelType w:val="multilevel"/>
    <w:tmpl w:val="6DB8B70A"/>
    <w:lvl w:ilvl="0">
      <w:start w:val="1"/>
      <w:numFmt w:val="decimal"/>
      <w:lvlText w:val="%1"/>
      <w:lvlJc w:val="left"/>
      <w:pPr>
        <w:ind w:left="432" w:hanging="432"/>
      </w:p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209659D1"/>
    <w:multiLevelType w:val="hybridMultilevel"/>
    <w:tmpl w:val="065A176A"/>
    <w:styleLink w:val="MaListe11"/>
    <w:lvl w:ilvl="0" w:tplc="3CF4E314">
      <w:numFmt w:val="bullet"/>
      <w:lvlText w:val="-"/>
      <w:lvlJc w:val="left"/>
      <w:pPr>
        <w:ind w:left="360" w:hanging="360"/>
      </w:pPr>
      <w:rPr>
        <w:rFonts w:ascii="Arial" w:eastAsia="Times New Roman" w:hAnsi="Arial" w:cs="Arial" w:hint="default"/>
        <w:color w:val="373737"/>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253E7F11"/>
    <w:multiLevelType w:val="hybridMultilevel"/>
    <w:tmpl w:val="B5588146"/>
    <w:lvl w:ilvl="0" w:tplc="32DC940A">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3" w15:restartNumberingAfterBreak="0">
    <w:nsid w:val="25BB2DAE"/>
    <w:multiLevelType w:val="hybridMultilevel"/>
    <w:tmpl w:val="2E5E2F7C"/>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624918"/>
    <w:multiLevelType w:val="hybridMultilevel"/>
    <w:tmpl w:val="28CC8C46"/>
    <w:lvl w:ilvl="0" w:tplc="D682C35C">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704C1E"/>
    <w:multiLevelType w:val="hybridMultilevel"/>
    <w:tmpl w:val="DD103524"/>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000000"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7465188"/>
    <w:multiLevelType w:val="hybridMultilevel"/>
    <w:tmpl w:val="FFAE6D38"/>
    <w:styleLink w:val="MaListe2"/>
    <w:lvl w:ilvl="0" w:tplc="EC10AAAC">
      <w:start w:val="1"/>
      <w:numFmt w:val="bullet"/>
      <w:lvlText w:val=""/>
      <w:lvlJc w:val="left"/>
      <w:pPr>
        <w:ind w:left="360" w:hanging="360"/>
      </w:pPr>
      <w:rPr>
        <w:rFonts w:ascii="Symbol" w:hAnsi="Symbol"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86A11E0"/>
    <w:multiLevelType w:val="hybridMultilevel"/>
    <w:tmpl w:val="A516C7C8"/>
    <w:lvl w:ilvl="0" w:tplc="19F88068">
      <w:start w:val="1"/>
      <w:numFmt w:val="bullet"/>
      <w:lvlText w:val=""/>
      <w:lvlJc w:val="left"/>
      <w:pPr>
        <w:ind w:left="928" w:hanging="360"/>
      </w:pPr>
      <w:rPr>
        <w:rFonts w:ascii="Symbol" w:hAnsi="Symbol" w:hint="default"/>
        <w:b w:val="0"/>
        <w:color w:val="57825E"/>
      </w:rPr>
    </w:lvl>
    <w:lvl w:ilvl="1" w:tplc="041B0003" w:tentative="1">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40" w15:restartNumberingAfterBreak="0">
    <w:nsid w:val="2894707C"/>
    <w:multiLevelType w:val="hybridMultilevel"/>
    <w:tmpl w:val="376ED63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3D77C8"/>
    <w:multiLevelType w:val="hybridMultilevel"/>
    <w:tmpl w:val="5D5AC50E"/>
    <w:lvl w:ilvl="0" w:tplc="451CA430">
      <w:start w:val="1"/>
      <w:numFmt w:val="bullet"/>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2E1F1718"/>
    <w:multiLevelType w:val="multilevel"/>
    <w:tmpl w:val="9E6E523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2F837949"/>
    <w:multiLevelType w:val="hybridMultilevel"/>
    <w:tmpl w:val="7A5EC86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08C2F18"/>
    <w:multiLevelType w:val="hybridMultilevel"/>
    <w:tmpl w:val="5D4A425A"/>
    <w:lvl w:ilvl="0" w:tplc="FC4A4DC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10547BD"/>
    <w:multiLevelType w:val="hybridMultilevel"/>
    <w:tmpl w:val="5628C4EC"/>
    <w:styleLink w:val="MaListe1"/>
    <w:lvl w:ilvl="0" w:tplc="222EA85A">
      <w:start w:val="1"/>
      <w:numFmt w:val="decimal"/>
      <w:pStyle w:val="HHeadingfigures"/>
      <w:lvlText w:val="Figure %1."/>
      <w:lvlJc w:val="left"/>
      <w:pPr>
        <w:tabs>
          <w:tab w:val="num" w:pos="964"/>
        </w:tabs>
        <w:ind w:left="964" w:hanging="964"/>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31AA784A"/>
    <w:multiLevelType w:val="hybridMultilevel"/>
    <w:tmpl w:val="73A0446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ED1ACE"/>
    <w:multiLevelType w:val="hybridMultilevel"/>
    <w:tmpl w:val="CD6645CA"/>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38D68EF"/>
    <w:multiLevelType w:val="hybridMultilevel"/>
    <w:tmpl w:val="D58C00F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39508B9"/>
    <w:multiLevelType w:val="hybridMultilevel"/>
    <w:tmpl w:val="93EC56A0"/>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E063E2"/>
    <w:multiLevelType w:val="hybridMultilevel"/>
    <w:tmpl w:val="353CA438"/>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2" w15:restartNumberingAfterBreak="0">
    <w:nsid w:val="35820841"/>
    <w:multiLevelType w:val="hybridMultilevel"/>
    <w:tmpl w:val="57B299EE"/>
    <w:lvl w:ilvl="0" w:tplc="041B0015">
      <w:start w:val="1"/>
      <w:numFmt w:val="upp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35B17A51"/>
    <w:multiLevelType w:val="hybridMultilevel"/>
    <w:tmpl w:val="B5260C7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B97E50"/>
    <w:multiLevelType w:val="hybridMultilevel"/>
    <w:tmpl w:val="B53AFBD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38F839AF"/>
    <w:multiLevelType w:val="hybridMultilevel"/>
    <w:tmpl w:val="9332567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3B9D32B5"/>
    <w:multiLevelType w:val="hybridMultilevel"/>
    <w:tmpl w:val="55D2D8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1018AE8C">
      <w:start w:val="1"/>
      <w:numFmt w:val="bullet"/>
      <w:lvlText w:val="o"/>
      <w:lvlJc w:val="left"/>
      <w:pPr>
        <w:ind w:left="1211" w:hanging="360"/>
      </w:pPr>
      <w:rPr>
        <w:rFonts w:ascii="Courier New" w:hAnsi="Courier New" w:hint="default"/>
        <w:b w:val="0"/>
        <w:color w:val="6F6F6F"/>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BBC6932"/>
    <w:multiLevelType w:val="hybridMultilevel"/>
    <w:tmpl w:val="A32A14BE"/>
    <w:lvl w:ilvl="0" w:tplc="58228422">
      <w:start w:val="1"/>
      <w:numFmt w:val="bullet"/>
      <w:pStyle w:val="Hlistbullet"/>
      <w:lvlText w:val=""/>
      <w:lvlJc w:val="left"/>
      <w:pPr>
        <w:ind w:left="644"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E4069F6"/>
    <w:multiLevelType w:val="hybridMultilevel"/>
    <w:tmpl w:val="9A58CBF8"/>
    <w:lvl w:ilvl="0" w:tplc="080C000F">
      <w:start w:val="1"/>
      <w:numFmt w:val="decimal"/>
      <w:lvlText w:val="%1."/>
      <w:lvlJc w:val="left"/>
      <w:pPr>
        <w:tabs>
          <w:tab w:val="num" w:pos="644"/>
        </w:tabs>
        <w:ind w:left="567"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E8777F1"/>
    <w:multiLevelType w:val="hybridMultilevel"/>
    <w:tmpl w:val="7B8418E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FE60C9C"/>
    <w:multiLevelType w:val="hybridMultilevel"/>
    <w:tmpl w:val="C614772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0DB5C2A"/>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41133071"/>
    <w:multiLevelType w:val="hybridMultilevel"/>
    <w:tmpl w:val="8AA2E132"/>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42A74F4C"/>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43A72027"/>
    <w:multiLevelType w:val="hybridMultilevel"/>
    <w:tmpl w:val="922C0FD8"/>
    <w:lvl w:ilvl="0" w:tplc="3AFE8D7E">
      <w:start w:val="1"/>
      <w:numFmt w:val="decimal"/>
      <w:pStyle w:val="HHeadingtables"/>
      <w:lvlText w:val="Tabelle %1."/>
      <w:lvlJc w:val="left"/>
      <w:pPr>
        <w:ind w:left="644" w:hanging="360"/>
      </w:pPr>
      <w:rPr>
        <w:rFonts w:ascii="Arial" w:hAnsi="Arial" w:cs="Times New Roman" w:hint="default"/>
        <w:b/>
        <w:bCs w:val="0"/>
        <w:i w:val="0"/>
        <w:iCs w:val="0"/>
        <w:caps w:val="0"/>
        <w:smallCaps w:val="0"/>
        <w:strike w:val="0"/>
        <w:dstrike w:val="0"/>
        <w:noProof w:val="0"/>
        <w:vanish w:val="0"/>
        <w:color w:val="6F6F6F"/>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65" w15:restartNumberingAfterBreak="0">
    <w:nsid w:val="440E0359"/>
    <w:multiLevelType w:val="hybridMultilevel"/>
    <w:tmpl w:val="5AD0635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46D44EA"/>
    <w:multiLevelType w:val="hybridMultilevel"/>
    <w:tmpl w:val="C306574C"/>
    <w:lvl w:ilvl="0" w:tplc="9ACAE082">
      <w:start w:val="1"/>
      <w:numFmt w:val="bullet"/>
      <w:lvlText w:val=""/>
      <w:lvlJc w:val="left"/>
      <w:pPr>
        <w:ind w:left="720" w:hanging="360"/>
      </w:pPr>
      <w:rPr>
        <w:rFonts w:ascii="Symbol" w:hAnsi="Symbol" w:hint="default"/>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45C7219B"/>
    <w:multiLevelType w:val="hybridMultilevel"/>
    <w:tmpl w:val="056C6044"/>
    <w:lvl w:ilvl="0" w:tplc="19F88068">
      <w:start w:val="1"/>
      <w:numFmt w:val="bullet"/>
      <w:lvlText w:val=""/>
      <w:lvlJc w:val="left"/>
      <w:pPr>
        <w:ind w:left="233" w:hanging="360"/>
      </w:pPr>
      <w:rPr>
        <w:rFonts w:ascii="Symbol" w:hAnsi="Symbol" w:hint="default"/>
        <w:b w:val="0"/>
        <w:color w:val="57825E"/>
      </w:rPr>
    </w:lvl>
    <w:lvl w:ilvl="1" w:tplc="0C0A0003">
      <w:start w:val="1"/>
      <w:numFmt w:val="bullet"/>
      <w:lvlText w:val="o"/>
      <w:lvlJc w:val="left"/>
      <w:pPr>
        <w:ind w:left="1029" w:hanging="360"/>
      </w:pPr>
      <w:rPr>
        <w:rFonts w:ascii="Courier New" w:hAnsi="Courier New" w:cs="Courier New" w:hint="default"/>
      </w:rPr>
    </w:lvl>
    <w:lvl w:ilvl="2" w:tplc="0C0A0005" w:tentative="1">
      <w:start w:val="1"/>
      <w:numFmt w:val="bullet"/>
      <w:lvlText w:val=""/>
      <w:lvlJc w:val="left"/>
      <w:pPr>
        <w:ind w:left="1749" w:hanging="360"/>
      </w:pPr>
      <w:rPr>
        <w:rFonts w:ascii="Wingdings" w:hAnsi="Wingdings" w:hint="default"/>
      </w:rPr>
    </w:lvl>
    <w:lvl w:ilvl="3" w:tplc="0C0A0001" w:tentative="1">
      <w:start w:val="1"/>
      <w:numFmt w:val="bullet"/>
      <w:lvlText w:val=""/>
      <w:lvlJc w:val="left"/>
      <w:pPr>
        <w:ind w:left="2469" w:hanging="360"/>
      </w:pPr>
      <w:rPr>
        <w:rFonts w:ascii="Symbol" w:hAnsi="Symbol" w:hint="default"/>
      </w:rPr>
    </w:lvl>
    <w:lvl w:ilvl="4" w:tplc="0C0A0003" w:tentative="1">
      <w:start w:val="1"/>
      <w:numFmt w:val="bullet"/>
      <w:lvlText w:val="o"/>
      <w:lvlJc w:val="left"/>
      <w:pPr>
        <w:ind w:left="3189" w:hanging="360"/>
      </w:pPr>
      <w:rPr>
        <w:rFonts w:ascii="Courier New" w:hAnsi="Courier New" w:cs="Courier New" w:hint="default"/>
      </w:rPr>
    </w:lvl>
    <w:lvl w:ilvl="5" w:tplc="0C0A0005" w:tentative="1">
      <w:start w:val="1"/>
      <w:numFmt w:val="bullet"/>
      <w:lvlText w:val=""/>
      <w:lvlJc w:val="left"/>
      <w:pPr>
        <w:ind w:left="3909" w:hanging="360"/>
      </w:pPr>
      <w:rPr>
        <w:rFonts w:ascii="Wingdings" w:hAnsi="Wingdings" w:hint="default"/>
      </w:rPr>
    </w:lvl>
    <w:lvl w:ilvl="6" w:tplc="0C0A0001" w:tentative="1">
      <w:start w:val="1"/>
      <w:numFmt w:val="bullet"/>
      <w:lvlText w:val=""/>
      <w:lvlJc w:val="left"/>
      <w:pPr>
        <w:ind w:left="4629" w:hanging="360"/>
      </w:pPr>
      <w:rPr>
        <w:rFonts w:ascii="Symbol" w:hAnsi="Symbol" w:hint="default"/>
      </w:rPr>
    </w:lvl>
    <w:lvl w:ilvl="7" w:tplc="0C0A0003" w:tentative="1">
      <w:start w:val="1"/>
      <w:numFmt w:val="bullet"/>
      <w:lvlText w:val="o"/>
      <w:lvlJc w:val="left"/>
      <w:pPr>
        <w:ind w:left="5349" w:hanging="360"/>
      </w:pPr>
      <w:rPr>
        <w:rFonts w:ascii="Courier New" w:hAnsi="Courier New" w:cs="Courier New" w:hint="default"/>
      </w:rPr>
    </w:lvl>
    <w:lvl w:ilvl="8" w:tplc="0C0A0005" w:tentative="1">
      <w:start w:val="1"/>
      <w:numFmt w:val="bullet"/>
      <w:lvlText w:val=""/>
      <w:lvlJc w:val="left"/>
      <w:pPr>
        <w:ind w:left="6069" w:hanging="360"/>
      </w:pPr>
      <w:rPr>
        <w:rFonts w:ascii="Wingdings" w:hAnsi="Wingdings" w:hint="default"/>
      </w:rPr>
    </w:lvl>
  </w:abstractNum>
  <w:abstractNum w:abstractNumId="68" w15:restartNumberingAfterBreak="0">
    <w:nsid w:val="47321CEC"/>
    <w:multiLevelType w:val="hybridMultilevel"/>
    <w:tmpl w:val="67A48DD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7486776"/>
    <w:multiLevelType w:val="hybridMultilevel"/>
    <w:tmpl w:val="E6D404F4"/>
    <w:styleLink w:val="1111111"/>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7F8294A"/>
    <w:multiLevelType w:val="hybridMultilevel"/>
    <w:tmpl w:val="C256F138"/>
    <w:lvl w:ilvl="0" w:tplc="080C000F">
      <w:start w:val="1"/>
      <w:numFmt w:val="decimal"/>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49224E69"/>
    <w:multiLevelType w:val="hybridMultilevel"/>
    <w:tmpl w:val="6998647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4A990DBB"/>
    <w:multiLevelType w:val="hybridMultilevel"/>
    <w:tmpl w:val="2BACE0C6"/>
    <w:lvl w:ilvl="0" w:tplc="8B1EA1A2">
      <w:start w:val="2"/>
      <w:numFmt w:val="decimal"/>
      <w:lvlText w:val="Figure %1"/>
      <w:lvlJc w:val="left"/>
      <w:pPr>
        <w:ind w:left="360"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73" w15:restartNumberingAfterBreak="0">
    <w:nsid w:val="4C06418D"/>
    <w:multiLevelType w:val="hybridMultilevel"/>
    <w:tmpl w:val="092C4B7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C663347"/>
    <w:multiLevelType w:val="hybridMultilevel"/>
    <w:tmpl w:val="35F8E64E"/>
    <w:lvl w:ilvl="0" w:tplc="9FF4DBA8">
      <w:start w:val="1"/>
      <w:numFmt w:val="bullet"/>
      <w:pStyle w:val="Hlistbullet2"/>
      <w:lvlText w:val="o"/>
      <w:lvlJc w:val="left"/>
      <w:pPr>
        <w:ind w:left="927" w:hanging="360"/>
      </w:pPr>
      <w:rPr>
        <w:rFonts w:ascii="Courier New" w:hAnsi="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E666CB3"/>
    <w:multiLevelType w:val="hybridMultilevel"/>
    <w:tmpl w:val="C88642F4"/>
    <w:lvl w:ilvl="0" w:tplc="04F8FAD0">
      <w:start w:val="1"/>
      <w:numFmt w:val="bullet"/>
      <w:lvlText w:val=""/>
      <w:lvlJc w:val="left"/>
      <w:pPr>
        <w:ind w:left="720" w:hanging="360"/>
      </w:pPr>
      <w:rPr>
        <w:rFonts w:ascii="Symbol" w:hAnsi="Symbol" w:hint="default"/>
        <w:color w:val="57825E"/>
      </w:rPr>
    </w:lvl>
    <w:lvl w:ilvl="1" w:tplc="1BBC3D0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3B45F1E"/>
    <w:multiLevelType w:val="hybridMultilevel"/>
    <w:tmpl w:val="7496236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3B9325D"/>
    <w:multiLevelType w:val="hybridMultilevel"/>
    <w:tmpl w:val="3F7CF02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49766DA"/>
    <w:multiLevelType w:val="hybridMultilevel"/>
    <w:tmpl w:val="2BD858C0"/>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15:restartNumberingAfterBreak="0">
    <w:nsid w:val="54A9135C"/>
    <w:multiLevelType w:val="hybridMultilevel"/>
    <w:tmpl w:val="FC12F41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4BD0BEC"/>
    <w:multiLevelType w:val="singleLevel"/>
    <w:tmpl w:val="72D6F376"/>
    <w:lvl w:ilvl="0">
      <w:numFmt w:val="decimal"/>
      <w:lvlText w:val=""/>
      <w:lvlJc w:val="left"/>
    </w:lvl>
  </w:abstractNum>
  <w:abstractNum w:abstractNumId="81" w15:restartNumberingAfterBreak="0">
    <w:nsid w:val="54E945CD"/>
    <w:multiLevelType w:val="hybridMultilevel"/>
    <w:tmpl w:val="1D92E8BE"/>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502047D"/>
    <w:multiLevelType w:val="hybridMultilevel"/>
    <w:tmpl w:val="AEC89BBC"/>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54873BA"/>
    <w:multiLevelType w:val="hybridMultilevel"/>
    <w:tmpl w:val="C9D69012"/>
    <w:lvl w:ilvl="0" w:tplc="D370F804">
      <w:start w:val="1"/>
      <w:numFmt w:val="bullet"/>
      <w:lvlText w:val=""/>
      <w:lvlJc w:val="left"/>
      <w:pPr>
        <w:ind w:left="786"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70E03BF"/>
    <w:multiLevelType w:val="hybridMultilevel"/>
    <w:tmpl w:val="D428C23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800382B"/>
    <w:multiLevelType w:val="hybridMultilevel"/>
    <w:tmpl w:val="10D8A58A"/>
    <w:lvl w:ilvl="0" w:tplc="9DFAE80C">
      <w:start w:val="1"/>
      <w:numFmt w:val="decimal"/>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86" w15:restartNumberingAfterBreak="0">
    <w:nsid w:val="58B972A6"/>
    <w:multiLevelType w:val="multilevel"/>
    <w:tmpl w:val="97A0497A"/>
    <w:lvl w:ilvl="0">
      <w:start w:val="1"/>
      <w:numFmt w:val="decimal"/>
      <w:lvlText w:val="%1"/>
      <w:lvlJc w:val="left"/>
      <w:pPr>
        <w:tabs>
          <w:tab w:val="num" w:pos="474"/>
        </w:tabs>
        <w:ind w:left="262" w:hanging="148"/>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7" w15:restartNumberingAfterBreak="0">
    <w:nsid w:val="596C4FB4"/>
    <w:multiLevelType w:val="hybridMultilevel"/>
    <w:tmpl w:val="0E006A16"/>
    <w:lvl w:ilvl="0" w:tplc="3DC41A04">
      <w:start w:val="1"/>
      <w:numFmt w:val="bullet"/>
      <w:lvlText w:val="o"/>
      <w:lvlJc w:val="left"/>
      <w:pPr>
        <w:ind w:left="1346" w:hanging="360"/>
      </w:pPr>
      <w:rPr>
        <w:rFonts w:ascii="Courier New" w:hAnsi="Courier New" w:hint="default"/>
        <w:color w:val="6F6F6F"/>
      </w:rPr>
    </w:lvl>
    <w:lvl w:ilvl="1" w:tplc="041B0003" w:tentative="1">
      <w:start w:val="1"/>
      <w:numFmt w:val="bullet"/>
      <w:lvlText w:val="o"/>
      <w:lvlJc w:val="left"/>
      <w:pPr>
        <w:ind w:left="2066" w:hanging="360"/>
      </w:pPr>
      <w:rPr>
        <w:rFonts w:ascii="Courier New" w:hAnsi="Courier New" w:cs="Courier New" w:hint="default"/>
      </w:rPr>
    </w:lvl>
    <w:lvl w:ilvl="2" w:tplc="041B0005" w:tentative="1">
      <w:start w:val="1"/>
      <w:numFmt w:val="bullet"/>
      <w:lvlText w:val=""/>
      <w:lvlJc w:val="left"/>
      <w:pPr>
        <w:ind w:left="2786" w:hanging="360"/>
      </w:pPr>
      <w:rPr>
        <w:rFonts w:ascii="Wingdings" w:hAnsi="Wingdings" w:hint="default"/>
      </w:rPr>
    </w:lvl>
    <w:lvl w:ilvl="3" w:tplc="041B0001" w:tentative="1">
      <w:start w:val="1"/>
      <w:numFmt w:val="bullet"/>
      <w:lvlText w:val=""/>
      <w:lvlJc w:val="left"/>
      <w:pPr>
        <w:ind w:left="3506" w:hanging="360"/>
      </w:pPr>
      <w:rPr>
        <w:rFonts w:ascii="Symbol" w:hAnsi="Symbol" w:hint="default"/>
      </w:rPr>
    </w:lvl>
    <w:lvl w:ilvl="4" w:tplc="041B0003" w:tentative="1">
      <w:start w:val="1"/>
      <w:numFmt w:val="bullet"/>
      <w:lvlText w:val="o"/>
      <w:lvlJc w:val="left"/>
      <w:pPr>
        <w:ind w:left="4226" w:hanging="360"/>
      </w:pPr>
      <w:rPr>
        <w:rFonts w:ascii="Courier New" w:hAnsi="Courier New" w:cs="Courier New" w:hint="default"/>
      </w:rPr>
    </w:lvl>
    <w:lvl w:ilvl="5" w:tplc="041B0005" w:tentative="1">
      <w:start w:val="1"/>
      <w:numFmt w:val="bullet"/>
      <w:lvlText w:val=""/>
      <w:lvlJc w:val="left"/>
      <w:pPr>
        <w:ind w:left="4946" w:hanging="360"/>
      </w:pPr>
      <w:rPr>
        <w:rFonts w:ascii="Wingdings" w:hAnsi="Wingdings" w:hint="default"/>
      </w:rPr>
    </w:lvl>
    <w:lvl w:ilvl="6" w:tplc="041B0001" w:tentative="1">
      <w:start w:val="1"/>
      <w:numFmt w:val="bullet"/>
      <w:lvlText w:val=""/>
      <w:lvlJc w:val="left"/>
      <w:pPr>
        <w:ind w:left="5666" w:hanging="360"/>
      </w:pPr>
      <w:rPr>
        <w:rFonts w:ascii="Symbol" w:hAnsi="Symbol" w:hint="default"/>
      </w:rPr>
    </w:lvl>
    <w:lvl w:ilvl="7" w:tplc="041B0003" w:tentative="1">
      <w:start w:val="1"/>
      <w:numFmt w:val="bullet"/>
      <w:lvlText w:val="o"/>
      <w:lvlJc w:val="left"/>
      <w:pPr>
        <w:ind w:left="6386" w:hanging="360"/>
      </w:pPr>
      <w:rPr>
        <w:rFonts w:ascii="Courier New" w:hAnsi="Courier New" w:cs="Courier New" w:hint="default"/>
      </w:rPr>
    </w:lvl>
    <w:lvl w:ilvl="8" w:tplc="041B0005" w:tentative="1">
      <w:start w:val="1"/>
      <w:numFmt w:val="bullet"/>
      <w:lvlText w:val=""/>
      <w:lvlJc w:val="left"/>
      <w:pPr>
        <w:ind w:left="7106" w:hanging="360"/>
      </w:pPr>
      <w:rPr>
        <w:rFonts w:ascii="Wingdings" w:hAnsi="Wingdings" w:hint="default"/>
      </w:rPr>
    </w:lvl>
  </w:abstractNum>
  <w:abstractNum w:abstractNumId="88" w15:restartNumberingAfterBreak="0">
    <w:nsid w:val="5B534780"/>
    <w:multiLevelType w:val="hybridMultilevel"/>
    <w:tmpl w:val="6B143708"/>
    <w:lvl w:ilvl="0" w:tplc="856277F8">
      <w:start w:val="1"/>
      <w:numFmt w:val="bullet"/>
      <w:lvlText w:val=""/>
      <w:lvlJc w:val="left"/>
      <w:pPr>
        <w:ind w:left="720" w:hanging="360"/>
      </w:pPr>
      <w:rPr>
        <w:rFonts w:ascii="Symbol" w:hAnsi="Symbol" w:hint="default"/>
        <w:color w:val="57825E"/>
        <w:sz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5B94771E"/>
    <w:multiLevelType w:val="hybridMultilevel"/>
    <w:tmpl w:val="F4A049B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BB74C2B"/>
    <w:multiLevelType w:val="hybridMultilevel"/>
    <w:tmpl w:val="972E6AD0"/>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D7E6AE3"/>
    <w:multiLevelType w:val="hybridMultilevel"/>
    <w:tmpl w:val="A1164C12"/>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F79730C"/>
    <w:multiLevelType w:val="hybridMultilevel"/>
    <w:tmpl w:val="F9D6390A"/>
    <w:lvl w:ilvl="0" w:tplc="0E4CE200">
      <w:start w:val="1"/>
      <w:numFmt w:val="decimal"/>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60D46F84"/>
    <w:multiLevelType w:val="hybridMultilevel"/>
    <w:tmpl w:val="FA229D98"/>
    <w:lvl w:ilvl="0" w:tplc="19F88068">
      <w:start w:val="1"/>
      <w:numFmt w:val="bullet"/>
      <w:lvlText w:val=""/>
      <w:lvlJc w:val="left"/>
      <w:pPr>
        <w:ind w:left="720" w:hanging="360"/>
      </w:pPr>
      <w:rPr>
        <w:rFonts w:ascii="Symbol" w:hAnsi="Symbol" w:hint="default"/>
        <w:b w:val="0"/>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60E6226F"/>
    <w:multiLevelType w:val="hybridMultilevel"/>
    <w:tmpl w:val="12D03418"/>
    <w:lvl w:ilvl="0" w:tplc="D370F804">
      <w:start w:val="1"/>
      <w:numFmt w:val="bullet"/>
      <w:lvlText w:val=""/>
      <w:lvlJc w:val="left"/>
      <w:pPr>
        <w:ind w:left="720" w:hanging="360"/>
      </w:pPr>
      <w:rPr>
        <w:rFonts w:ascii="Symbol" w:hAnsi="Symbol" w:hint="default"/>
        <w:color w:val="57825E"/>
      </w:rPr>
    </w:lvl>
    <w:lvl w:ilvl="1" w:tplc="8E2A8284">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0E86B2F"/>
    <w:multiLevelType w:val="hybridMultilevel"/>
    <w:tmpl w:val="4DC62D2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0F5675E"/>
    <w:multiLevelType w:val="hybridMultilevel"/>
    <w:tmpl w:val="CE2AA926"/>
    <w:lvl w:ilvl="0" w:tplc="9620B144">
      <w:start w:val="1"/>
      <w:numFmt w:val="decimal"/>
      <w:lvlText w:val="Figure %1."/>
      <w:lvlJc w:val="left"/>
      <w:pPr>
        <w:ind w:left="720" w:hanging="720"/>
      </w:pPr>
      <w:rPr>
        <w:rFonts w:ascii="Arial" w:hAnsi="Arial" w:cs="Arial" w:hint="default"/>
        <w:sz w:val="18"/>
        <w:szCs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7" w15:restartNumberingAfterBreak="0">
    <w:nsid w:val="614B4869"/>
    <w:multiLevelType w:val="hybridMultilevel"/>
    <w:tmpl w:val="94D06336"/>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5C0517A"/>
    <w:multiLevelType w:val="hybridMultilevel"/>
    <w:tmpl w:val="DFE01904"/>
    <w:lvl w:ilvl="0" w:tplc="856277F8">
      <w:start w:val="1"/>
      <w:numFmt w:val="bullet"/>
      <w:lvlText w:val=""/>
      <w:lvlJc w:val="left"/>
      <w:pPr>
        <w:ind w:left="720" w:hanging="360"/>
      </w:pPr>
      <w:rPr>
        <w:rFonts w:ascii="Symbol" w:hAnsi="Symbol" w:hint="default"/>
        <w:b w:val="0"/>
        <w:color w:val="57825E"/>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5E42A7E"/>
    <w:multiLevelType w:val="hybridMultilevel"/>
    <w:tmpl w:val="9E92BDA6"/>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5E71B08"/>
    <w:multiLevelType w:val="hybridMultilevel"/>
    <w:tmpl w:val="500EB49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85A06D6"/>
    <w:multiLevelType w:val="hybridMultilevel"/>
    <w:tmpl w:val="74C2C470"/>
    <w:lvl w:ilvl="0" w:tplc="8F4488EC">
      <w:start w:val="1"/>
      <w:numFmt w:val="decimal"/>
      <w:lvlText w:val="3.1.%1."/>
      <w:lvlJc w:val="left"/>
      <w:pPr>
        <w:ind w:left="-351" w:hanging="360"/>
      </w:pPr>
      <w:rPr>
        <w:rFonts w:hint="default"/>
      </w:rPr>
    </w:lvl>
    <w:lvl w:ilvl="1" w:tplc="040C0019" w:tentative="1">
      <w:start w:val="1"/>
      <w:numFmt w:val="lowerLetter"/>
      <w:lvlText w:val="%2."/>
      <w:lvlJc w:val="left"/>
      <w:pPr>
        <w:ind w:left="369" w:hanging="360"/>
      </w:pPr>
    </w:lvl>
    <w:lvl w:ilvl="2" w:tplc="040C001B" w:tentative="1">
      <w:start w:val="1"/>
      <w:numFmt w:val="lowerRoman"/>
      <w:lvlText w:val="%3."/>
      <w:lvlJc w:val="right"/>
      <w:pPr>
        <w:ind w:left="1089" w:hanging="180"/>
      </w:pPr>
    </w:lvl>
    <w:lvl w:ilvl="3" w:tplc="040C000F" w:tentative="1">
      <w:start w:val="1"/>
      <w:numFmt w:val="decimal"/>
      <w:lvlText w:val="%4."/>
      <w:lvlJc w:val="left"/>
      <w:pPr>
        <w:ind w:left="1809" w:hanging="360"/>
      </w:pPr>
    </w:lvl>
    <w:lvl w:ilvl="4" w:tplc="040C0019" w:tentative="1">
      <w:start w:val="1"/>
      <w:numFmt w:val="lowerLetter"/>
      <w:lvlText w:val="%5."/>
      <w:lvlJc w:val="left"/>
      <w:pPr>
        <w:ind w:left="2529" w:hanging="360"/>
      </w:pPr>
    </w:lvl>
    <w:lvl w:ilvl="5" w:tplc="040C001B" w:tentative="1">
      <w:start w:val="1"/>
      <w:numFmt w:val="lowerRoman"/>
      <w:lvlText w:val="%6."/>
      <w:lvlJc w:val="right"/>
      <w:pPr>
        <w:ind w:left="3249" w:hanging="180"/>
      </w:pPr>
    </w:lvl>
    <w:lvl w:ilvl="6" w:tplc="040C000F" w:tentative="1">
      <w:start w:val="1"/>
      <w:numFmt w:val="decimal"/>
      <w:lvlText w:val="%7."/>
      <w:lvlJc w:val="left"/>
      <w:pPr>
        <w:ind w:left="3969" w:hanging="360"/>
      </w:pPr>
    </w:lvl>
    <w:lvl w:ilvl="7" w:tplc="040C0019" w:tentative="1">
      <w:start w:val="1"/>
      <w:numFmt w:val="lowerLetter"/>
      <w:lvlText w:val="%8."/>
      <w:lvlJc w:val="left"/>
      <w:pPr>
        <w:ind w:left="4689" w:hanging="360"/>
      </w:pPr>
    </w:lvl>
    <w:lvl w:ilvl="8" w:tplc="040C001B" w:tentative="1">
      <w:start w:val="1"/>
      <w:numFmt w:val="lowerRoman"/>
      <w:lvlText w:val="%9."/>
      <w:lvlJc w:val="right"/>
      <w:pPr>
        <w:ind w:left="5409" w:hanging="180"/>
      </w:pPr>
    </w:lvl>
  </w:abstractNum>
  <w:abstractNum w:abstractNumId="102"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3" w15:restartNumberingAfterBreak="0">
    <w:nsid w:val="6A8414DE"/>
    <w:multiLevelType w:val="hybridMultilevel"/>
    <w:tmpl w:val="42EA82F8"/>
    <w:lvl w:ilvl="0" w:tplc="04F8FAD0">
      <w:start w:val="1"/>
      <w:numFmt w:val="bullet"/>
      <w:lvlText w:val=""/>
      <w:lvlJc w:val="left"/>
      <w:pPr>
        <w:ind w:left="720" w:hanging="360"/>
      </w:pPr>
      <w:rPr>
        <w:rFonts w:ascii="Symbol" w:hAnsi="Symbol" w:hint="default"/>
        <w:color w:val="57825E"/>
      </w:rPr>
    </w:lvl>
    <w:lvl w:ilvl="1" w:tplc="C6727AD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AF80D1A"/>
    <w:multiLevelType w:val="hybridMultilevel"/>
    <w:tmpl w:val="C3063384"/>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B8649F6"/>
    <w:multiLevelType w:val="hybridMultilevel"/>
    <w:tmpl w:val="3DA2C9EA"/>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EB7292D"/>
    <w:multiLevelType w:val="hybridMultilevel"/>
    <w:tmpl w:val="40EAC38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70400FB1"/>
    <w:multiLevelType w:val="hybridMultilevel"/>
    <w:tmpl w:val="221E570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10476E0"/>
    <w:multiLevelType w:val="hybridMultilevel"/>
    <w:tmpl w:val="E078F38C"/>
    <w:lvl w:ilvl="0" w:tplc="056C506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15049D7"/>
    <w:multiLevelType w:val="hybridMultilevel"/>
    <w:tmpl w:val="E11C8244"/>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3E31B34"/>
    <w:multiLevelType w:val="hybridMultilevel"/>
    <w:tmpl w:val="BAEA5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19F88068">
      <w:start w:val="1"/>
      <w:numFmt w:val="bullet"/>
      <w:lvlText w:val=""/>
      <w:lvlJc w:val="left"/>
      <w:pPr>
        <w:ind w:left="644" w:hanging="360"/>
      </w:pPr>
      <w:rPr>
        <w:rFonts w:ascii="Symbol" w:hAnsi="Symbol" w:hint="default"/>
        <w:b w:val="0"/>
        <w:color w:val="57825E"/>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4DA29D5"/>
    <w:multiLevelType w:val="hybridMultilevel"/>
    <w:tmpl w:val="363622A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54F2AD8"/>
    <w:multiLevelType w:val="hybridMultilevel"/>
    <w:tmpl w:val="C14AB89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5B27B66"/>
    <w:multiLevelType w:val="hybridMultilevel"/>
    <w:tmpl w:val="A7FC041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73A35E5"/>
    <w:multiLevelType w:val="hybridMultilevel"/>
    <w:tmpl w:val="81725234"/>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95D33D3"/>
    <w:multiLevelType w:val="multilevel"/>
    <w:tmpl w:val="4C5A8196"/>
    <w:lvl w:ilvl="0">
      <w:start w:val="1"/>
      <w:numFmt w:val="decimal"/>
      <w:lvlText w:val="%1"/>
      <w:lvlJc w:val="left"/>
      <w:pPr>
        <w:tabs>
          <w:tab w:val="num" w:pos="474"/>
        </w:tabs>
        <w:ind w:left="262" w:hanging="148"/>
      </w:pPr>
      <w:rPr>
        <w:rFonts w:hint="default"/>
      </w:rPr>
    </w:lvl>
    <w:lvl w:ilvl="1">
      <w:start w:val="1"/>
      <w:numFmt w:val="decimal"/>
      <w:pStyle w:val="HHeading2"/>
      <w:lvlText w:val="%1.%2"/>
      <w:lvlJc w:val="left"/>
      <w:pPr>
        <w:tabs>
          <w:tab w:val="num" w:pos="567"/>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116" w15:restartNumberingAfterBreak="0">
    <w:nsid w:val="7B803FCC"/>
    <w:multiLevelType w:val="hybridMultilevel"/>
    <w:tmpl w:val="5156C62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C257008"/>
    <w:multiLevelType w:val="hybridMultilevel"/>
    <w:tmpl w:val="5B1A4896"/>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C3303CD"/>
    <w:multiLevelType w:val="hybridMultilevel"/>
    <w:tmpl w:val="DBC83430"/>
    <w:lvl w:ilvl="0" w:tplc="19F88068">
      <w:start w:val="1"/>
      <w:numFmt w:val="bullet"/>
      <w:lvlText w:val=""/>
      <w:lvlJc w:val="left"/>
      <w:pPr>
        <w:ind w:left="720" w:hanging="360"/>
      </w:pPr>
      <w:rPr>
        <w:rFonts w:ascii="Symbol" w:hAnsi="Symbol" w:hint="default"/>
        <w:b w:val="0"/>
        <w:color w:val="57825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E752836"/>
    <w:multiLevelType w:val="hybridMultilevel"/>
    <w:tmpl w:val="0FC8E3A2"/>
    <w:lvl w:ilvl="0" w:tplc="7A1AAC92">
      <w:start w:val="1"/>
      <w:numFmt w:val="bullet"/>
      <w:pStyle w:val="Htablebullet"/>
      <w:lvlText w:val=""/>
      <w:lvlJc w:val="left"/>
      <w:pPr>
        <w:ind w:left="360" w:hanging="360"/>
      </w:pPr>
      <w:rPr>
        <w:rFonts w:ascii="Symbol" w:hAnsi="Symbol" w:hint="default"/>
        <w:color w:val="57825E"/>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57"/>
  </w:num>
  <w:num w:numId="3">
    <w:abstractNumId w:val="70"/>
  </w:num>
  <w:num w:numId="4">
    <w:abstractNumId w:val="36"/>
  </w:num>
  <w:num w:numId="5">
    <w:abstractNumId w:val="119"/>
  </w:num>
  <w:num w:numId="6">
    <w:abstractNumId w:val="115"/>
  </w:num>
  <w:num w:numId="7">
    <w:abstractNumId w:val="64"/>
  </w:num>
  <w:num w:numId="8">
    <w:abstractNumId w:val="45"/>
    <w:lvlOverride w:ilvl="0">
      <w:lvl w:ilvl="0" w:tplc="222EA85A">
        <w:start w:val="1"/>
        <w:numFmt w:val="decimal"/>
        <w:pStyle w:val="HHeadingfigures"/>
        <w:lvlText w:val="Abbildung %1."/>
        <w:lvlJc w:val="left"/>
        <w:pPr>
          <w:ind w:left="1320" w:hanging="360"/>
        </w:pPr>
        <w:rPr>
          <w:rFonts w:ascii="Arial" w:hAnsi="Arial" w:hint="default"/>
          <w:b/>
          <w:bCs w:val="0"/>
          <w:i w:val="0"/>
          <w:iCs w:val="0"/>
          <w:caps w:val="0"/>
          <w:strike w:val="0"/>
          <w:dstrike w:val="0"/>
          <w:outline w:val="0"/>
          <w:shadow w:val="0"/>
          <w:emboss w:val="0"/>
          <w:imprint w:val="0"/>
          <w:vanish w:val="0"/>
          <w:color w:val="373737"/>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tplc="04070019" w:tentative="1">
        <w:start w:val="1"/>
        <w:numFmt w:val="lowerLetter"/>
        <w:lvlText w:val="%2."/>
        <w:lvlJc w:val="left"/>
        <w:pPr>
          <w:ind w:left="1440" w:hanging="360"/>
        </w:pPr>
      </w:lvl>
    </w:lvlOverride>
    <w:lvlOverride w:ilvl="2">
      <w:lvl w:ilvl="2" w:tplc="0407001B" w:tentative="1">
        <w:start w:val="1"/>
        <w:numFmt w:val="lowerRoman"/>
        <w:lvlText w:val="%3."/>
        <w:lvlJc w:val="right"/>
        <w:pPr>
          <w:ind w:left="2160" w:hanging="180"/>
        </w:pPr>
      </w:lvl>
    </w:lvlOverride>
    <w:lvlOverride w:ilvl="3">
      <w:lvl w:ilvl="3" w:tplc="0407000F" w:tentative="1">
        <w:start w:val="1"/>
        <w:numFmt w:val="decimal"/>
        <w:lvlText w:val="%4."/>
        <w:lvlJc w:val="left"/>
        <w:pPr>
          <w:ind w:left="2880" w:hanging="360"/>
        </w:pPr>
      </w:lvl>
    </w:lvlOverride>
    <w:lvlOverride w:ilvl="4">
      <w:lvl w:ilvl="4" w:tplc="04070019" w:tentative="1">
        <w:start w:val="1"/>
        <w:numFmt w:val="lowerLetter"/>
        <w:lvlText w:val="%5."/>
        <w:lvlJc w:val="left"/>
        <w:pPr>
          <w:ind w:left="3600" w:hanging="360"/>
        </w:pPr>
      </w:lvl>
    </w:lvlOverride>
    <w:lvlOverride w:ilvl="5">
      <w:lvl w:ilvl="5" w:tplc="0407001B" w:tentative="1">
        <w:start w:val="1"/>
        <w:numFmt w:val="lowerRoman"/>
        <w:lvlText w:val="%6."/>
        <w:lvlJc w:val="right"/>
        <w:pPr>
          <w:ind w:left="4320" w:hanging="180"/>
        </w:pPr>
      </w:lvl>
    </w:lvlOverride>
    <w:lvlOverride w:ilvl="6">
      <w:lvl w:ilvl="6" w:tplc="0407000F" w:tentative="1">
        <w:start w:val="1"/>
        <w:numFmt w:val="decimal"/>
        <w:lvlText w:val="%7."/>
        <w:lvlJc w:val="left"/>
        <w:pPr>
          <w:ind w:left="5040" w:hanging="360"/>
        </w:pPr>
      </w:lvl>
    </w:lvlOverride>
    <w:lvlOverride w:ilvl="7">
      <w:lvl w:ilvl="7" w:tplc="04070019" w:tentative="1">
        <w:start w:val="1"/>
        <w:numFmt w:val="lowerLetter"/>
        <w:lvlText w:val="%8."/>
        <w:lvlJc w:val="left"/>
        <w:pPr>
          <w:ind w:left="5760" w:hanging="360"/>
        </w:pPr>
      </w:lvl>
    </w:lvlOverride>
    <w:lvlOverride w:ilvl="8">
      <w:lvl w:ilvl="8" w:tplc="0407001B" w:tentative="1">
        <w:start w:val="1"/>
        <w:numFmt w:val="lowerRoman"/>
        <w:lvlText w:val="%9."/>
        <w:lvlJc w:val="right"/>
        <w:pPr>
          <w:ind w:left="6480" w:hanging="180"/>
        </w:pPr>
      </w:lvl>
    </w:lvlOverride>
  </w:num>
  <w:num w:numId="9">
    <w:abstractNumId w:val="10"/>
  </w:num>
  <w:num w:numId="10">
    <w:abstractNumId w:val="0"/>
  </w:num>
  <w:num w:numId="11">
    <w:abstractNumId w:val="29"/>
  </w:num>
  <w:num w:numId="12">
    <w:abstractNumId w:val="74"/>
  </w:num>
  <w:num w:numId="13">
    <w:abstractNumId w:val="37"/>
  </w:num>
  <w:num w:numId="14">
    <w:abstractNumId w:val="41"/>
  </w:num>
  <w:num w:numId="15">
    <w:abstractNumId w:val="38"/>
  </w:num>
  <w:num w:numId="16">
    <w:abstractNumId w:val="67"/>
  </w:num>
  <w:num w:numId="17">
    <w:abstractNumId w:val="55"/>
  </w:num>
  <w:num w:numId="18">
    <w:abstractNumId w:val="98"/>
  </w:num>
  <w:num w:numId="19">
    <w:abstractNumId w:val="106"/>
  </w:num>
  <w:num w:numId="20">
    <w:abstractNumId w:val="22"/>
  </w:num>
  <w:num w:numId="21">
    <w:abstractNumId w:val="24"/>
  </w:num>
  <w:num w:numId="22">
    <w:abstractNumId w:val="97"/>
  </w:num>
  <w:num w:numId="23">
    <w:abstractNumId w:val="69"/>
  </w:num>
  <w:num w:numId="24">
    <w:abstractNumId w:val="39"/>
  </w:num>
  <w:num w:numId="25">
    <w:abstractNumId w:val="42"/>
  </w:num>
  <w:num w:numId="26">
    <w:abstractNumId w:val="62"/>
  </w:num>
  <w:num w:numId="27">
    <w:abstractNumId w:val="14"/>
  </w:num>
  <w:num w:numId="28">
    <w:abstractNumId w:val="50"/>
  </w:num>
  <w:num w:numId="29">
    <w:abstractNumId w:val="118"/>
  </w:num>
  <w:num w:numId="30">
    <w:abstractNumId w:val="18"/>
  </w:num>
  <w:num w:numId="31">
    <w:abstractNumId w:val="80"/>
  </w:num>
  <w:num w:numId="32">
    <w:abstractNumId w:val="72"/>
  </w:num>
  <w:num w:numId="33">
    <w:abstractNumId w:val="51"/>
  </w:num>
  <w:num w:numId="34">
    <w:abstractNumId w:val="43"/>
  </w:num>
  <w:num w:numId="35">
    <w:abstractNumId w:val="92"/>
  </w:num>
  <w:num w:numId="36">
    <w:abstractNumId w:val="26"/>
  </w:num>
  <w:num w:numId="37">
    <w:abstractNumId w:val="102"/>
  </w:num>
  <w:num w:numId="38">
    <w:abstractNumId w:val="96"/>
  </w:num>
  <w:num w:numId="39">
    <w:abstractNumId w:val="85"/>
  </w:num>
  <w:num w:numId="40">
    <w:abstractNumId w:val="93"/>
  </w:num>
  <w:num w:numId="41">
    <w:abstractNumId w:val="52"/>
  </w:num>
  <w:num w:numId="42">
    <w:abstractNumId w:val="101"/>
  </w:num>
  <w:num w:numId="43">
    <w:abstractNumId w:val="110"/>
  </w:num>
  <w:num w:numId="44">
    <w:abstractNumId w:val="56"/>
  </w:num>
  <w:num w:numId="45">
    <w:abstractNumId w:val="32"/>
  </w:num>
  <w:num w:numId="46">
    <w:abstractNumId w:val="71"/>
  </w:num>
  <w:num w:numId="47">
    <w:abstractNumId w:val="31"/>
  </w:num>
  <w:num w:numId="48">
    <w:abstractNumId w:val="87"/>
  </w:num>
  <w:num w:numId="49">
    <w:abstractNumId w:val="66"/>
  </w:num>
  <w:num w:numId="50">
    <w:abstractNumId w:val="109"/>
  </w:num>
  <w:num w:numId="51">
    <w:abstractNumId w:val="28"/>
  </w:num>
  <w:num w:numId="52">
    <w:abstractNumId w:val="17"/>
  </w:num>
  <w:num w:numId="53">
    <w:abstractNumId w:val="54"/>
  </w:num>
  <w:num w:numId="54">
    <w:abstractNumId w:val="104"/>
  </w:num>
  <w:num w:numId="55">
    <w:abstractNumId w:val="84"/>
  </w:num>
  <w:num w:numId="56">
    <w:abstractNumId w:val="47"/>
  </w:num>
  <w:num w:numId="57">
    <w:abstractNumId w:val="78"/>
  </w:num>
  <w:num w:numId="58">
    <w:abstractNumId w:val="27"/>
  </w:num>
  <w:num w:numId="59">
    <w:abstractNumId w:val="99"/>
  </w:num>
  <w:num w:numId="60">
    <w:abstractNumId w:val="23"/>
  </w:num>
  <w:num w:numId="61">
    <w:abstractNumId w:val="77"/>
  </w:num>
  <w:num w:numId="62">
    <w:abstractNumId w:val="79"/>
  </w:num>
  <w:num w:numId="63">
    <w:abstractNumId w:val="88"/>
  </w:num>
  <w:num w:numId="64">
    <w:abstractNumId w:val="46"/>
  </w:num>
  <w:num w:numId="65">
    <w:abstractNumId w:val="35"/>
  </w:num>
  <w:num w:numId="66">
    <w:abstractNumId w:val="117"/>
  </w:num>
  <w:num w:numId="67">
    <w:abstractNumId w:val="116"/>
  </w:num>
  <w:num w:numId="68">
    <w:abstractNumId w:val="107"/>
  </w:num>
  <w:num w:numId="69">
    <w:abstractNumId w:val="65"/>
  </w:num>
  <w:num w:numId="70">
    <w:abstractNumId w:val="112"/>
  </w:num>
  <w:num w:numId="71">
    <w:abstractNumId w:val="33"/>
  </w:num>
  <w:num w:numId="72">
    <w:abstractNumId w:val="94"/>
  </w:num>
  <w:num w:numId="73">
    <w:abstractNumId w:val="68"/>
  </w:num>
  <w:num w:numId="74">
    <w:abstractNumId w:val="25"/>
  </w:num>
  <w:num w:numId="75">
    <w:abstractNumId w:val="111"/>
  </w:num>
  <w:num w:numId="76">
    <w:abstractNumId w:val="60"/>
  </w:num>
  <w:num w:numId="77">
    <w:abstractNumId w:val="83"/>
  </w:num>
  <w:num w:numId="78">
    <w:abstractNumId w:val="89"/>
  </w:num>
  <w:num w:numId="79">
    <w:abstractNumId w:val="105"/>
  </w:num>
  <w:num w:numId="80">
    <w:abstractNumId w:val="76"/>
  </w:num>
  <w:num w:numId="81">
    <w:abstractNumId w:val="100"/>
  </w:num>
  <w:num w:numId="82">
    <w:abstractNumId w:val="40"/>
  </w:num>
  <w:num w:numId="83">
    <w:abstractNumId w:val="90"/>
  </w:num>
  <w:num w:numId="84">
    <w:abstractNumId w:val="4"/>
  </w:num>
  <w:num w:numId="85">
    <w:abstractNumId w:val="91"/>
  </w:num>
  <w:num w:numId="86">
    <w:abstractNumId w:val="48"/>
  </w:num>
  <w:num w:numId="87">
    <w:abstractNumId w:val="59"/>
  </w:num>
  <w:num w:numId="88">
    <w:abstractNumId w:val="103"/>
  </w:num>
  <w:num w:numId="89">
    <w:abstractNumId w:val="13"/>
  </w:num>
  <w:num w:numId="90">
    <w:abstractNumId w:val="114"/>
  </w:num>
  <w:num w:numId="91">
    <w:abstractNumId w:val="9"/>
  </w:num>
  <w:num w:numId="92">
    <w:abstractNumId w:val="49"/>
  </w:num>
  <w:num w:numId="93">
    <w:abstractNumId w:val="16"/>
  </w:num>
  <w:num w:numId="94">
    <w:abstractNumId w:val="82"/>
  </w:num>
  <w:num w:numId="95">
    <w:abstractNumId w:val="113"/>
  </w:num>
  <w:num w:numId="96">
    <w:abstractNumId w:val="11"/>
  </w:num>
  <w:num w:numId="97">
    <w:abstractNumId w:val="73"/>
  </w:num>
  <w:num w:numId="98">
    <w:abstractNumId w:val="81"/>
  </w:num>
  <w:num w:numId="99">
    <w:abstractNumId w:val="75"/>
  </w:num>
  <w:num w:numId="100">
    <w:abstractNumId w:val="15"/>
  </w:num>
  <w:num w:numId="101">
    <w:abstractNumId w:val="53"/>
  </w:num>
  <w:num w:numId="102">
    <w:abstractNumId w:val="19"/>
  </w:num>
  <w:num w:numId="103">
    <w:abstractNumId w:val="95"/>
  </w:num>
  <w:num w:numId="104">
    <w:abstractNumId w:val="108"/>
  </w:num>
  <w:num w:numId="105">
    <w:abstractNumId w:val="34"/>
  </w:num>
  <w:num w:numId="106">
    <w:abstractNumId w:val="44"/>
  </w:num>
  <w:num w:numId="107">
    <w:abstractNumId w:val="20"/>
  </w:num>
  <w:num w:numId="108">
    <w:abstractNumId w:val="3"/>
  </w:num>
  <w:num w:numId="109">
    <w:abstractNumId w:val="45"/>
  </w:num>
  <w:num w:numId="110">
    <w:abstractNumId w:val="7"/>
  </w:num>
  <w:num w:numId="111">
    <w:abstractNumId w:val="5"/>
  </w:num>
  <w:num w:numId="112">
    <w:abstractNumId w:val="6"/>
  </w:num>
  <w:num w:numId="113">
    <w:abstractNumId w:val="12"/>
  </w:num>
  <w:num w:numId="114">
    <w:abstractNumId w:val="1"/>
  </w:num>
  <w:num w:numId="115">
    <w:abstractNumId w:val="30"/>
  </w:num>
  <w:num w:numId="116">
    <w:abstractNumId w:val="61"/>
  </w:num>
  <w:num w:numId="117">
    <w:abstractNumId w:val="8"/>
  </w:num>
  <w:num w:numId="118">
    <w:abstractNumId w:val="63"/>
  </w:num>
  <w:num w:numId="119">
    <w:abstractNumId w:val="2"/>
  </w:num>
  <w:num w:numId="120">
    <w:abstractNumId w:val="86"/>
  </w:num>
  <w:num w:numId="1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8"/>
  </w:num>
  <w:num w:numId="124">
    <w:abstractNumId w:val="2"/>
    <w:lvlOverride w:ilvl="0">
      <w:startOverride w:val="2"/>
    </w:lvlOverride>
    <w:lvlOverride w:ilvl="1">
      <w:startOverride w:val="4"/>
    </w:lvlOverride>
    <w:lvlOverride w:ilvl="2">
      <w:startOverride w:val="4"/>
    </w:lvlOverride>
  </w:num>
  <w:num w:numId="125">
    <w:abstractNumId w:val="2"/>
    <w:lvlOverride w:ilvl="0">
      <w:startOverride w:val="2"/>
    </w:lvlOverride>
    <w:lvlOverride w:ilvl="1">
      <w:startOverride w:val="4"/>
    </w:lvlOverride>
    <w:lvlOverride w:ilvl="2">
      <w:startOverride w:val="5"/>
    </w:lvlOverride>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E05D08"/>
    <w:rsid w:val="000026C6"/>
    <w:rsid w:val="00015006"/>
    <w:rsid w:val="00015AA7"/>
    <w:rsid w:val="00021844"/>
    <w:rsid w:val="00021A55"/>
    <w:rsid w:val="00022CA7"/>
    <w:rsid w:val="00027AF3"/>
    <w:rsid w:val="000324A5"/>
    <w:rsid w:val="00036912"/>
    <w:rsid w:val="00037CA6"/>
    <w:rsid w:val="000520DE"/>
    <w:rsid w:val="00053109"/>
    <w:rsid w:val="00055039"/>
    <w:rsid w:val="000828C6"/>
    <w:rsid w:val="000A1399"/>
    <w:rsid w:val="000A14B3"/>
    <w:rsid w:val="000A250D"/>
    <w:rsid w:val="000A307F"/>
    <w:rsid w:val="000A43B7"/>
    <w:rsid w:val="000A6F95"/>
    <w:rsid w:val="000A718F"/>
    <w:rsid w:val="000B1654"/>
    <w:rsid w:val="000B6304"/>
    <w:rsid w:val="000D1B3B"/>
    <w:rsid w:val="000D7245"/>
    <w:rsid w:val="000E0645"/>
    <w:rsid w:val="000E0FE4"/>
    <w:rsid w:val="000E1023"/>
    <w:rsid w:val="000E1D4B"/>
    <w:rsid w:val="000E3675"/>
    <w:rsid w:val="000E5544"/>
    <w:rsid w:val="000F0497"/>
    <w:rsid w:val="000F0841"/>
    <w:rsid w:val="000F23A8"/>
    <w:rsid w:val="00110179"/>
    <w:rsid w:val="00111ADE"/>
    <w:rsid w:val="001120E4"/>
    <w:rsid w:val="001126AE"/>
    <w:rsid w:val="00116EF8"/>
    <w:rsid w:val="00122217"/>
    <w:rsid w:val="001244F9"/>
    <w:rsid w:val="00125266"/>
    <w:rsid w:val="001275FF"/>
    <w:rsid w:val="00130EA0"/>
    <w:rsid w:val="001319A0"/>
    <w:rsid w:val="001327F5"/>
    <w:rsid w:val="0013321C"/>
    <w:rsid w:val="0013661C"/>
    <w:rsid w:val="001427A5"/>
    <w:rsid w:val="00142A64"/>
    <w:rsid w:val="00151D94"/>
    <w:rsid w:val="001524F5"/>
    <w:rsid w:val="00155E3F"/>
    <w:rsid w:val="00161D7E"/>
    <w:rsid w:val="00164489"/>
    <w:rsid w:val="00165BF1"/>
    <w:rsid w:val="001744D0"/>
    <w:rsid w:val="00177C4F"/>
    <w:rsid w:val="00182DC5"/>
    <w:rsid w:val="00183733"/>
    <w:rsid w:val="00183E9B"/>
    <w:rsid w:val="001865CA"/>
    <w:rsid w:val="0018705F"/>
    <w:rsid w:val="001954EB"/>
    <w:rsid w:val="001A12C3"/>
    <w:rsid w:val="001A184E"/>
    <w:rsid w:val="001A2952"/>
    <w:rsid w:val="001A2A93"/>
    <w:rsid w:val="001A2DEC"/>
    <w:rsid w:val="001A6C7C"/>
    <w:rsid w:val="001A7B15"/>
    <w:rsid w:val="001B58A1"/>
    <w:rsid w:val="001C039D"/>
    <w:rsid w:val="001C03A3"/>
    <w:rsid w:val="001E1B68"/>
    <w:rsid w:val="001E4AE1"/>
    <w:rsid w:val="001F34F0"/>
    <w:rsid w:val="001F3D91"/>
    <w:rsid w:val="001F6140"/>
    <w:rsid w:val="001F626E"/>
    <w:rsid w:val="001F6F07"/>
    <w:rsid w:val="001F7296"/>
    <w:rsid w:val="0020060A"/>
    <w:rsid w:val="0021105B"/>
    <w:rsid w:val="00211293"/>
    <w:rsid w:val="002126B4"/>
    <w:rsid w:val="002271D9"/>
    <w:rsid w:val="00230C31"/>
    <w:rsid w:val="00232CF1"/>
    <w:rsid w:val="00235D46"/>
    <w:rsid w:val="00237EDF"/>
    <w:rsid w:val="002403DE"/>
    <w:rsid w:val="00241663"/>
    <w:rsid w:val="00253803"/>
    <w:rsid w:val="0025413B"/>
    <w:rsid w:val="00260B97"/>
    <w:rsid w:val="002803D8"/>
    <w:rsid w:val="00282948"/>
    <w:rsid w:val="00283811"/>
    <w:rsid w:val="002964ED"/>
    <w:rsid w:val="002B4923"/>
    <w:rsid w:val="002B590B"/>
    <w:rsid w:val="002C2419"/>
    <w:rsid w:val="002C2C15"/>
    <w:rsid w:val="002C3A1C"/>
    <w:rsid w:val="002C4556"/>
    <w:rsid w:val="002D1C8F"/>
    <w:rsid w:val="002D399D"/>
    <w:rsid w:val="002E1723"/>
    <w:rsid w:val="002F0ABF"/>
    <w:rsid w:val="002F11D9"/>
    <w:rsid w:val="002F520A"/>
    <w:rsid w:val="00300AA0"/>
    <w:rsid w:val="0030377F"/>
    <w:rsid w:val="00304961"/>
    <w:rsid w:val="00310F20"/>
    <w:rsid w:val="00310FA9"/>
    <w:rsid w:val="00311624"/>
    <w:rsid w:val="00320AA0"/>
    <w:rsid w:val="00320B7D"/>
    <w:rsid w:val="003224A2"/>
    <w:rsid w:val="00323AAC"/>
    <w:rsid w:val="00324C42"/>
    <w:rsid w:val="00330136"/>
    <w:rsid w:val="00331223"/>
    <w:rsid w:val="0034028A"/>
    <w:rsid w:val="003411D5"/>
    <w:rsid w:val="0034160A"/>
    <w:rsid w:val="00347A2C"/>
    <w:rsid w:val="00350B30"/>
    <w:rsid w:val="00364255"/>
    <w:rsid w:val="003737FE"/>
    <w:rsid w:val="00374290"/>
    <w:rsid w:val="003766ED"/>
    <w:rsid w:val="00382BE4"/>
    <w:rsid w:val="00384697"/>
    <w:rsid w:val="00385368"/>
    <w:rsid w:val="00386823"/>
    <w:rsid w:val="00387226"/>
    <w:rsid w:val="003A1316"/>
    <w:rsid w:val="003A5A53"/>
    <w:rsid w:val="003B44A9"/>
    <w:rsid w:val="003B7EB7"/>
    <w:rsid w:val="003C170B"/>
    <w:rsid w:val="003D242C"/>
    <w:rsid w:val="003D5EED"/>
    <w:rsid w:val="003E2CE0"/>
    <w:rsid w:val="003E55F2"/>
    <w:rsid w:val="003F416E"/>
    <w:rsid w:val="003F6478"/>
    <w:rsid w:val="003F6AF1"/>
    <w:rsid w:val="00400064"/>
    <w:rsid w:val="00405B0B"/>
    <w:rsid w:val="00406C98"/>
    <w:rsid w:val="00412D26"/>
    <w:rsid w:val="00416A20"/>
    <w:rsid w:val="00422D6F"/>
    <w:rsid w:val="0042403E"/>
    <w:rsid w:val="00426618"/>
    <w:rsid w:val="004313A1"/>
    <w:rsid w:val="00431FF5"/>
    <w:rsid w:val="00447906"/>
    <w:rsid w:val="004508D0"/>
    <w:rsid w:val="00451BFA"/>
    <w:rsid w:val="00452B13"/>
    <w:rsid w:val="00471221"/>
    <w:rsid w:val="00472162"/>
    <w:rsid w:val="00485923"/>
    <w:rsid w:val="0048755C"/>
    <w:rsid w:val="00490F5A"/>
    <w:rsid w:val="00497AC7"/>
    <w:rsid w:val="004A267C"/>
    <w:rsid w:val="004A2B05"/>
    <w:rsid w:val="004B5B60"/>
    <w:rsid w:val="004C17C9"/>
    <w:rsid w:val="004C2BB4"/>
    <w:rsid w:val="004C32F7"/>
    <w:rsid w:val="004C7474"/>
    <w:rsid w:val="004D0B91"/>
    <w:rsid w:val="004D352C"/>
    <w:rsid w:val="004E272E"/>
    <w:rsid w:val="004E38AA"/>
    <w:rsid w:val="004E3DD3"/>
    <w:rsid w:val="004F1EC2"/>
    <w:rsid w:val="004F414C"/>
    <w:rsid w:val="00500604"/>
    <w:rsid w:val="00500D52"/>
    <w:rsid w:val="00501827"/>
    <w:rsid w:val="0050721E"/>
    <w:rsid w:val="0051700B"/>
    <w:rsid w:val="00530DA6"/>
    <w:rsid w:val="00533971"/>
    <w:rsid w:val="00533F8C"/>
    <w:rsid w:val="00535A54"/>
    <w:rsid w:val="005411F9"/>
    <w:rsid w:val="00541A7D"/>
    <w:rsid w:val="00544F2D"/>
    <w:rsid w:val="00545C6C"/>
    <w:rsid w:val="00547012"/>
    <w:rsid w:val="005474FA"/>
    <w:rsid w:val="005520BA"/>
    <w:rsid w:val="00554723"/>
    <w:rsid w:val="00556FC4"/>
    <w:rsid w:val="00560E46"/>
    <w:rsid w:val="005626E0"/>
    <w:rsid w:val="005671F4"/>
    <w:rsid w:val="00570507"/>
    <w:rsid w:val="00576A73"/>
    <w:rsid w:val="00580A51"/>
    <w:rsid w:val="00582F60"/>
    <w:rsid w:val="00583AC8"/>
    <w:rsid w:val="00591CB3"/>
    <w:rsid w:val="0059228D"/>
    <w:rsid w:val="0059311F"/>
    <w:rsid w:val="00595D16"/>
    <w:rsid w:val="00596A5B"/>
    <w:rsid w:val="00597107"/>
    <w:rsid w:val="005A0605"/>
    <w:rsid w:val="005A0DA2"/>
    <w:rsid w:val="005A5457"/>
    <w:rsid w:val="005B3685"/>
    <w:rsid w:val="005D0347"/>
    <w:rsid w:val="005E1D93"/>
    <w:rsid w:val="005F09BC"/>
    <w:rsid w:val="00600BE3"/>
    <w:rsid w:val="0060261A"/>
    <w:rsid w:val="00604B7A"/>
    <w:rsid w:val="00612D54"/>
    <w:rsid w:val="00615785"/>
    <w:rsid w:val="00617D7B"/>
    <w:rsid w:val="00623618"/>
    <w:rsid w:val="006239C7"/>
    <w:rsid w:val="00624393"/>
    <w:rsid w:val="00626C0C"/>
    <w:rsid w:val="006418CA"/>
    <w:rsid w:val="00642394"/>
    <w:rsid w:val="00643DF6"/>
    <w:rsid w:val="00644398"/>
    <w:rsid w:val="006450B6"/>
    <w:rsid w:val="0064682B"/>
    <w:rsid w:val="00647766"/>
    <w:rsid w:val="006501D4"/>
    <w:rsid w:val="00651F1C"/>
    <w:rsid w:val="00653B72"/>
    <w:rsid w:val="00654F10"/>
    <w:rsid w:val="0066160E"/>
    <w:rsid w:val="00665417"/>
    <w:rsid w:val="00673E3D"/>
    <w:rsid w:val="00674A4B"/>
    <w:rsid w:val="00676750"/>
    <w:rsid w:val="00676B41"/>
    <w:rsid w:val="006803A8"/>
    <w:rsid w:val="00682C8C"/>
    <w:rsid w:val="006864FC"/>
    <w:rsid w:val="006871D2"/>
    <w:rsid w:val="00690E70"/>
    <w:rsid w:val="00695A11"/>
    <w:rsid w:val="00697455"/>
    <w:rsid w:val="006A092E"/>
    <w:rsid w:val="006A32EF"/>
    <w:rsid w:val="006A4AEC"/>
    <w:rsid w:val="006B72BF"/>
    <w:rsid w:val="006C085A"/>
    <w:rsid w:val="006C146F"/>
    <w:rsid w:val="006C63CD"/>
    <w:rsid w:val="006D0B02"/>
    <w:rsid w:val="006D209F"/>
    <w:rsid w:val="006E0E48"/>
    <w:rsid w:val="006E2A31"/>
    <w:rsid w:val="006E592C"/>
    <w:rsid w:val="006E597D"/>
    <w:rsid w:val="006F0B79"/>
    <w:rsid w:val="006F1601"/>
    <w:rsid w:val="006F3FC1"/>
    <w:rsid w:val="006F63C5"/>
    <w:rsid w:val="00703AD9"/>
    <w:rsid w:val="00710753"/>
    <w:rsid w:val="0071141A"/>
    <w:rsid w:val="00712357"/>
    <w:rsid w:val="00717885"/>
    <w:rsid w:val="00725801"/>
    <w:rsid w:val="00734B11"/>
    <w:rsid w:val="007372CD"/>
    <w:rsid w:val="007441E3"/>
    <w:rsid w:val="0075316B"/>
    <w:rsid w:val="00754826"/>
    <w:rsid w:val="00754AD5"/>
    <w:rsid w:val="00757688"/>
    <w:rsid w:val="007603A8"/>
    <w:rsid w:val="00764D33"/>
    <w:rsid w:val="00767F5C"/>
    <w:rsid w:val="007707EC"/>
    <w:rsid w:val="00773793"/>
    <w:rsid w:val="0078182B"/>
    <w:rsid w:val="00782C87"/>
    <w:rsid w:val="0079071D"/>
    <w:rsid w:val="007926F6"/>
    <w:rsid w:val="00794807"/>
    <w:rsid w:val="007A450E"/>
    <w:rsid w:val="007B0E8B"/>
    <w:rsid w:val="007B323F"/>
    <w:rsid w:val="007B4A6D"/>
    <w:rsid w:val="007B4D84"/>
    <w:rsid w:val="007C2C6A"/>
    <w:rsid w:val="007C69CD"/>
    <w:rsid w:val="007C7A64"/>
    <w:rsid w:val="007D2A0C"/>
    <w:rsid w:val="007D301C"/>
    <w:rsid w:val="007D62E6"/>
    <w:rsid w:val="007E16DD"/>
    <w:rsid w:val="007E5A6F"/>
    <w:rsid w:val="007E63EF"/>
    <w:rsid w:val="007E7353"/>
    <w:rsid w:val="007F0B5B"/>
    <w:rsid w:val="007F4DD3"/>
    <w:rsid w:val="00803501"/>
    <w:rsid w:val="00804314"/>
    <w:rsid w:val="00804433"/>
    <w:rsid w:val="00805EDF"/>
    <w:rsid w:val="00807A63"/>
    <w:rsid w:val="0081188E"/>
    <w:rsid w:val="00812586"/>
    <w:rsid w:val="00814B95"/>
    <w:rsid w:val="008164E6"/>
    <w:rsid w:val="0081791E"/>
    <w:rsid w:val="00826484"/>
    <w:rsid w:val="00827FB4"/>
    <w:rsid w:val="008518F2"/>
    <w:rsid w:val="008518FD"/>
    <w:rsid w:val="00857D5C"/>
    <w:rsid w:val="00863DB0"/>
    <w:rsid w:val="00864D7B"/>
    <w:rsid w:val="00866B4D"/>
    <w:rsid w:val="00876579"/>
    <w:rsid w:val="0088190F"/>
    <w:rsid w:val="008873D9"/>
    <w:rsid w:val="00890C92"/>
    <w:rsid w:val="00891109"/>
    <w:rsid w:val="00892A61"/>
    <w:rsid w:val="00893616"/>
    <w:rsid w:val="00897804"/>
    <w:rsid w:val="008A0CFF"/>
    <w:rsid w:val="008A260B"/>
    <w:rsid w:val="008B008F"/>
    <w:rsid w:val="008B1A09"/>
    <w:rsid w:val="008C0B17"/>
    <w:rsid w:val="008C3EAC"/>
    <w:rsid w:val="008D05D4"/>
    <w:rsid w:val="008D178A"/>
    <w:rsid w:val="008D63A8"/>
    <w:rsid w:val="008E4AA6"/>
    <w:rsid w:val="008F1F04"/>
    <w:rsid w:val="0090245E"/>
    <w:rsid w:val="009044EE"/>
    <w:rsid w:val="009106EA"/>
    <w:rsid w:val="00912430"/>
    <w:rsid w:val="00912A7F"/>
    <w:rsid w:val="00916AB5"/>
    <w:rsid w:val="00916BE2"/>
    <w:rsid w:val="00920CB9"/>
    <w:rsid w:val="009414CC"/>
    <w:rsid w:val="00942585"/>
    <w:rsid w:val="00946806"/>
    <w:rsid w:val="00946DD8"/>
    <w:rsid w:val="00951524"/>
    <w:rsid w:val="0095292E"/>
    <w:rsid w:val="0095336D"/>
    <w:rsid w:val="009567F6"/>
    <w:rsid w:val="00963A81"/>
    <w:rsid w:val="009648DB"/>
    <w:rsid w:val="00965042"/>
    <w:rsid w:val="00966DF2"/>
    <w:rsid w:val="00967CFD"/>
    <w:rsid w:val="00971E55"/>
    <w:rsid w:val="009722AA"/>
    <w:rsid w:val="009837FF"/>
    <w:rsid w:val="00987055"/>
    <w:rsid w:val="00990BF3"/>
    <w:rsid w:val="009968A7"/>
    <w:rsid w:val="00997571"/>
    <w:rsid w:val="009A02D3"/>
    <w:rsid w:val="009A27E2"/>
    <w:rsid w:val="009A2DAD"/>
    <w:rsid w:val="009A64EA"/>
    <w:rsid w:val="009B603C"/>
    <w:rsid w:val="009C2EC2"/>
    <w:rsid w:val="009C60A9"/>
    <w:rsid w:val="009C70F8"/>
    <w:rsid w:val="009C734C"/>
    <w:rsid w:val="009C743B"/>
    <w:rsid w:val="009D0C0A"/>
    <w:rsid w:val="009D3A3F"/>
    <w:rsid w:val="009D479A"/>
    <w:rsid w:val="009D56E6"/>
    <w:rsid w:val="009F145D"/>
    <w:rsid w:val="009F1589"/>
    <w:rsid w:val="009F5AB5"/>
    <w:rsid w:val="00A008D3"/>
    <w:rsid w:val="00A04209"/>
    <w:rsid w:val="00A151C7"/>
    <w:rsid w:val="00A209BF"/>
    <w:rsid w:val="00A304B0"/>
    <w:rsid w:val="00A31D39"/>
    <w:rsid w:val="00A35C6D"/>
    <w:rsid w:val="00A43434"/>
    <w:rsid w:val="00A43EFD"/>
    <w:rsid w:val="00A45935"/>
    <w:rsid w:val="00A51882"/>
    <w:rsid w:val="00A60495"/>
    <w:rsid w:val="00A610F6"/>
    <w:rsid w:val="00A66638"/>
    <w:rsid w:val="00A66F3C"/>
    <w:rsid w:val="00A6785E"/>
    <w:rsid w:val="00A71A31"/>
    <w:rsid w:val="00A77E99"/>
    <w:rsid w:val="00A807A5"/>
    <w:rsid w:val="00A823A8"/>
    <w:rsid w:val="00A847F8"/>
    <w:rsid w:val="00A86A02"/>
    <w:rsid w:val="00A90171"/>
    <w:rsid w:val="00A92E91"/>
    <w:rsid w:val="00A95406"/>
    <w:rsid w:val="00A961A7"/>
    <w:rsid w:val="00AA03A5"/>
    <w:rsid w:val="00AA5817"/>
    <w:rsid w:val="00AA7F79"/>
    <w:rsid w:val="00AB16BB"/>
    <w:rsid w:val="00AB45F8"/>
    <w:rsid w:val="00AB6603"/>
    <w:rsid w:val="00AB74DA"/>
    <w:rsid w:val="00AC1B3E"/>
    <w:rsid w:val="00AC664B"/>
    <w:rsid w:val="00AC75B9"/>
    <w:rsid w:val="00AC7DDF"/>
    <w:rsid w:val="00AD39B9"/>
    <w:rsid w:val="00AD3CD7"/>
    <w:rsid w:val="00AD4F97"/>
    <w:rsid w:val="00AD72DD"/>
    <w:rsid w:val="00AE3E85"/>
    <w:rsid w:val="00AE6423"/>
    <w:rsid w:val="00AE68CA"/>
    <w:rsid w:val="00AE704F"/>
    <w:rsid w:val="00B05B45"/>
    <w:rsid w:val="00B10B3C"/>
    <w:rsid w:val="00B24679"/>
    <w:rsid w:val="00B311E6"/>
    <w:rsid w:val="00B35581"/>
    <w:rsid w:val="00B36B77"/>
    <w:rsid w:val="00B37E2A"/>
    <w:rsid w:val="00B40DBF"/>
    <w:rsid w:val="00B41573"/>
    <w:rsid w:val="00B421B9"/>
    <w:rsid w:val="00B51B3B"/>
    <w:rsid w:val="00B5530E"/>
    <w:rsid w:val="00B63DE8"/>
    <w:rsid w:val="00B64C7D"/>
    <w:rsid w:val="00B708E9"/>
    <w:rsid w:val="00B737D4"/>
    <w:rsid w:val="00B76BA4"/>
    <w:rsid w:val="00B91D56"/>
    <w:rsid w:val="00BA248B"/>
    <w:rsid w:val="00BA2C5D"/>
    <w:rsid w:val="00BA450C"/>
    <w:rsid w:val="00BA4FCD"/>
    <w:rsid w:val="00BA5122"/>
    <w:rsid w:val="00BA6A33"/>
    <w:rsid w:val="00BB0A98"/>
    <w:rsid w:val="00BB551B"/>
    <w:rsid w:val="00BC211C"/>
    <w:rsid w:val="00BC2432"/>
    <w:rsid w:val="00BC406C"/>
    <w:rsid w:val="00BC42A6"/>
    <w:rsid w:val="00BC471E"/>
    <w:rsid w:val="00BC5B1D"/>
    <w:rsid w:val="00BC7EF1"/>
    <w:rsid w:val="00BD475B"/>
    <w:rsid w:val="00BD7227"/>
    <w:rsid w:val="00BE0462"/>
    <w:rsid w:val="00BE1F31"/>
    <w:rsid w:val="00BE70EE"/>
    <w:rsid w:val="00C013AD"/>
    <w:rsid w:val="00C02FCB"/>
    <w:rsid w:val="00C046E8"/>
    <w:rsid w:val="00C16890"/>
    <w:rsid w:val="00C16E3D"/>
    <w:rsid w:val="00C202EC"/>
    <w:rsid w:val="00C20C97"/>
    <w:rsid w:val="00C3092C"/>
    <w:rsid w:val="00C31DF0"/>
    <w:rsid w:val="00C3302E"/>
    <w:rsid w:val="00C3334D"/>
    <w:rsid w:val="00C35A25"/>
    <w:rsid w:val="00C37C7A"/>
    <w:rsid w:val="00C477ED"/>
    <w:rsid w:val="00C5127D"/>
    <w:rsid w:val="00C51F59"/>
    <w:rsid w:val="00C61277"/>
    <w:rsid w:val="00C621C4"/>
    <w:rsid w:val="00C6361D"/>
    <w:rsid w:val="00C64B64"/>
    <w:rsid w:val="00C67E9D"/>
    <w:rsid w:val="00C764E7"/>
    <w:rsid w:val="00C8095B"/>
    <w:rsid w:val="00C84B5B"/>
    <w:rsid w:val="00C85DDA"/>
    <w:rsid w:val="00C947BA"/>
    <w:rsid w:val="00C9522B"/>
    <w:rsid w:val="00C95BD6"/>
    <w:rsid w:val="00CA12E6"/>
    <w:rsid w:val="00CA28E6"/>
    <w:rsid w:val="00CA3A48"/>
    <w:rsid w:val="00CA4559"/>
    <w:rsid w:val="00CA6EC8"/>
    <w:rsid w:val="00CB3AD0"/>
    <w:rsid w:val="00CB4818"/>
    <w:rsid w:val="00CB68D9"/>
    <w:rsid w:val="00CC53B5"/>
    <w:rsid w:val="00CD3BC8"/>
    <w:rsid w:val="00CE2990"/>
    <w:rsid w:val="00CF37F0"/>
    <w:rsid w:val="00CF4822"/>
    <w:rsid w:val="00CF6D0E"/>
    <w:rsid w:val="00D010F5"/>
    <w:rsid w:val="00D05E3A"/>
    <w:rsid w:val="00D076E7"/>
    <w:rsid w:val="00D10FA6"/>
    <w:rsid w:val="00D13817"/>
    <w:rsid w:val="00D201A2"/>
    <w:rsid w:val="00D32DA8"/>
    <w:rsid w:val="00D32E53"/>
    <w:rsid w:val="00D35751"/>
    <w:rsid w:val="00D4053E"/>
    <w:rsid w:val="00D461AB"/>
    <w:rsid w:val="00D50380"/>
    <w:rsid w:val="00D50EF0"/>
    <w:rsid w:val="00D55226"/>
    <w:rsid w:val="00D57D0A"/>
    <w:rsid w:val="00D612DC"/>
    <w:rsid w:val="00D62992"/>
    <w:rsid w:val="00D62ED4"/>
    <w:rsid w:val="00D66182"/>
    <w:rsid w:val="00D66501"/>
    <w:rsid w:val="00D702C7"/>
    <w:rsid w:val="00D73319"/>
    <w:rsid w:val="00D7340E"/>
    <w:rsid w:val="00D77B96"/>
    <w:rsid w:val="00D815E7"/>
    <w:rsid w:val="00D837EC"/>
    <w:rsid w:val="00D85FF6"/>
    <w:rsid w:val="00D91213"/>
    <w:rsid w:val="00D91569"/>
    <w:rsid w:val="00D930A2"/>
    <w:rsid w:val="00D96C8F"/>
    <w:rsid w:val="00DA22EB"/>
    <w:rsid w:val="00DB1887"/>
    <w:rsid w:val="00DC1C77"/>
    <w:rsid w:val="00DC20D6"/>
    <w:rsid w:val="00DC2840"/>
    <w:rsid w:val="00DC6C4F"/>
    <w:rsid w:val="00DC7C12"/>
    <w:rsid w:val="00DD247A"/>
    <w:rsid w:val="00DD473C"/>
    <w:rsid w:val="00DD4C4C"/>
    <w:rsid w:val="00DE256D"/>
    <w:rsid w:val="00DE2C82"/>
    <w:rsid w:val="00DF68E2"/>
    <w:rsid w:val="00E03826"/>
    <w:rsid w:val="00E05D08"/>
    <w:rsid w:val="00E16522"/>
    <w:rsid w:val="00E30E27"/>
    <w:rsid w:val="00E33F37"/>
    <w:rsid w:val="00E34DA2"/>
    <w:rsid w:val="00E34FAC"/>
    <w:rsid w:val="00E36F81"/>
    <w:rsid w:val="00E54013"/>
    <w:rsid w:val="00E54929"/>
    <w:rsid w:val="00E634DC"/>
    <w:rsid w:val="00E64309"/>
    <w:rsid w:val="00E700BD"/>
    <w:rsid w:val="00E71021"/>
    <w:rsid w:val="00E713B8"/>
    <w:rsid w:val="00E72529"/>
    <w:rsid w:val="00E80C9F"/>
    <w:rsid w:val="00E8197A"/>
    <w:rsid w:val="00E849E7"/>
    <w:rsid w:val="00E971D1"/>
    <w:rsid w:val="00EA0618"/>
    <w:rsid w:val="00EA0974"/>
    <w:rsid w:val="00EB77F2"/>
    <w:rsid w:val="00EB7915"/>
    <w:rsid w:val="00EC468B"/>
    <w:rsid w:val="00EC4AF4"/>
    <w:rsid w:val="00EC5172"/>
    <w:rsid w:val="00ED1295"/>
    <w:rsid w:val="00ED1649"/>
    <w:rsid w:val="00ED47C5"/>
    <w:rsid w:val="00EE3543"/>
    <w:rsid w:val="00EF0A96"/>
    <w:rsid w:val="00EF1B0F"/>
    <w:rsid w:val="00EF4540"/>
    <w:rsid w:val="00F01E0F"/>
    <w:rsid w:val="00F0545B"/>
    <w:rsid w:val="00F117CA"/>
    <w:rsid w:val="00F13B45"/>
    <w:rsid w:val="00F200A2"/>
    <w:rsid w:val="00F250EC"/>
    <w:rsid w:val="00F31494"/>
    <w:rsid w:val="00F31AD6"/>
    <w:rsid w:val="00F32874"/>
    <w:rsid w:val="00F37A59"/>
    <w:rsid w:val="00F4055A"/>
    <w:rsid w:val="00F5230D"/>
    <w:rsid w:val="00F60A36"/>
    <w:rsid w:val="00F63163"/>
    <w:rsid w:val="00F64797"/>
    <w:rsid w:val="00F66623"/>
    <w:rsid w:val="00F6793F"/>
    <w:rsid w:val="00F73706"/>
    <w:rsid w:val="00F74459"/>
    <w:rsid w:val="00F74623"/>
    <w:rsid w:val="00F74C18"/>
    <w:rsid w:val="00F8743F"/>
    <w:rsid w:val="00F9406A"/>
    <w:rsid w:val="00F94F86"/>
    <w:rsid w:val="00FA12EA"/>
    <w:rsid w:val="00FA6691"/>
    <w:rsid w:val="00FB51EF"/>
    <w:rsid w:val="00FB5B14"/>
    <w:rsid w:val="00FC1408"/>
    <w:rsid w:val="00FC14FF"/>
    <w:rsid w:val="00FC7364"/>
    <w:rsid w:val="00FF02C1"/>
    <w:rsid w:val="00FF15CC"/>
    <w:rsid w:val="00FF4353"/>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88A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85E"/>
    <w:pPr>
      <w:jc w:val="both"/>
    </w:pPr>
    <w:rPr>
      <w:rFonts w:ascii="Arial" w:hAnsi="Arial"/>
      <w:color w:val="373737"/>
      <w:sz w:val="20"/>
    </w:rPr>
  </w:style>
  <w:style w:type="paragraph" w:styleId="Heading1">
    <w:name w:val="heading 1"/>
    <w:basedOn w:val="Normal"/>
    <w:next w:val="Normal"/>
    <w:link w:val="Heading1Char"/>
    <w:uiPriority w:val="9"/>
    <w:qFormat/>
    <w:rsid w:val="00E05D08"/>
    <w:pPr>
      <w:keepNext/>
      <w:framePr w:hSpace="142" w:vSpace="142" w:wrap="notBeside" w:vAnchor="page" w:hAnchor="margin" w:y="1532"/>
      <w:numPr>
        <w:numId w:val="1"/>
      </w:numPr>
      <w:pBdr>
        <w:left w:val="single" w:sz="48" w:space="8" w:color="33CCCC"/>
      </w:pBdr>
      <w:tabs>
        <w:tab w:val="clear" w:pos="474"/>
        <w:tab w:val="left" w:pos="227"/>
      </w:tabs>
      <w:suppressAutoHyphens/>
      <w:spacing w:before="60" w:after="20" w:line="240" w:lineRule="auto"/>
      <w:ind w:left="227" w:hanging="227"/>
      <w:outlineLvl w:val="0"/>
    </w:pPr>
    <w:rPr>
      <w:rFonts w:eastAsia="Times New Roman" w:cs="Arial"/>
      <w:b/>
      <w:bCs/>
      <w:kern w:val="32"/>
      <w:sz w:val="24"/>
      <w:szCs w:val="32"/>
      <w:lang w:eastAsia="de-DE"/>
    </w:rPr>
  </w:style>
  <w:style w:type="paragraph" w:styleId="Heading2">
    <w:name w:val="heading 2"/>
    <w:aliases w:val="Titre B,no vale,Heading 2 Char1,Heading 2 Char Char"/>
    <w:basedOn w:val="Normal"/>
    <w:next w:val="Normal"/>
    <w:link w:val="Heading2Char"/>
    <w:uiPriority w:val="9"/>
    <w:qFormat/>
    <w:rsid w:val="00E05D08"/>
    <w:pPr>
      <w:keepNext/>
      <w:numPr>
        <w:ilvl w:val="1"/>
        <w:numId w:val="1"/>
      </w:numPr>
      <w:tabs>
        <w:tab w:val="clear" w:pos="360"/>
        <w:tab w:val="left" w:pos="454"/>
      </w:tabs>
      <w:suppressAutoHyphens/>
      <w:spacing w:before="240" w:after="140" w:line="260" w:lineRule="exact"/>
      <w:ind w:left="454" w:hanging="454"/>
      <w:outlineLvl w:val="1"/>
    </w:pPr>
    <w:rPr>
      <w:rFonts w:eastAsia="Times New Roman" w:cs="Arial"/>
      <w:b/>
      <w:bCs/>
      <w:iCs/>
      <w:szCs w:val="28"/>
      <w:lang w:eastAsia="de-DE"/>
    </w:rPr>
  </w:style>
  <w:style w:type="paragraph" w:styleId="Heading3">
    <w:name w:val="heading 3"/>
    <w:aliases w:val="H3,no vale1,no vale1 Car"/>
    <w:basedOn w:val="Normal"/>
    <w:next w:val="Normal"/>
    <w:link w:val="Heading3Char"/>
    <w:qFormat/>
    <w:rsid w:val="00E05D08"/>
    <w:pPr>
      <w:keepNext/>
      <w:numPr>
        <w:ilvl w:val="2"/>
        <w:numId w:val="1"/>
      </w:numPr>
      <w:tabs>
        <w:tab w:val="clear" w:pos="720"/>
        <w:tab w:val="left" w:pos="567"/>
      </w:tabs>
      <w:suppressAutoHyphens/>
      <w:spacing w:before="240" w:after="140" w:line="240" w:lineRule="exact"/>
      <w:ind w:left="567" w:hanging="567"/>
      <w:outlineLvl w:val="2"/>
    </w:pPr>
    <w:rPr>
      <w:rFonts w:eastAsia="Times New Roman" w:cs="Arial"/>
      <w:b/>
      <w:bCs/>
      <w:color w:val="5F5F5F"/>
      <w:szCs w:val="26"/>
      <w:lang w:eastAsia="de-DE"/>
    </w:rPr>
  </w:style>
  <w:style w:type="paragraph" w:styleId="Heading4">
    <w:name w:val="heading 4"/>
    <w:aliases w:val="Heading 4 Char1,Título 4 Car,Heading 4 Char1 Car,no vale 2,no vale 2 Car"/>
    <w:basedOn w:val="Normal"/>
    <w:next w:val="Normal"/>
    <w:link w:val="Heading4Char"/>
    <w:uiPriority w:val="99"/>
    <w:qFormat/>
    <w:rsid w:val="00E05D08"/>
    <w:pPr>
      <w:keepNext/>
      <w:numPr>
        <w:ilvl w:val="3"/>
        <w:numId w:val="1"/>
      </w:numPr>
      <w:tabs>
        <w:tab w:val="clear" w:pos="1080"/>
        <w:tab w:val="left" w:pos="680"/>
      </w:tabs>
      <w:suppressAutoHyphens/>
      <w:spacing w:before="240" w:after="140" w:line="220" w:lineRule="atLeast"/>
      <w:ind w:left="680" w:hanging="680"/>
      <w:outlineLvl w:val="3"/>
    </w:pPr>
    <w:rPr>
      <w:rFonts w:eastAsia="Times New Roman" w:cs="Times New Roman"/>
      <w:b/>
      <w:bCs/>
      <w:color w:val="5F5F5F"/>
      <w:sz w:val="18"/>
      <w:szCs w:val="28"/>
      <w:lang w:eastAsia="de-DE"/>
    </w:rPr>
  </w:style>
  <w:style w:type="paragraph" w:styleId="Heading5">
    <w:name w:val="heading 5"/>
    <w:basedOn w:val="Normal"/>
    <w:next w:val="Normal"/>
    <w:link w:val="Heading5Char"/>
    <w:uiPriority w:val="99"/>
    <w:qFormat/>
    <w:rsid w:val="00E05D08"/>
    <w:pPr>
      <w:suppressAutoHyphens/>
      <w:spacing w:before="200" w:after="100" w:line="220" w:lineRule="atLeast"/>
      <w:outlineLvl w:val="4"/>
    </w:pPr>
    <w:rPr>
      <w:rFonts w:eastAsia="Times New Roman" w:cs="Times New Roman"/>
      <w:b/>
      <w:bCs/>
      <w:iCs/>
      <w:color w:val="5F5F5F"/>
      <w:sz w:val="18"/>
      <w:szCs w:val="26"/>
      <w:lang w:eastAsia="de-DE"/>
    </w:rPr>
  </w:style>
  <w:style w:type="paragraph" w:styleId="Heading6">
    <w:name w:val="heading 6"/>
    <w:basedOn w:val="Normal"/>
    <w:next w:val="Normal"/>
    <w:link w:val="Heading6Char"/>
    <w:uiPriority w:val="99"/>
    <w:qFormat/>
    <w:rsid w:val="00E05D08"/>
    <w:pPr>
      <w:suppressAutoHyphens/>
      <w:spacing w:before="140" w:after="140" w:line="200" w:lineRule="exact"/>
      <w:outlineLvl w:val="5"/>
    </w:pPr>
    <w:rPr>
      <w:rFonts w:eastAsia="Times New Roman" w:cs="Times New Roman"/>
      <w:b/>
      <w:bCs/>
      <w:color w:val="808080"/>
      <w:sz w:val="16"/>
      <w:lang w:eastAsia="de-DE"/>
    </w:rPr>
  </w:style>
  <w:style w:type="paragraph" w:styleId="Heading7">
    <w:name w:val="heading 7"/>
    <w:basedOn w:val="Normal"/>
    <w:next w:val="Normal"/>
    <w:link w:val="Heading7Char"/>
    <w:rsid w:val="00E05D08"/>
    <w:pPr>
      <w:suppressAutoHyphens/>
      <w:spacing w:before="140" w:after="140" w:line="200" w:lineRule="exact"/>
      <w:outlineLvl w:val="6"/>
    </w:pPr>
    <w:rPr>
      <w:rFonts w:eastAsia="Times New Roman" w:cs="Times New Roman"/>
      <w:b/>
      <w:color w:val="808080"/>
      <w:sz w:val="16"/>
      <w:szCs w:val="24"/>
      <w:lang w:eastAsia="de-DE"/>
    </w:rPr>
  </w:style>
  <w:style w:type="paragraph" w:styleId="Heading8">
    <w:name w:val="heading 8"/>
    <w:basedOn w:val="Normal"/>
    <w:next w:val="Normal"/>
    <w:link w:val="Heading8Char"/>
    <w:rsid w:val="00E05D08"/>
    <w:pPr>
      <w:suppressAutoHyphens/>
      <w:spacing w:before="140" w:after="140" w:line="200" w:lineRule="exact"/>
      <w:outlineLvl w:val="7"/>
    </w:pPr>
    <w:rPr>
      <w:rFonts w:eastAsia="Times New Roman" w:cs="Times New Roman"/>
      <w:b/>
      <w:iCs/>
      <w:color w:val="808080"/>
      <w:sz w:val="16"/>
      <w:szCs w:val="24"/>
      <w:lang w:eastAsia="de-DE"/>
    </w:rPr>
  </w:style>
  <w:style w:type="paragraph" w:styleId="Heading9">
    <w:name w:val="heading 9"/>
    <w:basedOn w:val="Heading1"/>
    <w:next w:val="Normal"/>
    <w:link w:val="Heading9Char"/>
    <w:rsid w:val="00E05D08"/>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D08"/>
    <w:rPr>
      <w:rFonts w:ascii="Arial" w:eastAsia="Times New Roman" w:hAnsi="Arial" w:cs="Arial"/>
      <w:b/>
      <w:bCs/>
      <w:kern w:val="32"/>
      <w:sz w:val="24"/>
      <w:szCs w:val="32"/>
      <w:lang w:eastAsia="de-DE"/>
    </w:rPr>
  </w:style>
  <w:style w:type="character" w:customStyle="1" w:styleId="Heading2Char">
    <w:name w:val="Heading 2 Char"/>
    <w:aliases w:val="Titre B Char,no vale Char,Heading 2 Char1 Char,Heading 2 Char Char Char"/>
    <w:basedOn w:val="DefaultParagraphFont"/>
    <w:link w:val="Heading2"/>
    <w:uiPriority w:val="9"/>
    <w:rsid w:val="00E05D08"/>
    <w:rPr>
      <w:rFonts w:ascii="Arial" w:eastAsia="Times New Roman" w:hAnsi="Arial" w:cs="Arial"/>
      <w:b/>
      <w:bCs/>
      <w:iCs/>
      <w:szCs w:val="28"/>
      <w:lang w:eastAsia="de-DE"/>
    </w:rPr>
  </w:style>
  <w:style w:type="character" w:customStyle="1" w:styleId="Heading3Char">
    <w:name w:val="Heading 3 Char"/>
    <w:aliases w:val="H3 Char,no vale1 Char,no vale1 Car Char"/>
    <w:basedOn w:val="DefaultParagraphFont"/>
    <w:link w:val="Heading3"/>
    <w:rsid w:val="00E05D08"/>
    <w:rPr>
      <w:rFonts w:ascii="Arial" w:eastAsia="Times New Roman" w:hAnsi="Arial" w:cs="Arial"/>
      <w:b/>
      <w:bCs/>
      <w:color w:val="5F5F5F"/>
      <w:sz w:val="20"/>
      <w:szCs w:val="26"/>
      <w:lang w:eastAsia="de-DE"/>
    </w:rPr>
  </w:style>
  <w:style w:type="paragraph" w:styleId="ListParagraph">
    <w:name w:val="List Paragraph"/>
    <w:basedOn w:val="Normal"/>
    <w:uiPriority w:val="34"/>
    <w:qFormat/>
    <w:rsid w:val="00B421B9"/>
    <w:pPr>
      <w:ind w:left="720"/>
      <w:contextualSpacing/>
    </w:pPr>
  </w:style>
  <w:style w:type="character" w:customStyle="1" w:styleId="Heading5Char">
    <w:name w:val="Heading 5 Char"/>
    <w:basedOn w:val="DefaultParagraphFont"/>
    <w:link w:val="Heading5"/>
    <w:uiPriority w:val="99"/>
    <w:rsid w:val="00E05D08"/>
    <w:rPr>
      <w:rFonts w:ascii="Arial" w:eastAsia="Times New Roman" w:hAnsi="Arial" w:cs="Times New Roman"/>
      <w:b/>
      <w:bCs/>
      <w:iCs/>
      <w:color w:val="5F5F5F"/>
      <w:sz w:val="18"/>
      <w:szCs w:val="26"/>
      <w:lang w:val="de-DE" w:eastAsia="de-DE"/>
    </w:rPr>
  </w:style>
  <w:style w:type="character" w:customStyle="1" w:styleId="Heading6Char">
    <w:name w:val="Heading 6 Char"/>
    <w:basedOn w:val="DefaultParagraphFont"/>
    <w:link w:val="Heading6"/>
    <w:uiPriority w:val="99"/>
    <w:rsid w:val="00E05D08"/>
    <w:rPr>
      <w:rFonts w:ascii="Arial" w:eastAsia="Times New Roman" w:hAnsi="Arial" w:cs="Times New Roman"/>
      <w:b/>
      <w:bCs/>
      <w:color w:val="808080"/>
      <w:sz w:val="16"/>
      <w:lang w:eastAsia="de-DE"/>
    </w:rPr>
  </w:style>
  <w:style w:type="character" w:customStyle="1" w:styleId="Heading7Char">
    <w:name w:val="Heading 7 Char"/>
    <w:basedOn w:val="DefaultParagraphFont"/>
    <w:link w:val="Heading7"/>
    <w:rsid w:val="00E05D08"/>
    <w:rPr>
      <w:rFonts w:ascii="Arial" w:eastAsia="Times New Roman" w:hAnsi="Arial" w:cs="Times New Roman"/>
      <w:b/>
      <w:color w:val="808080"/>
      <w:sz w:val="16"/>
      <w:szCs w:val="24"/>
      <w:lang w:eastAsia="de-DE"/>
    </w:rPr>
  </w:style>
  <w:style w:type="character" w:customStyle="1" w:styleId="Heading8Char">
    <w:name w:val="Heading 8 Char"/>
    <w:basedOn w:val="DefaultParagraphFont"/>
    <w:link w:val="Heading8"/>
    <w:rsid w:val="00E05D08"/>
    <w:rPr>
      <w:rFonts w:ascii="Arial" w:eastAsia="Times New Roman" w:hAnsi="Arial" w:cs="Times New Roman"/>
      <w:b/>
      <w:iCs/>
      <w:color w:val="808080"/>
      <w:sz w:val="16"/>
      <w:szCs w:val="24"/>
      <w:lang w:eastAsia="de-DE"/>
    </w:rPr>
  </w:style>
  <w:style w:type="character" w:customStyle="1" w:styleId="Heading9Char">
    <w:name w:val="Heading 9 Char"/>
    <w:basedOn w:val="DefaultParagraphFont"/>
    <w:link w:val="Heading9"/>
    <w:rsid w:val="00E05D08"/>
    <w:rPr>
      <w:rFonts w:ascii="Arial" w:eastAsia="Times New Roman" w:hAnsi="Arial" w:cs="Arial"/>
      <w:b/>
      <w:bCs/>
      <w:kern w:val="32"/>
      <w:sz w:val="24"/>
      <w:lang w:eastAsia="de-DE"/>
    </w:rPr>
  </w:style>
  <w:style w:type="numbering" w:customStyle="1" w:styleId="NoList1">
    <w:name w:val="No List1"/>
    <w:next w:val="NoList"/>
    <w:uiPriority w:val="99"/>
    <w:semiHidden/>
    <w:unhideWhenUsed/>
    <w:rsid w:val="00E05D08"/>
  </w:style>
  <w:style w:type="paragraph" w:styleId="TOC1">
    <w:name w:val="toc 1"/>
    <w:basedOn w:val="Normal"/>
    <w:next w:val="Normal"/>
    <w:autoRedefine/>
    <w:uiPriority w:val="39"/>
    <w:unhideWhenUsed/>
    <w:rsid w:val="009837FF"/>
    <w:pPr>
      <w:spacing w:after="100"/>
      <w:ind w:left="567" w:hanging="567"/>
    </w:pPr>
    <w:rPr>
      <w:b/>
      <w:caps/>
    </w:rPr>
  </w:style>
  <w:style w:type="paragraph" w:styleId="TOC2">
    <w:name w:val="toc 2"/>
    <w:basedOn w:val="Normal"/>
    <w:next w:val="Normal"/>
    <w:autoRedefine/>
    <w:uiPriority w:val="39"/>
    <w:unhideWhenUsed/>
    <w:rsid w:val="00122217"/>
    <w:pPr>
      <w:tabs>
        <w:tab w:val="left" w:pos="1134"/>
        <w:tab w:val="right" w:leader="dot" w:pos="8931"/>
      </w:tabs>
      <w:spacing w:after="100"/>
      <w:ind w:left="1200" w:right="545" w:hanging="1200"/>
    </w:pPr>
  </w:style>
  <w:style w:type="paragraph" w:styleId="Footer">
    <w:name w:val="footer"/>
    <w:link w:val="FooterChar"/>
    <w:uiPriority w:val="99"/>
    <w:rsid w:val="00E05D08"/>
    <w:pPr>
      <w:tabs>
        <w:tab w:val="right" w:pos="8618"/>
      </w:tabs>
      <w:spacing w:after="0" w:line="240" w:lineRule="auto"/>
      <w:ind w:left="-907" w:right="-907"/>
      <w:jc w:val="center"/>
    </w:pPr>
    <w:rPr>
      <w:rFonts w:ascii="Arial" w:eastAsia="Times New Roman" w:hAnsi="Arial" w:cs="Times New Roman"/>
      <w:color w:val="373737"/>
      <w:szCs w:val="20"/>
      <w:lang w:eastAsia="de-DE"/>
    </w:rPr>
  </w:style>
  <w:style w:type="character" w:customStyle="1" w:styleId="FooterChar">
    <w:name w:val="Footer Char"/>
    <w:basedOn w:val="DefaultParagraphFont"/>
    <w:link w:val="Footer"/>
    <w:uiPriority w:val="99"/>
    <w:rsid w:val="00E05D08"/>
    <w:rPr>
      <w:rFonts w:ascii="Arial" w:eastAsia="Times New Roman" w:hAnsi="Arial" w:cs="Times New Roman"/>
      <w:color w:val="373737"/>
      <w:szCs w:val="20"/>
      <w:lang w:eastAsia="de-DE"/>
    </w:rPr>
  </w:style>
  <w:style w:type="character" w:styleId="PageNumber">
    <w:name w:val="page number"/>
    <w:basedOn w:val="DefaultParagraphFont"/>
    <w:semiHidden/>
    <w:rsid w:val="00E05D08"/>
    <w:rPr>
      <w:rFonts w:ascii="Arial" w:hAnsi="Arial"/>
      <w:color w:val="808080"/>
      <w:sz w:val="18"/>
    </w:rPr>
  </w:style>
  <w:style w:type="paragraph" w:customStyle="1" w:styleId="HTitle2">
    <w:name w:val="H_Title2"/>
    <w:basedOn w:val="Normal"/>
    <w:qFormat/>
    <w:rsid w:val="00E05D08"/>
    <w:pPr>
      <w:autoSpaceDE w:val="0"/>
      <w:autoSpaceDN w:val="0"/>
      <w:adjustRightInd w:val="0"/>
      <w:spacing w:after="120" w:line="280" w:lineRule="atLeast"/>
    </w:pPr>
    <w:rPr>
      <w:rFonts w:eastAsia="Times New Roman" w:cs="Times New Roman"/>
      <w:smallCaps/>
      <w:sz w:val="44"/>
      <w:szCs w:val="52"/>
      <w:lang w:eastAsia="de-DE"/>
    </w:rPr>
  </w:style>
  <w:style w:type="paragraph" w:customStyle="1" w:styleId="Hlistbullet">
    <w:name w:val="H_list_bullet"/>
    <w:uiPriority w:val="99"/>
    <w:rsid w:val="00EA0974"/>
    <w:pPr>
      <w:numPr>
        <w:numId w:val="2"/>
      </w:numPr>
      <w:spacing w:after="120" w:line="280" w:lineRule="atLeast"/>
      <w:ind w:left="567" w:hanging="567"/>
      <w:jc w:val="both"/>
    </w:pPr>
    <w:rPr>
      <w:rFonts w:ascii="Arial" w:eastAsia="Times New Roman" w:hAnsi="Arial" w:cs="Times New Roman"/>
      <w:color w:val="373737"/>
      <w:sz w:val="20"/>
      <w:szCs w:val="20"/>
      <w:lang w:eastAsia="de-DE"/>
    </w:rPr>
  </w:style>
  <w:style w:type="paragraph" w:customStyle="1" w:styleId="Hlistbullet2">
    <w:name w:val="H_list_bullet2"/>
    <w:basedOn w:val="Hlistbullet"/>
    <w:next w:val="HStandard"/>
    <w:rsid w:val="00EA0974"/>
    <w:pPr>
      <w:numPr>
        <w:numId w:val="12"/>
      </w:numPr>
      <w:ind w:left="1134" w:hanging="567"/>
    </w:pPr>
  </w:style>
  <w:style w:type="paragraph" w:customStyle="1" w:styleId="Hlistabc">
    <w:name w:val="H_list_abc"/>
    <w:rsid w:val="00E05D08"/>
    <w:pPr>
      <w:spacing w:after="120" w:line="280" w:lineRule="atLeast"/>
      <w:mirrorIndents/>
      <w:jc w:val="both"/>
    </w:pPr>
    <w:rPr>
      <w:rFonts w:ascii="Arial" w:eastAsia="Times New Roman" w:hAnsi="Arial" w:cs="Times New Roman"/>
      <w:color w:val="373737"/>
      <w:sz w:val="20"/>
      <w:szCs w:val="20"/>
      <w:lang w:eastAsia="de-DE"/>
    </w:rPr>
  </w:style>
  <w:style w:type="paragraph" w:customStyle="1" w:styleId="Hlistabc2">
    <w:name w:val="H_list_abc_2"/>
    <w:basedOn w:val="Hlistabc"/>
    <w:next w:val="HStandard"/>
    <w:rsid w:val="00E05D08"/>
    <w:pPr>
      <w:spacing w:after="140"/>
    </w:pPr>
  </w:style>
  <w:style w:type="paragraph" w:customStyle="1" w:styleId="HTitle1">
    <w:name w:val="H_Title1"/>
    <w:basedOn w:val="Normal"/>
    <w:rsid w:val="00E05D08"/>
    <w:pPr>
      <w:autoSpaceDE w:val="0"/>
      <w:autoSpaceDN w:val="0"/>
      <w:adjustRightInd w:val="0"/>
      <w:spacing w:after="120" w:line="280" w:lineRule="atLeast"/>
    </w:pPr>
    <w:rPr>
      <w:rFonts w:eastAsia="Times New Roman" w:cs="Times New Roman"/>
      <w:bCs/>
      <w:smallCaps/>
      <w:color w:val="F07E31"/>
      <w:sz w:val="60"/>
      <w:szCs w:val="32"/>
      <w:lang w:eastAsia="de-DE"/>
    </w:rPr>
  </w:style>
  <w:style w:type="paragraph" w:customStyle="1" w:styleId="Autor">
    <w:name w:val="Autor"/>
    <w:basedOn w:val="Normal"/>
    <w:rsid w:val="00E05D08"/>
    <w:pPr>
      <w:spacing w:after="0" w:line="280" w:lineRule="exact"/>
    </w:pPr>
    <w:rPr>
      <w:rFonts w:eastAsia="Times New Roman" w:cs="Times New Roman"/>
      <w:szCs w:val="24"/>
      <w:lang w:eastAsia="de-DE"/>
    </w:rPr>
  </w:style>
  <w:style w:type="paragraph" w:customStyle="1" w:styleId="HTitle3">
    <w:name w:val="H_Title3"/>
    <w:basedOn w:val="Autor"/>
    <w:rsid w:val="00E05D08"/>
    <w:rPr>
      <w:smallCaps/>
      <w:sz w:val="28"/>
    </w:rPr>
  </w:style>
  <w:style w:type="paragraph" w:styleId="TOC3">
    <w:name w:val="toc 3"/>
    <w:basedOn w:val="Normal"/>
    <w:next w:val="Normal"/>
    <w:autoRedefine/>
    <w:uiPriority w:val="39"/>
    <w:unhideWhenUsed/>
    <w:rsid w:val="009837FF"/>
    <w:pPr>
      <w:spacing w:after="100"/>
      <w:ind w:left="567" w:hanging="567"/>
    </w:pPr>
  </w:style>
  <w:style w:type="paragraph" w:styleId="TOC4">
    <w:name w:val="toc 4"/>
    <w:basedOn w:val="Normal"/>
    <w:next w:val="Normal"/>
    <w:autoRedefine/>
    <w:uiPriority w:val="39"/>
    <w:unhideWhenUsed/>
    <w:rsid w:val="008518FD"/>
    <w:pPr>
      <w:keepLines/>
      <w:tabs>
        <w:tab w:val="left" w:pos="1320"/>
        <w:tab w:val="right" w:leader="dot" w:pos="8931"/>
      </w:tabs>
      <w:spacing w:after="100"/>
      <w:ind w:right="545"/>
    </w:pPr>
    <w:rPr>
      <w:noProof/>
    </w:rPr>
  </w:style>
  <w:style w:type="paragraph" w:customStyle="1" w:styleId="Fuzeilequerformat">
    <w:name w:val="Fußzeile_querformat"/>
    <w:basedOn w:val="Footer"/>
    <w:rsid w:val="00E05D08"/>
    <w:pPr>
      <w:tabs>
        <w:tab w:val="clear" w:pos="8618"/>
        <w:tab w:val="right" w:pos="12871"/>
      </w:tabs>
    </w:pPr>
  </w:style>
  <w:style w:type="paragraph" w:styleId="TableofFigures">
    <w:name w:val="table of figures"/>
    <w:next w:val="HStandard"/>
    <w:uiPriority w:val="99"/>
    <w:rsid w:val="00E05D08"/>
    <w:pPr>
      <w:tabs>
        <w:tab w:val="left" w:pos="851"/>
        <w:tab w:val="right" w:leader="dot" w:pos="7711"/>
      </w:tabs>
      <w:suppressAutoHyphens/>
      <w:spacing w:before="60" w:after="0" w:line="280" w:lineRule="exact"/>
      <w:ind w:left="851" w:right="284" w:hanging="851"/>
    </w:pPr>
    <w:rPr>
      <w:rFonts w:ascii="Arial" w:eastAsia="Times New Roman" w:hAnsi="Arial" w:cs="Times New Roman"/>
      <w:sz w:val="20"/>
      <w:szCs w:val="20"/>
      <w:lang w:eastAsia="de-DE"/>
    </w:rPr>
  </w:style>
  <w:style w:type="paragraph" w:customStyle="1" w:styleId="Hlistline3">
    <w:name w:val="H_list_line3"/>
    <w:rsid w:val="00E05D08"/>
    <w:pPr>
      <w:numPr>
        <w:numId w:val="4"/>
      </w:numPr>
      <w:spacing w:before="60" w:after="60" w:line="220" w:lineRule="atLeast"/>
      <w:ind w:left="851" w:hanging="284"/>
    </w:pPr>
    <w:rPr>
      <w:rFonts w:ascii="Arial" w:eastAsia="Times New Roman" w:hAnsi="Arial" w:cs="Times New Roman"/>
      <w:color w:val="373737"/>
      <w:sz w:val="20"/>
      <w:szCs w:val="20"/>
      <w:lang w:eastAsia="de-DE"/>
    </w:rPr>
  </w:style>
  <w:style w:type="paragraph" w:customStyle="1" w:styleId="Hlistline4">
    <w:name w:val="H_list_line4"/>
    <w:basedOn w:val="Hlistline3"/>
    <w:next w:val="HStandard"/>
    <w:rsid w:val="00E05D08"/>
    <w:pPr>
      <w:ind w:left="1135"/>
    </w:pPr>
  </w:style>
  <w:style w:type="paragraph" w:customStyle="1" w:styleId="HSource">
    <w:name w:val="H_Source"/>
    <w:next w:val="HStandard"/>
    <w:rsid w:val="00E05D08"/>
    <w:pPr>
      <w:suppressAutoHyphens/>
      <w:spacing w:before="60" w:after="140" w:line="240" w:lineRule="auto"/>
      <w:ind w:left="1134" w:right="1134"/>
      <w:mirrorIndents/>
      <w:jc w:val="center"/>
    </w:pPr>
    <w:rPr>
      <w:rFonts w:ascii="Arial" w:eastAsia="Times New Roman" w:hAnsi="Arial" w:cs="Times New Roman"/>
      <w:i/>
      <w:color w:val="373737"/>
      <w:sz w:val="16"/>
      <w:szCs w:val="20"/>
      <w:lang w:eastAsia="de-DE"/>
    </w:rPr>
  </w:style>
  <w:style w:type="paragraph" w:customStyle="1" w:styleId="Htableleft">
    <w:name w:val="H_table_left"/>
    <w:rsid w:val="00E05D08"/>
    <w:pPr>
      <w:suppressAutoHyphens/>
      <w:spacing w:before="40" w:after="40" w:line="240" w:lineRule="auto"/>
    </w:pPr>
    <w:rPr>
      <w:rFonts w:ascii="Arial" w:eastAsia="Times New Roman" w:hAnsi="Arial" w:cs="Times New Roman"/>
      <w:color w:val="373737"/>
      <w:sz w:val="18"/>
      <w:szCs w:val="20"/>
      <w:lang w:eastAsia="de-DE"/>
    </w:rPr>
  </w:style>
  <w:style w:type="paragraph" w:customStyle="1" w:styleId="Htablecentered">
    <w:name w:val="H_table_centered"/>
    <w:basedOn w:val="Htableleft"/>
    <w:rsid w:val="00E05D08"/>
    <w:pPr>
      <w:jc w:val="center"/>
    </w:pPr>
  </w:style>
  <w:style w:type="paragraph" w:customStyle="1" w:styleId="Htableleftbolt">
    <w:name w:val="H_table_left_bolt"/>
    <w:basedOn w:val="Htableleft"/>
    <w:rsid w:val="00E05D08"/>
    <w:rPr>
      <w:b/>
      <w:color w:val="FFFFFF"/>
    </w:rPr>
  </w:style>
  <w:style w:type="paragraph" w:customStyle="1" w:styleId="Htablecenteredbolt">
    <w:name w:val="H_table_centered_bolt"/>
    <w:basedOn w:val="Htablecentered"/>
    <w:rsid w:val="00E05D08"/>
    <w:rPr>
      <w:b/>
      <w:color w:val="FFFFFF"/>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F74459"/>
    <w:pPr>
      <w:spacing w:after="0" w:line="180" w:lineRule="exact"/>
    </w:pPr>
    <w:rPr>
      <w:rFonts w:ascii="Arial" w:eastAsia="Times New Roman" w:hAnsi="Arial" w:cs="Times New Roman"/>
      <w:color w:val="808080"/>
      <w:sz w:val="16"/>
      <w:szCs w:val="20"/>
      <w:lang w:eastAsia="de-DE"/>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F74459"/>
    <w:rPr>
      <w:rFonts w:ascii="Arial" w:eastAsia="Times New Roman" w:hAnsi="Arial" w:cs="Times New Roman"/>
      <w:color w:val="808080"/>
      <w:sz w:val="16"/>
      <w:szCs w:val="20"/>
      <w:lang w:eastAsia="de-DE"/>
    </w:rPr>
  </w:style>
  <w:style w:type="paragraph" w:customStyle="1" w:styleId="Htablebullet">
    <w:name w:val="H_table_bullet"/>
    <w:basedOn w:val="Htableleft"/>
    <w:rsid w:val="00E05D08"/>
    <w:pPr>
      <w:numPr>
        <w:numId w:val="5"/>
      </w:numPr>
    </w:pPr>
  </w:style>
  <w:style w:type="paragraph" w:customStyle="1" w:styleId="HContent">
    <w:name w:val="H_Content"/>
    <w:basedOn w:val="Heading1"/>
    <w:next w:val="HStandard"/>
    <w:rsid w:val="00E05D08"/>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582F60"/>
    <w:pPr>
      <w:keepNext/>
      <w:keepLines/>
      <w:pageBreakBefore/>
      <w:numPr>
        <w:numId w:val="119"/>
      </w:numPr>
      <w:tabs>
        <w:tab w:val="left" w:pos="567"/>
      </w:tabs>
      <w:spacing w:before="360" w:after="360" w:line="280" w:lineRule="atLeast"/>
      <w:ind w:left="567" w:hanging="567"/>
      <w:mirrorIndents/>
      <w:outlineLvl w:val="0"/>
    </w:pPr>
    <w:rPr>
      <w:rFonts w:ascii="Arial" w:eastAsia="Times New Roman" w:hAnsi="Arial" w:cs="Times New Roman"/>
      <w:b/>
      <w:caps/>
      <w:color w:val="F07E31"/>
      <w:sz w:val="20"/>
      <w:szCs w:val="20"/>
      <w:lang w:eastAsia="de-DE"/>
    </w:rPr>
  </w:style>
  <w:style w:type="paragraph" w:customStyle="1" w:styleId="HHeading2">
    <w:name w:val="H_Heading 2"/>
    <w:next w:val="HStandard"/>
    <w:rsid w:val="00E05D08"/>
    <w:pPr>
      <w:keepNext/>
      <w:keepLines/>
      <w:numPr>
        <w:ilvl w:val="1"/>
        <w:numId w:val="6"/>
      </w:numPr>
      <w:tabs>
        <w:tab w:val="left" w:pos="567"/>
      </w:tabs>
      <w:spacing w:before="240" w:after="140" w:line="260" w:lineRule="exact"/>
      <w:mirrorIndents/>
      <w:outlineLvl w:val="1"/>
    </w:pPr>
    <w:rPr>
      <w:rFonts w:ascii="Arial" w:eastAsia="Times New Roman" w:hAnsi="Arial" w:cs="Times New Roman"/>
      <w:b/>
      <w:color w:val="373737"/>
      <w:sz w:val="20"/>
      <w:szCs w:val="20"/>
      <w:lang w:eastAsia="de-DE"/>
    </w:rPr>
  </w:style>
  <w:style w:type="paragraph" w:customStyle="1" w:styleId="HHeading3">
    <w:name w:val="H_Heading 3"/>
    <w:next w:val="HStandard"/>
    <w:rsid w:val="009B603C"/>
    <w:pPr>
      <w:keepNext/>
      <w:keepLines/>
      <w:numPr>
        <w:ilvl w:val="2"/>
        <w:numId w:val="6"/>
      </w:numPr>
      <w:tabs>
        <w:tab w:val="left" w:pos="567"/>
      </w:tabs>
      <w:spacing w:before="240" w:after="140" w:line="240" w:lineRule="exact"/>
      <w:ind w:left="567" w:hanging="567"/>
      <w:mirrorIndents/>
      <w:outlineLvl w:val="2"/>
    </w:pPr>
    <w:rPr>
      <w:rFonts w:ascii="Arial" w:eastAsia="Times New Roman" w:hAnsi="Arial" w:cs="Times New Roman"/>
      <w:b/>
      <w:color w:val="F07E31"/>
      <w:sz w:val="20"/>
      <w:szCs w:val="20"/>
      <w:lang w:eastAsia="de-DE"/>
    </w:rPr>
  </w:style>
  <w:style w:type="paragraph" w:customStyle="1" w:styleId="HHeading4">
    <w:name w:val="H_Heading 4"/>
    <w:next w:val="HStandard"/>
    <w:rsid w:val="00E05D08"/>
    <w:pPr>
      <w:keepNext/>
      <w:keepLines/>
      <w:tabs>
        <w:tab w:val="left" w:pos="680"/>
      </w:tabs>
      <w:spacing w:before="240" w:after="240" w:line="280" w:lineRule="atLeast"/>
      <w:mirrorIndents/>
      <w:outlineLvl w:val="3"/>
    </w:pPr>
    <w:rPr>
      <w:rFonts w:ascii="Arial" w:eastAsia="Times New Roman" w:hAnsi="Arial" w:cs="Times New Roman"/>
      <w:b/>
      <w:color w:val="57825E"/>
      <w:sz w:val="20"/>
      <w:szCs w:val="20"/>
      <w:lang w:eastAsia="de-DE"/>
    </w:rPr>
  </w:style>
  <w:style w:type="character" w:styleId="Hyperlink">
    <w:name w:val="Hyperlink"/>
    <w:basedOn w:val="DefaultParagraphFont"/>
    <w:uiPriority w:val="99"/>
    <w:rsid w:val="00E05D08"/>
    <w:rPr>
      <w:rFonts w:ascii="Arial" w:hAnsi="Arial"/>
      <w:color w:val="F07E31"/>
      <w:sz w:val="16"/>
      <w:u w:val="single"/>
      <w:lang w:val="de-DE"/>
    </w:rPr>
  </w:style>
  <w:style w:type="paragraph" w:customStyle="1" w:styleId="HStandard">
    <w:name w:val="H_Standard"/>
    <w:rsid w:val="000E1D4B"/>
    <w:pPr>
      <w:spacing w:after="120" w:line="280" w:lineRule="atLeast"/>
      <w:jc w:val="both"/>
    </w:pPr>
    <w:rPr>
      <w:rFonts w:ascii="Arial" w:eastAsia="Times New Roman" w:hAnsi="Arial" w:cs="Times New Roman"/>
      <w:color w:val="373737"/>
      <w:sz w:val="20"/>
      <w:szCs w:val="20"/>
      <w:lang w:eastAsia="de-DE"/>
    </w:rPr>
  </w:style>
  <w:style w:type="paragraph" w:styleId="BalloonText">
    <w:name w:val="Balloon Text"/>
    <w:basedOn w:val="Normal"/>
    <w:link w:val="BalloonTextChar"/>
    <w:uiPriority w:val="99"/>
    <w:semiHidden/>
    <w:unhideWhenUsed/>
    <w:rsid w:val="00E05D08"/>
    <w:pPr>
      <w:spacing w:after="0" w:line="240" w:lineRule="auto"/>
    </w:pPr>
    <w:rPr>
      <w:rFonts w:ascii="Tahoma" w:eastAsia="Times New Roman" w:hAnsi="Tahoma" w:cs="Tahoma"/>
      <w:sz w:val="16"/>
      <w:szCs w:val="16"/>
      <w:lang w:eastAsia="de-DE"/>
    </w:rPr>
  </w:style>
  <w:style w:type="character" w:customStyle="1" w:styleId="BalloonTextChar">
    <w:name w:val="Balloon Text Char"/>
    <w:basedOn w:val="DefaultParagraphFont"/>
    <w:link w:val="BalloonText"/>
    <w:uiPriority w:val="99"/>
    <w:semiHidden/>
    <w:rsid w:val="00E05D08"/>
    <w:rPr>
      <w:rFonts w:ascii="Tahoma" w:eastAsia="Times New Roman" w:hAnsi="Tahoma" w:cs="Tahoma"/>
      <w:sz w:val="16"/>
      <w:szCs w:val="16"/>
      <w:lang w:eastAsia="de-DE"/>
    </w:rPr>
  </w:style>
  <w:style w:type="table" w:styleId="TableGrid">
    <w:name w:val="Table Grid"/>
    <w:basedOn w:val="TableNormal"/>
    <w:uiPriority w:val="39"/>
    <w:rsid w:val="00E05D08"/>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E05D08"/>
    <w:pPr>
      <w:numPr>
        <w:numId w:val="7"/>
      </w:numPr>
      <w:spacing w:before="200" w:after="140" w:line="240" w:lineRule="auto"/>
    </w:pPr>
    <w:rPr>
      <w:rFonts w:ascii="Arial" w:eastAsia="Times New Roman" w:hAnsi="Arial" w:cs="Times New Roman"/>
      <w:b/>
      <w:color w:val="373737"/>
      <w:sz w:val="16"/>
      <w:szCs w:val="20"/>
      <w:lang w:eastAsia="de-DE"/>
    </w:rPr>
  </w:style>
  <w:style w:type="paragraph" w:customStyle="1" w:styleId="HHeadingfigures">
    <w:name w:val="H_Heading_figures"/>
    <w:basedOn w:val="HHeadingtables"/>
    <w:next w:val="HStandard"/>
    <w:qFormat/>
    <w:rsid w:val="00E05D08"/>
    <w:pPr>
      <w:numPr>
        <w:numId w:val="8"/>
      </w:numPr>
      <w:tabs>
        <w:tab w:val="num" w:pos="964"/>
      </w:tabs>
    </w:pPr>
  </w:style>
  <w:style w:type="paragraph" w:customStyle="1" w:styleId="HHeadingmaps">
    <w:name w:val="H_Heading_maps"/>
    <w:basedOn w:val="HHeadingtables"/>
    <w:next w:val="HStandard"/>
    <w:qFormat/>
    <w:rsid w:val="00E05D08"/>
    <w:pPr>
      <w:keepNext/>
      <w:keepLines/>
      <w:numPr>
        <w:numId w:val="9"/>
      </w:numPr>
      <w:outlineLvl w:val="5"/>
    </w:pPr>
  </w:style>
  <w:style w:type="paragraph" w:customStyle="1" w:styleId="HHeadingboxes">
    <w:name w:val="H_Heading_boxes"/>
    <w:basedOn w:val="HHeadingtables"/>
    <w:next w:val="HStandard"/>
    <w:qFormat/>
    <w:rsid w:val="00E05D08"/>
    <w:pPr>
      <w:numPr>
        <w:numId w:val="10"/>
      </w:numPr>
      <w:ind w:left="851" w:hanging="851"/>
    </w:pPr>
  </w:style>
  <w:style w:type="paragraph" w:customStyle="1" w:styleId="HBox">
    <w:name w:val="H_Box"/>
    <w:next w:val="HStandard"/>
    <w:qFormat/>
    <w:rsid w:val="00E05D08"/>
    <w:pPr>
      <w:framePr w:wrap="notBeside" w:vAnchor="text" w:hAnchor="text" w:y="1"/>
      <w:spacing w:after="120" w:line="260" w:lineRule="atLeast"/>
      <w:jc w:val="both"/>
    </w:pPr>
    <w:rPr>
      <w:rFonts w:ascii="Arial" w:eastAsia="Times New Roman" w:hAnsi="Arial" w:cs="Times New Roman"/>
      <w:color w:val="373737"/>
      <w:sz w:val="18"/>
      <w:szCs w:val="20"/>
      <w:lang w:eastAsia="de-DE"/>
    </w:rPr>
  </w:style>
  <w:style w:type="paragraph" w:customStyle="1" w:styleId="HBoxbullet">
    <w:name w:val="H_Box_bullet"/>
    <w:next w:val="HStandard"/>
    <w:qFormat/>
    <w:rsid w:val="00E05D08"/>
    <w:pPr>
      <w:numPr>
        <w:numId w:val="11"/>
      </w:numPr>
      <w:pBdr>
        <w:top w:val="single" w:sz="4" w:space="4" w:color="F07E31"/>
        <w:left w:val="single" w:sz="4" w:space="8" w:color="F07E31"/>
        <w:bottom w:val="single" w:sz="4" w:space="4" w:color="F07E31"/>
        <w:right w:val="single" w:sz="4" w:space="4" w:color="F07E31"/>
      </w:pBdr>
      <w:shd w:val="clear" w:color="auto" w:fill="FCE5D5"/>
      <w:spacing w:after="0" w:line="240" w:lineRule="auto"/>
      <w:ind w:left="363" w:hanging="284"/>
      <w:jc w:val="both"/>
    </w:pPr>
    <w:rPr>
      <w:rFonts w:ascii="Arial" w:eastAsia="Times New Roman" w:hAnsi="Arial" w:cs="Times New Roman"/>
      <w:color w:val="373737"/>
      <w:sz w:val="20"/>
      <w:szCs w:val="20"/>
      <w:lang w:eastAsia="de-DE"/>
    </w:rPr>
  </w:style>
  <w:style w:type="paragraph" w:customStyle="1" w:styleId="Hdisclaimer">
    <w:name w:val="H_disclaimer"/>
    <w:qFormat/>
    <w:rsid w:val="00E05D08"/>
    <w:pPr>
      <w:spacing w:after="120" w:line="280" w:lineRule="atLeast"/>
      <w:jc w:val="both"/>
    </w:pPr>
    <w:rPr>
      <w:rFonts w:ascii="Arial" w:eastAsia="Times New Roman" w:hAnsi="Arial" w:cs="Arial"/>
      <w:color w:val="373737"/>
      <w:sz w:val="18"/>
      <w:szCs w:val="18"/>
      <w:lang w:eastAsia="de-DE"/>
    </w:rPr>
  </w:style>
  <w:style w:type="character" w:styleId="SubtleReference">
    <w:name w:val="Subtle Reference"/>
    <w:uiPriority w:val="31"/>
    <w:qFormat/>
    <w:rsid w:val="00C37C7A"/>
    <w:rPr>
      <w:rFonts w:eastAsia="Times New Roman" w:cs="Times New Roman"/>
      <w:szCs w:val="20"/>
      <w:lang w:eastAsia="de-DE"/>
    </w:rPr>
  </w:style>
  <w:style w:type="table" w:customStyle="1" w:styleId="TableGrid1">
    <w:name w:val="Table Grid1"/>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CommentSubject">
    <w:name w:val="annotation subject"/>
    <w:basedOn w:val="Normal"/>
    <w:next w:val="Normal"/>
    <w:link w:val="CommentSubjectChar"/>
    <w:uiPriority w:val="99"/>
    <w:semiHidden/>
    <w:unhideWhenUsed/>
    <w:rsid w:val="00C37C7A"/>
    <w:pPr>
      <w:spacing w:before="60" w:after="140" w:line="240" w:lineRule="auto"/>
    </w:pPr>
    <w:rPr>
      <w:rFonts w:eastAsia="Times New Roman" w:cs="Times New Roman"/>
      <w:b/>
      <w:bCs/>
      <w:szCs w:val="20"/>
      <w:lang w:eastAsia="de-DE"/>
    </w:rPr>
  </w:style>
  <w:style w:type="character" w:customStyle="1" w:styleId="CommentSubjectChar">
    <w:name w:val="Comment Subject Char"/>
    <w:basedOn w:val="DefaultParagraphFont"/>
    <w:link w:val="CommentSubject"/>
    <w:uiPriority w:val="99"/>
    <w:semiHidden/>
    <w:rsid w:val="00C37C7A"/>
    <w:rPr>
      <w:rFonts w:ascii="Arial" w:eastAsia="Times New Roman" w:hAnsi="Arial" w:cs="Times New Roman"/>
      <w:b/>
      <w:bCs/>
      <w:sz w:val="20"/>
      <w:szCs w:val="20"/>
      <w:lang w:eastAsia="de-DE"/>
    </w:rPr>
  </w:style>
  <w:style w:type="paragraph" w:customStyle="1" w:styleId="Normal12PTcouleurgris">
    <w:name w:val="Normal + 12PT couleur gris"/>
    <w:basedOn w:val="Normal"/>
    <w:qFormat/>
    <w:rsid w:val="00E05D08"/>
    <w:pPr>
      <w:spacing w:after="0" w:line="280" w:lineRule="atLeast"/>
    </w:pPr>
    <w:rPr>
      <w:rFonts w:eastAsia="Times New Roman" w:cs="Arial"/>
      <w:szCs w:val="18"/>
      <w:lang w:eastAsia="de-DE"/>
    </w:rPr>
  </w:style>
  <w:style w:type="numbering" w:customStyle="1" w:styleId="MaListe">
    <w:name w:val="MaListe"/>
    <w:uiPriority w:val="99"/>
    <w:rsid w:val="00E05D08"/>
    <w:pPr>
      <w:numPr>
        <w:numId w:val="15"/>
      </w:numPr>
    </w:pPr>
  </w:style>
  <w:style w:type="character" w:styleId="HTMLCite">
    <w:name w:val="HTML Cite"/>
    <w:uiPriority w:val="99"/>
    <w:semiHidden/>
    <w:rsid w:val="00E05D08"/>
    <w:rPr>
      <w:i/>
    </w:rPr>
  </w:style>
  <w:style w:type="paragraph" w:styleId="Subtitle">
    <w:name w:val="Subtitle"/>
    <w:basedOn w:val="Normal"/>
    <w:link w:val="SubtitleChar"/>
    <w:uiPriority w:val="99"/>
    <w:qFormat/>
    <w:rsid w:val="00E05D08"/>
    <w:pPr>
      <w:numPr>
        <w:numId w:val="33"/>
      </w:numPr>
      <w:spacing w:before="60" w:after="60" w:line="240" w:lineRule="auto"/>
      <w:ind w:left="4897"/>
      <w:outlineLvl w:val="1"/>
    </w:pPr>
    <w:rPr>
      <w:rFonts w:ascii="Helvetica" w:eastAsia="Times New Roman" w:hAnsi="Helvetica" w:cs="Times New Roman"/>
      <w:b/>
      <w:snapToGrid w:val="0"/>
      <w:color w:val="9B3930"/>
      <w:sz w:val="16"/>
      <w:szCs w:val="16"/>
      <w:lang w:eastAsia="de-DE"/>
    </w:rPr>
  </w:style>
  <w:style w:type="character" w:customStyle="1" w:styleId="SubtitleChar">
    <w:name w:val="Subtitle Char"/>
    <w:basedOn w:val="DefaultParagraphFont"/>
    <w:link w:val="Subtitle"/>
    <w:uiPriority w:val="99"/>
    <w:rsid w:val="00E05D08"/>
    <w:rPr>
      <w:rFonts w:ascii="Helvetica" w:eastAsia="Times New Roman" w:hAnsi="Helvetica" w:cs="Times New Roman"/>
      <w:b/>
      <w:snapToGrid w:val="0"/>
      <w:color w:val="9B3930"/>
      <w:sz w:val="16"/>
      <w:szCs w:val="16"/>
      <w:lang w:eastAsia="de-DE"/>
    </w:rPr>
  </w:style>
  <w:style w:type="character" w:styleId="Emphasis">
    <w:name w:val="Emphasis"/>
    <w:uiPriority w:val="20"/>
    <w:qFormat/>
    <w:rsid w:val="00E05D08"/>
    <w:rPr>
      <w:i/>
    </w:rPr>
  </w:style>
  <w:style w:type="character" w:customStyle="1" w:styleId="Heading4Char">
    <w:name w:val="Heading 4 Char"/>
    <w:aliases w:val="Heading 4 Char1 Char,Título 4 Car Char,Heading 4 Char1 Car Char,no vale 2 Char,no vale 2 Car Char"/>
    <w:link w:val="Heading4"/>
    <w:uiPriority w:val="99"/>
    <w:locked/>
    <w:rsid w:val="00E05D08"/>
    <w:rPr>
      <w:rFonts w:ascii="Arial" w:eastAsia="Times New Roman" w:hAnsi="Arial" w:cs="Times New Roman"/>
      <w:b/>
      <w:bCs/>
      <w:color w:val="5F5F5F"/>
      <w:sz w:val="18"/>
      <w:szCs w:val="28"/>
      <w:lang w:eastAsia="de-DE"/>
    </w:rPr>
  </w:style>
  <w:style w:type="character" w:styleId="FollowedHyperlink">
    <w:name w:val="FollowedHyperlink"/>
    <w:uiPriority w:val="99"/>
    <w:semiHidden/>
    <w:rsid w:val="00E05D08"/>
    <w:rPr>
      <w:rFonts w:cs="Times New Roman"/>
      <w:color w:val="800080"/>
      <w:u w:val="single"/>
    </w:rPr>
  </w:style>
  <w:style w:type="paragraph" w:customStyle="1" w:styleId="Style">
    <w:name w:val="Style"/>
    <w:uiPriority w:val="99"/>
    <w:rsid w:val="00E05D08"/>
    <w:pPr>
      <w:spacing w:after="0" w:line="240" w:lineRule="auto"/>
    </w:pPr>
    <w:rPr>
      <w:rFonts w:ascii="Calibri" w:eastAsia="Times New Roman" w:hAnsi="Calibri" w:cs="Times New Roman"/>
      <w:sz w:val="24"/>
      <w:szCs w:val="24"/>
      <w:lang w:eastAsia="da-DK"/>
    </w:rPr>
  </w:style>
  <w:style w:type="table" w:customStyle="1" w:styleId="Tabellenraster11">
    <w:name w:val="Tabellenraster11"/>
    <w:uiPriority w:val="99"/>
    <w:rsid w:val="00E05D0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basedOn w:val="Normal"/>
    <w:next w:val="Normal"/>
    <w:link w:val="QuoteChar"/>
    <w:uiPriority w:val="99"/>
    <w:rsid w:val="00E05D08"/>
    <w:pPr>
      <w:spacing w:after="120" w:line="280" w:lineRule="atLeast"/>
    </w:pPr>
    <w:rPr>
      <w:rFonts w:ascii="Helvetica" w:eastAsia="Times New Roman" w:hAnsi="Helvetica" w:cs="Times New Roman"/>
      <w:i/>
      <w:iCs/>
      <w:snapToGrid w:val="0"/>
      <w:color w:val="000000"/>
      <w:lang w:eastAsia="de-DE"/>
    </w:rPr>
  </w:style>
  <w:style w:type="character" w:customStyle="1" w:styleId="QuoteChar">
    <w:name w:val="Quote Char"/>
    <w:link w:val="Quote1"/>
    <w:uiPriority w:val="99"/>
    <w:locked/>
    <w:rsid w:val="00E05D08"/>
    <w:rPr>
      <w:rFonts w:ascii="Helvetica" w:eastAsia="Times New Roman" w:hAnsi="Helvetica" w:cs="Times New Roman"/>
      <w:i/>
      <w:iCs/>
      <w:snapToGrid w:val="0"/>
      <w:color w:val="000000"/>
      <w:lang w:eastAsia="de-DE"/>
    </w:rPr>
  </w:style>
  <w:style w:type="numbering" w:styleId="111111">
    <w:name w:val="Outline List 2"/>
    <w:basedOn w:val="NoList"/>
    <w:uiPriority w:val="99"/>
    <w:rsid w:val="00E05D08"/>
    <w:pPr>
      <w:numPr>
        <w:numId w:val="30"/>
      </w:numPr>
    </w:pPr>
  </w:style>
  <w:style w:type="paragraph" w:customStyle="1" w:styleId="Revision1">
    <w:name w:val="Revision1"/>
    <w:hidden/>
    <w:uiPriority w:val="99"/>
    <w:semiHidden/>
    <w:rsid w:val="00E05D08"/>
    <w:pPr>
      <w:spacing w:after="0" w:line="240" w:lineRule="auto"/>
    </w:pPr>
    <w:rPr>
      <w:rFonts w:ascii="Arial" w:eastAsia="Times New Roman" w:hAnsi="Arial" w:cs="Times New Roman"/>
      <w:sz w:val="20"/>
      <w:lang w:eastAsia="de-DE"/>
    </w:rPr>
  </w:style>
  <w:style w:type="paragraph" w:customStyle="1" w:styleId="TOCHeading2">
    <w:name w:val="TOC Heading2"/>
    <w:basedOn w:val="Heading1"/>
    <w:next w:val="Normal"/>
    <w:uiPriority w:val="99"/>
    <w:semiHidden/>
    <w:unhideWhenUsed/>
    <w:qFormat/>
    <w:rsid w:val="00E05D08"/>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lang w:eastAsia="de-AT"/>
    </w:rPr>
  </w:style>
  <w:style w:type="paragraph" w:styleId="Revision">
    <w:name w:val="Revision"/>
    <w:hidden/>
    <w:uiPriority w:val="99"/>
    <w:semiHidden/>
    <w:rsid w:val="00E05D08"/>
    <w:pPr>
      <w:spacing w:after="0" w:line="240" w:lineRule="auto"/>
    </w:pPr>
    <w:rPr>
      <w:rFonts w:ascii="Arial" w:eastAsia="Times New Roman" w:hAnsi="Arial" w:cs="Times New Roman"/>
      <w:sz w:val="20"/>
      <w:lang w:eastAsia="de-DE"/>
    </w:rPr>
  </w:style>
  <w:style w:type="paragraph" w:customStyle="1" w:styleId="Red2Red">
    <w:name w:val="Red2Red"/>
    <w:basedOn w:val="Normal"/>
    <w:link w:val="Red2RedCar"/>
    <w:uiPriority w:val="99"/>
    <w:qFormat/>
    <w:rsid w:val="00E05D08"/>
    <w:pPr>
      <w:spacing w:before="60" w:after="60" w:line="288" w:lineRule="auto"/>
    </w:pPr>
    <w:rPr>
      <w:rFonts w:ascii="Helvetica" w:eastAsia="Times New Roman" w:hAnsi="Helvetica" w:cs="Times New Roman"/>
      <w:sz w:val="32"/>
      <w:szCs w:val="24"/>
      <w:lang w:eastAsia="es-ES"/>
    </w:rPr>
  </w:style>
  <w:style w:type="character" w:customStyle="1" w:styleId="Red2RedCar">
    <w:name w:val="Red2Red Car"/>
    <w:basedOn w:val="DefaultParagraphFont"/>
    <w:link w:val="Red2Red"/>
    <w:uiPriority w:val="99"/>
    <w:rsid w:val="00E05D08"/>
    <w:rPr>
      <w:rFonts w:ascii="Helvetica" w:eastAsia="Times New Roman" w:hAnsi="Helvetica" w:cs="Times New Roman"/>
      <w:sz w:val="32"/>
      <w:szCs w:val="24"/>
      <w:lang w:val="de-DE" w:eastAsia="es-ES"/>
    </w:rPr>
  </w:style>
  <w:style w:type="table" w:customStyle="1" w:styleId="MediumShading2-Accent31">
    <w:name w:val="Medium Shading 2 - Accent 31"/>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
    <w:name w:val="Medium Shading 1 - Accent 3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paragraph" w:customStyle="1" w:styleId="Normal22PT">
    <w:name w:val="Normal + 22PT"/>
    <w:aliases w:val="couleur Orange"/>
    <w:basedOn w:val="Normal"/>
    <w:qFormat/>
    <w:rsid w:val="00E05D08"/>
    <w:pPr>
      <w:spacing w:after="120" w:line="280" w:lineRule="atLeast"/>
    </w:pPr>
    <w:rPr>
      <w:rFonts w:ascii="Helvetica" w:eastAsia="Times New Roman" w:hAnsi="Helvetica" w:cs="Arial"/>
      <w:bCs/>
      <w:smallCaps/>
      <w:color w:val="DF6532"/>
      <w:sz w:val="44"/>
      <w:szCs w:val="44"/>
      <w:lang w:eastAsia="de-DE"/>
    </w:rPr>
  </w:style>
  <w:style w:type="paragraph" w:customStyle="1" w:styleId="H-Table">
    <w:name w:val="H-Table"/>
    <w:next w:val="Normal"/>
    <w:uiPriority w:val="99"/>
    <w:qFormat/>
    <w:rsid w:val="00E05D08"/>
    <w:pPr>
      <w:numPr>
        <w:numId w:val="37"/>
      </w:numPr>
      <w:spacing w:after="0" w:line="240" w:lineRule="auto"/>
      <w:ind w:left="510" w:hanging="510"/>
    </w:pPr>
    <w:rPr>
      <w:rFonts w:ascii="Helvetica" w:eastAsia="Times New Roman" w:hAnsi="Helvetica" w:cs="Times New Roman"/>
      <w:b/>
      <w:bCs/>
      <w:color w:val="6F6F6F"/>
      <w:sz w:val="16"/>
      <w:szCs w:val="20"/>
      <w:lang w:eastAsia="de-DE"/>
    </w:rPr>
  </w:style>
  <w:style w:type="table" w:customStyle="1" w:styleId="Grilledutableau1">
    <w:name w:val="Grille du tableau1"/>
    <w:basedOn w:val="TableNormal"/>
    <w:next w:val="TableGrid"/>
    <w:uiPriority w:val="59"/>
    <w:rsid w:val="00E0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Normal"/>
    <w:next w:val="TableNormal"/>
    <w:uiPriority w:val="40"/>
    <w:rsid w:val="00E05D0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LineNumber">
    <w:name w:val="line number"/>
    <w:basedOn w:val="DefaultParagraphFont"/>
    <w:semiHidden/>
    <w:unhideWhenUsed/>
    <w:rsid w:val="00E05D08"/>
  </w:style>
  <w:style w:type="character" w:customStyle="1" w:styleId="Erwhnung1">
    <w:name w:val="Erwähnung1"/>
    <w:basedOn w:val="DefaultParagraphFont"/>
    <w:uiPriority w:val="99"/>
    <w:semiHidden/>
    <w:unhideWhenUsed/>
    <w:rsid w:val="00E05D08"/>
    <w:rPr>
      <w:color w:val="2B579A"/>
      <w:shd w:val="clear" w:color="auto" w:fill="E6E6E6"/>
    </w:rPr>
  </w:style>
  <w:style w:type="character" w:customStyle="1" w:styleId="Erwhnung2">
    <w:name w:val="Erwähnung2"/>
    <w:basedOn w:val="DefaultParagraphFont"/>
    <w:uiPriority w:val="99"/>
    <w:semiHidden/>
    <w:unhideWhenUsed/>
    <w:rsid w:val="00E05D08"/>
    <w:rPr>
      <w:color w:val="2B579A"/>
      <w:shd w:val="clear" w:color="auto" w:fill="E6E6E6"/>
    </w:rPr>
  </w:style>
  <w:style w:type="table" w:customStyle="1" w:styleId="TableGrid2">
    <w:name w:val="Table Grid2"/>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MaListe1">
    <w:name w:val="MaListe1"/>
    <w:uiPriority w:val="99"/>
    <w:rsid w:val="00E05D08"/>
    <w:pPr>
      <w:numPr>
        <w:numId w:val="109"/>
      </w:numPr>
    </w:pPr>
  </w:style>
  <w:style w:type="table" w:customStyle="1" w:styleId="TableGrid3">
    <w:name w:val="Table Grid3"/>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Header">
    <w:name w:val="header"/>
    <w:basedOn w:val="Normal"/>
    <w:link w:val="HeaderChar"/>
    <w:uiPriority w:val="99"/>
    <w:unhideWhenUsed/>
    <w:rsid w:val="009837FF"/>
    <w:pPr>
      <w:tabs>
        <w:tab w:val="center" w:pos="4513"/>
        <w:tab w:val="right" w:pos="9026"/>
      </w:tabs>
      <w:spacing w:after="0" w:line="240" w:lineRule="auto"/>
    </w:pPr>
    <w:rPr>
      <w:color w:val="F07E31"/>
      <w:sz w:val="18"/>
    </w:rPr>
  </w:style>
  <w:style w:type="character" w:customStyle="1" w:styleId="HeaderChar">
    <w:name w:val="Header Char"/>
    <w:basedOn w:val="DefaultParagraphFont"/>
    <w:link w:val="Header"/>
    <w:uiPriority w:val="99"/>
    <w:rsid w:val="009837FF"/>
    <w:rPr>
      <w:rFonts w:ascii="Arial" w:hAnsi="Arial"/>
      <w:color w:val="F07E31"/>
      <w:sz w:val="1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unhideWhenUsed/>
    <w:rsid w:val="00E05D08"/>
    <w:rPr>
      <w:vertAlign w:val="superscript"/>
    </w:rPr>
  </w:style>
  <w:style w:type="table" w:styleId="MediumShading2-Accent3">
    <w:name w:val="Medium Shading 2 Accent 3"/>
    <w:basedOn w:val="TableNormal"/>
    <w:uiPriority w:val="64"/>
    <w:semiHidden/>
    <w:unhideWhenUsed/>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3">
    <w:name w:val="Medium Shading 1 Accent 3"/>
    <w:basedOn w:val="TableNormal"/>
    <w:uiPriority w:val="63"/>
    <w:semiHidden/>
    <w:unhideWhenUsed/>
    <w:rsid w:val="00E05D0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E05D08"/>
  </w:style>
  <w:style w:type="numbering" w:customStyle="1" w:styleId="MaListe2">
    <w:name w:val="MaListe2"/>
    <w:uiPriority w:val="99"/>
    <w:rsid w:val="00E05D08"/>
    <w:pPr>
      <w:numPr>
        <w:numId w:val="13"/>
      </w:numPr>
    </w:pPr>
  </w:style>
  <w:style w:type="numbering" w:customStyle="1" w:styleId="1111111">
    <w:name w:val="1 / 1.1 / 1.1.11"/>
    <w:basedOn w:val="NoList"/>
    <w:next w:val="111111"/>
    <w:uiPriority w:val="99"/>
    <w:rsid w:val="00E05D08"/>
    <w:pPr>
      <w:numPr>
        <w:numId w:val="23"/>
      </w:numPr>
    </w:pPr>
  </w:style>
  <w:style w:type="table" w:customStyle="1" w:styleId="MediumShading2-Accent32">
    <w:name w:val="Medium Shading 2 - Accent 32"/>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2">
    <w:name w:val="Medium Shading 1 - Accent 32"/>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MediumShading1-Accent311">
    <w:name w:val="Medium Shading 1 - Accent 31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Cuadrculadetablaclara11">
    <w:name w:val="Cuadrícula de tabla clara11"/>
    <w:basedOn w:val="TableNormal"/>
    <w:rsid w:val="00E05D08"/>
    <w:pPr>
      <w:spacing w:after="0" w:line="240" w:lineRule="auto"/>
    </w:pPr>
    <w:rPr>
      <w:rFonts w:ascii="Times New Roman" w:eastAsia="Times New Roman" w:hAnsi="Times New Roman" w:cs="Times New Roman"/>
      <w:sz w:val="20"/>
      <w:szCs w:val="20"/>
      <w:lang w:eastAsia="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MaListe11">
    <w:name w:val="MaListe11"/>
    <w:uiPriority w:val="99"/>
    <w:rsid w:val="00E05D08"/>
    <w:pPr>
      <w:numPr>
        <w:numId w:val="47"/>
      </w:numPr>
    </w:pPr>
  </w:style>
  <w:style w:type="character" w:customStyle="1" w:styleId="UnresolvedMention1">
    <w:name w:val="Unresolved Mention1"/>
    <w:basedOn w:val="DefaultParagraphFont"/>
    <w:uiPriority w:val="99"/>
    <w:semiHidden/>
    <w:unhideWhenUsed/>
    <w:rsid w:val="00E05D08"/>
    <w:rPr>
      <w:color w:val="808080"/>
      <w:shd w:val="clear" w:color="auto" w:fill="E6E6E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Arial" w:hAnsi="Arial"/>
      <w:color w:val="373737"/>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H-Standard">
    <w:name w:val="H-Standard"/>
    <w:basedOn w:val="Normal12PTcouleurgris"/>
    <w:qFormat/>
    <w:rsid w:val="00863DB0"/>
    <w:pPr>
      <w:spacing w:after="120"/>
    </w:pPr>
    <w:rPr>
      <w:rFonts w:eastAsia="Calibri"/>
      <w:sz w:val="18"/>
      <w:lang w:eastAsia="en-US"/>
    </w:rPr>
  </w:style>
  <w:style w:type="character" w:styleId="UnresolvedMention">
    <w:name w:val="Unresolved Mention"/>
    <w:basedOn w:val="DefaultParagraphFont"/>
    <w:uiPriority w:val="99"/>
    <w:semiHidden/>
    <w:unhideWhenUsed/>
    <w:rsid w:val="00827FB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942330">
      <w:bodyDiv w:val="1"/>
      <w:marLeft w:val="0"/>
      <w:marRight w:val="0"/>
      <w:marTop w:val="0"/>
      <w:marBottom w:val="0"/>
      <w:divBdr>
        <w:top w:val="none" w:sz="0" w:space="0" w:color="auto"/>
        <w:left w:val="none" w:sz="0" w:space="0" w:color="auto"/>
        <w:bottom w:val="none" w:sz="0" w:space="0" w:color="auto"/>
        <w:right w:val="none" w:sz="0" w:space="0" w:color="auto"/>
      </w:divBdr>
    </w:div>
    <w:div w:id="638732370">
      <w:bodyDiv w:val="1"/>
      <w:marLeft w:val="0"/>
      <w:marRight w:val="0"/>
      <w:marTop w:val="0"/>
      <w:marBottom w:val="0"/>
      <w:divBdr>
        <w:top w:val="none" w:sz="0" w:space="0" w:color="auto"/>
        <w:left w:val="none" w:sz="0" w:space="0" w:color="auto"/>
        <w:bottom w:val="none" w:sz="0" w:space="0" w:color="auto"/>
        <w:right w:val="none" w:sz="0" w:space="0" w:color="auto"/>
      </w:divBdr>
    </w:div>
    <w:div w:id="656803589">
      <w:bodyDiv w:val="1"/>
      <w:marLeft w:val="0"/>
      <w:marRight w:val="0"/>
      <w:marTop w:val="0"/>
      <w:marBottom w:val="0"/>
      <w:divBdr>
        <w:top w:val="none" w:sz="0" w:space="0" w:color="auto"/>
        <w:left w:val="none" w:sz="0" w:space="0" w:color="auto"/>
        <w:bottom w:val="none" w:sz="0" w:space="0" w:color="auto"/>
        <w:right w:val="none" w:sz="0" w:space="0" w:color="auto"/>
      </w:divBdr>
      <w:divsChild>
        <w:div w:id="811171820">
          <w:marLeft w:val="0"/>
          <w:marRight w:val="0"/>
          <w:marTop w:val="0"/>
          <w:marBottom w:val="0"/>
          <w:divBdr>
            <w:top w:val="none" w:sz="0" w:space="0" w:color="auto"/>
            <w:left w:val="none" w:sz="0" w:space="0" w:color="auto"/>
            <w:bottom w:val="none" w:sz="0" w:space="0" w:color="auto"/>
            <w:right w:val="none" w:sz="0" w:space="0" w:color="auto"/>
          </w:divBdr>
        </w:div>
      </w:divsChild>
    </w:div>
    <w:div w:id="1139106666">
      <w:bodyDiv w:val="1"/>
      <w:marLeft w:val="0"/>
      <w:marRight w:val="0"/>
      <w:marTop w:val="0"/>
      <w:marBottom w:val="0"/>
      <w:divBdr>
        <w:top w:val="none" w:sz="0" w:space="0" w:color="auto"/>
        <w:left w:val="none" w:sz="0" w:space="0" w:color="auto"/>
        <w:bottom w:val="none" w:sz="0" w:space="0" w:color="auto"/>
        <w:right w:val="none" w:sz="0" w:space="0" w:color="auto"/>
      </w:divBdr>
    </w:div>
    <w:div w:id="1379625291">
      <w:bodyDiv w:val="1"/>
      <w:marLeft w:val="0"/>
      <w:marRight w:val="0"/>
      <w:marTop w:val="0"/>
      <w:marBottom w:val="0"/>
      <w:divBdr>
        <w:top w:val="none" w:sz="0" w:space="0" w:color="auto"/>
        <w:left w:val="none" w:sz="0" w:space="0" w:color="auto"/>
        <w:bottom w:val="none" w:sz="0" w:space="0" w:color="auto"/>
        <w:right w:val="none" w:sz="0" w:space="0" w:color="auto"/>
      </w:divBdr>
      <w:divsChild>
        <w:div w:id="1564415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hyperlink" Target="http://asq.org/quality-progress/2007/07/statistics/likert-scales-and-data-analyses.html" TargetMode="External"/><Relationship Id="rId21" Type="http://schemas.openxmlformats.org/officeDocument/2006/relationships/footer" Target="footer5.xml"/><Relationship Id="rId42" Type="http://schemas.openxmlformats.org/officeDocument/2006/relationships/image" Target="media/image14.jpg"/><Relationship Id="rId47" Type="http://schemas.openxmlformats.org/officeDocument/2006/relationships/hyperlink" Target="https://enrd.ec.europa.eu/evaluation/publications/guidelines-assessment-rdp-results-how-prepare-reporting-evaluation-2017_en" TargetMode="External"/><Relationship Id="rId63" Type="http://schemas.openxmlformats.org/officeDocument/2006/relationships/hyperlink" Target="https://enrd.ec.europa.eu/evaluation/publications/guidelines-evaluation-national-rural-networks-2014-2020_de" TargetMode="External"/><Relationship Id="rId68" Type="http://schemas.openxmlformats.org/officeDocument/2006/relationships/hyperlink" Target="https://enrd.ec.europa.eu/evaluation/publications/guidelines-evaluation-national-rural-networks-2014-2020_de" TargetMode="External"/><Relationship Id="rId84" Type="http://schemas.openxmlformats.org/officeDocument/2006/relationships/hyperlink" Target="http://www.men-d.de/uploads/media/MEN-D_Jahresveranstaltung_2017.pdf" TargetMode="External"/><Relationship Id="rId89" Type="http://schemas.openxmlformats.org/officeDocument/2006/relationships/hyperlink" Target="http://ec.europa.eu/eurostat/statistics-explained/index.php/Smarter,_greener,_more_inclusive_-_indicators_to_support_the_Europe_2020_strategy" TargetMode="External"/><Relationship Id="rId112" Type="http://schemas.openxmlformats.org/officeDocument/2006/relationships/hyperlink" Target="http://www.tandfonline.com/doi/abs/10.1080/135467896394447" TargetMode="External"/><Relationship Id="rId133" Type="http://schemas.openxmlformats.org/officeDocument/2006/relationships/hyperlink" Target="https://ec.europa.eu/eip/agriculture/en/content/innovation-support-services." TargetMode="External"/><Relationship Id="rId16" Type="http://schemas.openxmlformats.org/officeDocument/2006/relationships/header" Target="header3.xml"/><Relationship Id="rId107" Type="http://schemas.openxmlformats.org/officeDocument/2006/relationships/hyperlink" Target="https://www.cambridge.org/core/journals/ps-political-science-and-politics/article/understanding-process-tracing/183A057AD6A36783E678CB37440346D1" TargetMode="External"/><Relationship Id="rId11" Type="http://schemas.openxmlformats.org/officeDocument/2006/relationships/image" Target="media/image2.jpeg"/><Relationship Id="rId32" Type="http://schemas.openxmlformats.org/officeDocument/2006/relationships/hyperlink" Target="https://enrd.ec.europa.eu/sites/enrd/files/uploaded-files/wp_evaluation_questions_2015.pdf" TargetMode="External"/><Relationship Id="rId37" Type="http://schemas.openxmlformats.org/officeDocument/2006/relationships/footer" Target="footer8.xml"/><Relationship Id="rId53" Type="http://schemas.openxmlformats.org/officeDocument/2006/relationships/hyperlink" Target="https://enrd.ec.europa.eu/evaluation/publications/guidelines-assessment-rdp-results-how-prepare-reporting-evaluation-2017_en" TargetMode="External"/><Relationship Id="rId58" Type="http://schemas.openxmlformats.org/officeDocument/2006/relationships/hyperlink" Target="https://enrd.ec.europa.eu/evaluation/publications/guidelines-assessment-rdp-results-how-prepare-reporting-evaluation-2017_en" TargetMode="External"/><Relationship Id="rId74" Type="http://schemas.openxmlformats.org/officeDocument/2006/relationships/hyperlink" Target="http://enrd.ec.europa.eu/enrd-static/app_templates/enrd_assets/pdf/guidebook/nrn_handbook_webversion.pdf" TargetMode="External"/><Relationship Id="rId79" Type="http://schemas.openxmlformats.org/officeDocument/2006/relationships/hyperlink" Target="https://enrd.ec.europa.eu/sites/enrd/files/uploaded-files/wp_evaluation_questions_2015.pdf" TargetMode="External"/><Relationship Id="rId102" Type="http://schemas.openxmlformats.org/officeDocument/2006/relationships/hyperlink" Target="http://www.hnvlink.eu/" TargetMode="External"/><Relationship Id="rId123" Type="http://schemas.openxmlformats.org/officeDocument/2006/relationships/hyperlink" Target="http://www.tandfonline.com/doi/abs/10.1080/135467896394447" TargetMode="External"/><Relationship Id="rId128" Type="http://schemas.openxmlformats.org/officeDocument/2006/relationships/hyperlink" Target="http://ec.europa.eu/eip/agriculture/sites/agri-eip/files/16_measure_fiche_art_35_co-operation.pdf" TargetMode="External"/><Relationship Id="rId5" Type="http://schemas.openxmlformats.org/officeDocument/2006/relationships/webSettings" Target="webSettings.xml"/><Relationship Id="rId90" Type="http://schemas.openxmlformats.org/officeDocument/2006/relationships/hyperlink" Target="http://ec.europa.eu/eurostat/statistics-explained/index.php/Smarter,_greener,_more_inclusive_-_indicators_to_support_the_Europe_2020_strategy" TargetMode="External"/><Relationship Id="rId95" Type="http://schemas.openxmlformats.org/officeDocument/2006/relationships/image" Target="media/image17.emf"/><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header" Target="header6.xml"/><Relationship Id="rId43" Type="http://schemas.openxmlformats.org/officeDocument/2006/relationships/hyperlink" Target="https://enrd.ec.europa.eu/evaluation/publications/guidelines-assessment-rdp-results-how-prepare-reporting-evaluation-2017_en" TargetMode="External"/><Relationship Id="rId48" Type="http://schemas.openxmlformats.org/officeDocument/2006/relationships/hyperlink" Target="https://enrd.ec.europa.eu/evaluation/publications/guidelines-assessment-rdp-results-how-prepare-reporting-evaluation-2017_en" TargetMode="External"/><Relationship Id="rId56" Type="http://schemas.openxmlformats.org/officeDocument/2006/relationships/hyperlink" Target="https://ec.europa.eu/eip/agriculture/sites/agri-eip/files/16_measure_fiche_art_35_co-operation.pdf" TargetMode="External"/><Relationship Id="rId64" Type="http://schemas.openxmlformats.org/officeDocument/2006/relationships/hyperlink" Target="https://enrd.ec.europa.eu/evaluation/publications/guidelines-evaluation-national-rural-networks-2014-2020_de" TargetMode="External"/><Relationship Id="rId69" Type="http://schemas.openxmlformats.org/officeDocument/2006/relationships/hyperlink" Target="https://ec.europa.eu/eip/agriculture/en/publications/guidelines-programming-innovation-and" TargetMode="External"/><Relationship Id="rId77" Type="http://schemas.openxmlformats.org/officeDocument/2006/relationships/hyperlink" Target="http://enrd.ec.europa.eu/enrd-static/evaluation/good-practices-workshops/national-rural-networks/en/national-rural-networks_en.html" TargetMode="External"/><Relationship Id="rId100" Type="http://schemas.openxmlformats.org/officeDocument/2006/relationships/hyperlink" Target="http://www.hnvlink.eu/" TargetMode="External"/><Relationship Id="rId105" Type="http://schemas.openxmlformats.org/officeDocument/2006/relationships/header" Target="header10.xml"/><Relationship Id="rId113" Type="http://schemas.openxmlformats.org/officeDocument/2006/relationships/hyperlink" Target="http://journals.sagepub.com/doi/abs/10.1177/1356389012451663" TargetMode="External"/><Relationship Id="rId118" Type="http://schemas.openxmlformats.org/officeDocument/2006/relationships/hyperlink" Target="https://www.cambridge.org/core/journals/ps-political-science-and-politics/article/understanding-process-tracing/183A057AD6A36783E678CB37440346D1" TargetMode="External"/><Relationship Id="rId126" Type="http://schemas.openxmlformats.org/officeDocument/2006/relationships/hyperlink" Target="https://www.ncbi.nlm.nih.gov/pubmed/16053581" TargetMode="External"/><Relationship Id="rId134" Type="http://schemas.openxmlformats.org/officeDocument/2006/relationships/hyperlink" Target="http://enrd.ec.europa.eu/enrd-static/app_templates/enrd_assets/pdf/guidebook/nrn_handbook_webversion.pdf" TargetMode="External"/><Relationship Id="rId8" Type="http://schemas.openxmlformats.org/officeDocument/2006/relationships/hyperlink" Target="https://enrd.ec.europa.eu/evaluation/publications/evaluation-innovation-rural-development-programmes-2014-2020_en" TargetMode="External"/><Relationship Id="rId51" Type="http://schemas.openxmlformats.org/officeDocument/2006/relationships/image" Target="media/image15.emf"/><Relationship Id="rId72" Type="http://schemas.openxmlformats.org/officeDocument/2006/relationships/hyperlink" Target="https://enrd.ec.europa.eu/evaluation/publications/guidelines-assessment-rdp-results-how-prepare-reporting-evaluation-2017_en" TargetMode="External"/><Relationship Id="rId80" Type="http://schemas.openxmlformats.org/officeDocument/2006/relationships/header" Target="header7.xml"/><Relationship Id="rId85" Type="http://schemas.openxmlformats.org/officeDocument/2006/relationships/hyperlink" Target="http://www.men-d.de/index.php?id=81&amp;tx_ttnews%5btt_news%5d=150&amp;tx_ttnews%5bbackPid%5d=85&amp;cHash=41ecd4ea5c" TargetMode="External"/><Relationship Id="rId93" Type="http://schemas.openxmlformats.org/officeDocument/2006/relationships/hyperlink" Target="http://www.men-d.de/index.php?id=81&amp;tx_ttnews%5btt_news%5d=150&amp;tx_ttnews%5bbackPid%5d=85&amp;cHash=41ecd4ea5c" TargetMode="External"/><Relationship Id="rId98" Type="http://schemas.openxmlformats.org/officeDocument/2006/relationships/hyperlink" Target="https://enrd.ec.europa.eu/sites/enrd/files/uploaded-files/wp_evaluation_questions_2015.pdf" TargetMode="External"/><Relationship Id="rId121" Type="http://schemas.openxmlformats.org/officeDocument/2006/relationships/hyperlink" Target="https://www.gao.gov/products/GAO/PEMD-10.1.9"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enrd.ec.europa.eu/sites/enrd/files/uploaded-files/wp_evaluation_questions_2015.pdf" TargetMode="External"/><Relationship Id="rId38" Type="http://schemas.openxmlformats.org/officeDocument/2006/relationships/footer" Target="footer9.xml"/><Relationship Id="rId46" Type="http://schemas.openxmlformats.org/officeDocument/2006/relationships/hyperlink" Target="http://enrd.ec.europa.eu/news-events/events/enrd-workshop-measure-16-cooperation_de" TargetMode="External"/><Relationship Id="rId59" Type="http://schemas.openxmlformats.org/officeDocument/2006/relationships/hyperlink" Target="https://enrd.ec.europa.eu/evaluation/publications/guidelines-assessment-rdp-results-how-prepare-reporting-evaluation-2017_en" TargetMode="External"/><Relationship Id="rId67" Type="http://schemas.openxmlformats.org/officeDocument/2006/relationships/hyperlink" Target="http://enrd.ec.europa.eu/enrd-static/app_templates/enrd_assets/pdf/guidebook/nrn_handbook_webversion.pdf" TargetMode="External"/><Relationship Id="rId103" Type="http://schemas.openxmlformats.org/officeDocument/2006/relationships/hyperlink" Target="http://www.hnvlink.eu/download/D1.3BAcomplete.pdf" TargetMode="External"/><Relationship Id="rId108" Type="http://schemas.openxmlformats.org/officeDocument/2006/relationships/hyperlink" Target="http://ageconsearch.umn.edu/bitstream/52515/2/ILAC_Brief05_Histories.pdf" TargetMode="External"/><Relationship Id="rId116" Type="http://schemas.openxmlformats.org/officeDocument/2006/relationships/hyperlink" Target="http://betterevaluation.org/plan/approach/outcome_harvesting" TargetMode="External"/><Relationship Id="rId124" Type="http://schemas.openxmlformats.org/officeDocument/2006/relationships/hyperlink" Target="http://journals.sagepub.com/doi/abs/10.1177/1356389012451663" TargetMode="External"/><Relationship Id="rId129" Type="http://schemas.openxmlformats.org/officeDocument/2006/relationships/hyperlink" Target="https://ec.europa.eu/research/innovation-union/pdf/innovation-union-communication_de.pdf" TargetMode="External"/><Relationship Id="rId13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hyperlink" Target="https://enrd.ec.europa.eu/evaluation/publications/guidelines-assessment-rdp-results-how-prepare-reporting-evaluation-2017_en" TargetMode="External"/><Relationship Id="rId54" Type="http://schemas.openxmlformats.org/officeDocument/2006/relationships/hyperlink" Target="https://enrd.ec.europa.eu/evaluation/publications/guidelines-assessment-rdp-results-how-prepare-reporting-evaluation-2017_en" TargetMode="External"/><Relationship Id="rId62" Type="http://schemas.openxmlformats.org/officeDocument/2006/relationships/image" Target="media/image16.emf"/><Relationship Id="rId70" Type="http://schemas.openxmlformats.org/officeDocument/2006/relationships/hyperlink" Target="http://enrd.ec.europa.eu/enrd-static/evaluation/good-practices-workshops/national-rural-networks/en/national-rural-networks_en.html" TargetMode="External"/><Relationship Id="rId75" Type="http://schemas.openxmlformats.org/officeDocument/2006/relationships/hyperlink" Target="https://enrd.ec.europa.eu/evaluation/publications/guidelines-evaluation-national-rural-networks-2014-2020_de" TargetMode="External"/><Relationship Id="rId83" Type="http://schemas.openxmlformats.org/officeDocument/2006/relationships/hyperlink" Target="http://ec.europa.eu/eurostat/statistics-explained/index.php/Smarter,_greener,_more_inclusive_-_indicators_to_support_the_Europe_2020_strategy" TargetMode="External"/><Relationship Id="rId88" Type="http://schemas.openxmlformats.org/officeDocument/2006/relationships/hyperlink" Target="http://eur-lex.europa.eu/LexUriServ/LexUriServ.do?uri=COM:2010:2020:FIN:DE:PDF" TargetMode="External"/><Relationship Id="rId91" Type="http://schemas.openxmlformats.org/officeDocument/2006/relationships/hyperlink" Target="http://www.men-d.de/uploads/media/MEN-D_Jahresveranstaltung_2017.pdf" TargetMode="External"/><Relationship Id="rId96" Type="http://schemas.openxmlformats.org/officeDocument/2006/relationships/header" Target="header8.xml"/><Relationship Id="rId111" Type="http://schemas.openxmlformats.org/officeDocument/2006/relationships/hyperlink" Target="http://www.tandfonline.com/doi/abs/10.1080/135467896394447" TargetMode="External"/><Relationship Id="rId132" Type="http://schemas.openxmlformats.org/officeDocument/2006/relationships/hyperlink" Target="http://ec.europa.eu/eip/agriculture/sites/agri-eip/files/eip-guidelines-july-2014_en.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9.emf"/><Relationship Id="rId36" Type="http://schemas.openxmlformats.org/officeDocument/2006/relationships/footer" Target="footer7.xml"/><Relationship Id="rId49" Type="http://schemas.openxmlformats.org/officeDocument/2006/relationships/hyperlink" Target="https://ec.europa.eu/eip/agriculture/sites/agri-eip/files/16_measure_fiche_art_35_co-operation.pdf" TargetMode="External"/><Relationship Id="rId57" Type="http://schemas.openxmlformats.org/officeDocument/2006/relationships/hyperlink" Target="http://enrd.ec.europa.eu/news-events/events/enrd-workshop-measure-16-cooperation_de" TargetMode="External"/><Relationship Id="rId106" Type="http://schemas.openxmlformats.org/officeDocument/2006/relationships/hyperlink" Target="http://asq.org/quality-progress/2007/07/statistics/likert-scales-and-data-analyses.html" TargetMode="External"/><Relationship Id="rId114" Type="http://schemas.openxmlformats.org/officeDocument/2006/relationships/hyperlink" Target="http://journals.sagepub.com/doi/abs/10.1177/1356389012451663" TargetMode="External"/><Relationship Id="rId119" Type="http://schemas.openxmlformats.org/officeDocument/2006/relationships/hyperlink" Target="http://ageconsearch.umn.edu/bitstream/52515/2/ILAC_Brief05_Histories.pdf" TargetMode="External"/><Relationship Id="rId127" Type="http://schemas.openxmlformats.org/officeDocument/2006/relationships/hyperlink" Target="http://betterevaluation.org/plan/approach/outcome_harvesting" TargetMode="External"/><Relationship Id="rId10" Type="http://schemas.openxmlformats.org/officeDocument/2006/relationships/image" Target="media/image1.jpg"/><Relationship Id="rId31" Type="http://schemas.openxmlformats.org/officeDocument/2006/relationships/image" Target="media/image12.emf"/><Relationship Id="rId44" Type="http://schemas.openxmlformats.org/officeDocument/2006/relationships/hyperlink" Target="https://enrd.ec.europa.eu/evaluation/publications/guidelines-assessment-rdp-results-how-prepare-reporting-evaluation-2017_en" TargetMode="External"/><Relationship Id="rId52" Type="http://schemas.openxmlformats.org/officeDocument/2006/relationships/hyperlink" Target="https://enrd.ec.europa.eu/evaluation/publications/guidelines-assessment-rdp-results-how-prepare-reporting-evaluation-2017_en" TargetMode="External"/><Relationship Id="rId60" Type="http://schemas.openxmlformats.org/officeDocument/2006/relationships/hyperlink" Target="https://ec.europa.eu/eip/agriculture/sites/agri-eip/files/16_measure_fiche_art_35_co-operation.pdf" TargetMode="External"/><Relationship Id="rId65" Type="http://schemas.openxmlformats.org/officeDocument/2006/relationships/hyperlink" Target="https://enrd.ec.europa.eu/evaluation/publications/guidelines-assessment-rdp-results-how-prepare-reporting-evaluation-2017_en" TargetMode="External"/><Relationship Id="rId73" Type="http://schemas.openxmlformats.org/officeDocument/2006/relationships/hyperlink" Target="https://enrd.ec.europa.eu/evaluation/publications/guidelines-assessment-rdp-results-how-prepare-reporting-evaluation-2017_en" TargetMode="External"/><Relationship Id="rId78" Type="http://schemas.openxmlformats.org/officeDocument/2006/relationships/hyperlink" Target="http://enrd.ec.europa.eu/enrd-static/evaluation/good-practices-workshops/national-rural-networks/en/national-rural-networks_en.html" TargetMode="External"/><Relationship Id="rId81" Type="http://schemas.openxmlformats.org/officeDocument/2006/relationships/hyperlink" Target="http://eur-lex.europa.eu/LexUriServ/LexUriServ.do?uri=COM:2010:2020:FIN:DE:PDF" TargetMode="External"/><Relationship Id="rId86" Type="http://schemas.openxmlformats.org/officeDocument/2006/relationships/hyperlink" Target="http://www.men-d.de/index.php?id=81&amp;tx_ttnews%5btt_news%5d=150&amp;tx_ttnews%5bbackPid%5d=85&amp;cHash=41ecd4ea5c" TargetMode="External"/><Relationship Id="rId94" Type="http://schemas.openxmlformats.org/officeDocument/2006/relationships/hyperlink" Target="http://www.men-d.de/index.php?id=81&amp;tx_ttnews%5btt_news%5d=195&amp;tx_ttnews%5bbackPid%5d=85&amp;cHash=08539b2ad7" TargetMode="External"/><Relationship Id="rId99" Type="http://schemas.openxmlformats.org/officeDocument/2006/relationships/hyperlink" Target="https://enrd.ec.europa.eu/sites/enrd/files/uploaded-files/wp_evaluation_questions_2015.pdf" TargetMode="External"/><Relationship Id="rId101" Type="http://schemas.openxmlformats.org/officeDocument/2006/relationships/hyperlink" Target="http://www.hnvlink.eu/download/D1.3BAcomplete.pdf" TargetMode="External"/><Relationship Id="rId122" Type="http://schemas.openxmlformats.org/officeDocument/2006/relationships/hyperlink" Target="http://www.tandfonline.com/doi/abs/10.1080/135467896394447" TargetMode="External"/><Relationship Id="rId130" Type="http://schemas.openxmlformats.org/officeDocument/2006/relationships/hyperlink" Target="https://ec.europa.eu/eip/agriculture/sites/agri-eip/files/communication_on_eip_-_en.pdf" TargetMode="External"/><Relationship Id="rId135"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yperlink" Target="https://enrd.ec.europa.eu/evaluation/publications/evaluation-innovation-rural-development-programmes-2014-2020_en"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3.emf"/><Relationship Id="rId109" Type="http://schemas.openxmlformats.org/officeDocument/2006/relationships/hyperlink" Target="https://www.gao.gov/products/GAO/PEMD-10.1.9" TargetMode="External"/><Relationship Id="rId34" Type="http://schemas.openxmlformats.org/officeDocument/2006/relationships/hyperlink" Target="https://enrd.ec.europa.eu/evaluation/publications/guidelines-assessment-rdp-results-how-prepare-reporting-evaluation-2017_en" TargetMode="External"/><Relationship Id="rId50" Type="http://schemas.openxmlformats.org/officeDocument/2006/relationships/hyperlink" Target="http://enrd.ec.europa.eu/news-events/events/enrd-workshop-measure-16-cooperation_de" TargetMode="External"/><Relationship Id="rId55" Type="http://schemas.openxmlformats.org/officeDocument/2006/relationships/hyperlink" Target="https://enrd.ec.europa.eu/evaluation/publications/guidelines-assessment-rdp-results-how-prepare-reporting-evaluation-2017_en" TargetMode="External"/><Relationship Id="rId76" Type="http://schemas.openxmlformats.org/officeDocument/2006/relationships/hyperlink" Target="https://ec.europa.eu/eip/agriculture/en/publications/guidelines-programming-innovation-and" TargetMode="External"/><Relationship Id="rId97" Type="http://schemas.openxmlformats.org/officeDocument/2006/relationships/header" Target="header9.xml"/><Relationship Id="rId104" Type="http://schemas.openxmlformats.org/officeDocument/2006/relationships/hyperlink" Target="https://enrd.ec.europa.eu/sites/enrd/files/uploaded-files/wp_evaluation_questions_2015.pdf" TargetMode="External"/><Relationship Id="rId120" Type="http://schemas.openxmlformats.org/officeDocument/2006/relationships/hyperlink" Target="https://www.gao.gov/products/GAO/PEMD-10.1.9" TargetMode="External"/><Relationship Id="rId125" Type="http://schemas.openxmlformats.org/officeDocument/2006/relationships/hyperlink" Target="http://journals.sagepub.com/doi/abs/10.1177/1356389012451663" TargetMode="External"/><Relationship Id="rId7" Type="http://schemas.openxmlformats.org/officeDocument/2006/relationships/endnotes" Target="endnotes.xml"/><Relationship Id="rId71" Type="http://schemas.openxmlformats.org/officeDocument/2006/relationships/hyperlink" Target="http://enrd.ec.europa.eu/enrd-static/evaluation/good-practices-workshops/national-rural-networks/en/national-rural-networks_en.html" TargetMode="External"/><Relationship Id="rId92" Type="http://schemas.openxmlformats.org/officeDocument/2006/relationships/hyperlink" Target="http://www.men-d.de/index.php?id=81&amp;tx_ttnews%5btt_news%5d=150&amp;tx_ttnews%5bbackPid%5d=85&amp;cHash=41ecd4ea5c" TargetMode="Externa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5.emf"/><Relationship Id="rId40" Type="http://schemas.openxmlformats.org/officeDocument/2006/relationships/hyperlink" Target="https://enrd.ec.europa.eu/evaluation/publications/guidelines-assessment-rdp-results-how-prepare-reporting-evaluation-2017_en" TargetMode="External"/><Relationship Id="rId45" Type="http://schemas.openxmlformats.org/officeDocument/2006/relationships/hyperlink" Target="https://ec.europa.eu/eip/agriculture/sites/agri-eip/files/16_measure_fiche_art_35_co-operation.pdf" TargetMode="External"/><Relationship Id="rId66" Type="http://schemas.openxmlformats.org/officeDocument/2006/relationships/hyperlink" Target="https://enrd.ec.europa.eu/evaluation/publications/guidelines-assessment-rdp-results-how-prepare-reporting-evaluation-2017_en" TargetMode="External"/><Relationship Id="rId87" Type="http://schemas.openxmlformats.org/officeDocument/2006/relationships/hyperlink" Target="http://www.men-d.de/index.php?id=81&amp;tx_ttnews%5btt_news%5d=195&amp;tx_ttnews%5bbackPid%5d=85&amp;cHash=08539b2ad7" TargetMode="External"/><Relationship Id="rId110" Type="http://schemas.openxmlformats.org/officeDocument/2006/relationships/hyperlink" Target="https://www.gao.gov/products/GAO/PEMD-10.1.9" TargetMode="External"/><Relationship Id="rId115" Type="http://schemas.openxmlformats.org/officeDocument/2006/relationships/hyperlink" Target="https://www.ncbi.nlm.nih.gov/pubmed/16053581" TargetMode="External"/><Relationship Id="rId131" Type="http://schemas.openxmlformats.org/officeDocument/2006/relationships/hyperlink" Target="https://ec.europa.eu/eip/agriculture/en/content/innovation-support-services." TargetMode="External"/><Relationship Id="rId136" Type="http://schemas.openxmlformats.org/officeDocument/2006/relationships/fontTable" Target="fontTable.xml"/><Relationship Id="rId61" Type="http://schemas.openxmlformats.org/officeDocument/2006/relationships/hyperlink" Target="http://enrd.ec.europa.eu/news-events/events/enrd-workshop-measure-16-cooperation_de" TargetMode="External"/><Relationship Id="rId82" Type="http://schemas.openxmlformats.org/officeDocument/2006/relationships/hyperlink" Target="http://ec.europa.eu/eurostat/statistics-explained/index.php/Smarter,_greener,_more_inclusive_-_indicators_to_support_the_Europe_2020_strategy" TargetMode="External"/><Relationship Id="rId19"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pe2020/europe-2020-in-a-nutshell/targets/index_en.htm" TargetMode="External"/><Relationship Id="rId13" Type="http://schemas.openxmlformats.org/officeDocument/2006/relationships/hyperlink" Target="https://enrd.ec.europa.eu/evaluation/publications/working-document-common-evaluation-questions-rural-development-programmes_en" TargetMode="External"/><Relationship Id="rId18" Type="http://schemas.openxmlformats.org/officeDocument/2006/relationships/hyperlink" Target="http://enrd.ec.europa.eu/sites/enrd/files/w10_m16_finland_karlsson.pdf" TargetMode="External"/><Relationship Id="rId26" Type="http://schemas.openxmlformats.org/officeDocument/2006/relationships/hyperlink" Target="https://ec.europa.eu/info/business-economy-euro/economic-and-fiscal-policy-coordination/eu-economic-governance-monitoring-prevention-correction/european-semester/framework/europe-2020-strategy_de" TargetMode="External"/><Relationship Id="rId3" Type="http://schemas.openxmlformats.org/officeDocument/2006/relationships/hyperlink" Target="https://ec.europa.eu/eip/agriculture/sites/agri-eip/files/eip-agri_brochure_multi-actor_projects_2017_en_web.pdf" TargetMode="External"/><Relationship Id="rId21" Type="http://schemas.openxmlformats.org/officeDocument/2006/relationships/hyperlink" Target="https://enrd.ec.europa.eu/evaluation/publications/guidelines-assessment-rdp-results-how-prepare-reporting-evaluation-2017_en" TargetMode="External"/><Relationship Id="rId34" Type="http://schemas.openxmlformats.org/officeDocument/2006/relationships/hyperlink" Target="http://www.socialresearchmethods.net/kb/scallik.php" TargetMode="External"/><Relationship Id="rId7" Type="http://schemas.openxmlformats.org/officeDocument/2006/relationships/hyperlink" Target="http://ec.europa.eu/europe2020/europe-2020-in-a-nutshell/flagship-initiatives/index_en.htm" TargetMode="External"/><Relationship Id="rId12" Type="http://schemas.openxmlformats.org/officeDocument/2006/relationships/hyperlink" Target="https://www.jordbruksverket.se/utvardering" TargetMode="External"/><Relationship Id="rId17" Type="http://schemas.openxmlformats.org/officeDocument/2006/relationships/hyperlink" Target="https://ec.europa.eu/eip/agriculture/sites/agri-eip/files/16_measure_fiche_art_35_co-operation.pdf" TargetMode="External"/><Relationship Id="rId25" Type="http://schemas.openxmlformats.org/officeDocument/2006/relationships/hyperlink" Target="http://eur-lex.europa.eu/legal-content/de/ALL/?uri=CELEX:52010DC2020" TargetMode="External"/><Relationship Id="rId33" Type="http://schemas.openxmlformats.org/officeDocument/2006/relationships/hyperlink" Target="http://www.betterevaluation.org/en/resources/tools/innovation_history/innovation_timeline" TargetMode="External"/><Relationship Id="rId2" Type="http://schemas.openxmlformats.org/officeDocument/2006/relationships/hyperlink" Target="http://ec.europa.eu/research/participants/data/ref/h2020/wp/2018-2020/main/h2020-wp1820-food_en.pdf" TargetMode="External"/><Relationship Id="rId16" Type="http://schemas.openxmlformats.org/officeDocument/2006/relationships/hyperlink" Target="http://enrd.ec.europa.eu/evaluation/publications/working-document-common-evaluation-questions-rural-development-programmes_en" TargetMode="External"/><Relationship Id="rId20" Type="http://schemas.openxmlformats.org/officeDocument/2006/relationships/hyperlink" Target="http://enrd.ec.europa.eu/sites/enrd/files/w10_m16.5_hesse_de_vonkutzleben.pdf" TargetMode="External"/><Relationship Id="rId29" Type="http://schemas.openxmlformats.org/officeDocument/2006/relationships/hyperlink" Target="http://ec.europa.eu/eurostat/statistics-explained/index.php/Glossary:Gross_domestic_expenditure_on_R_%26_D_(GERD)/de" TargetMode="External"/><Relationship Id="rId1" Type="http://schemas.openxmlformats.org/officeDocument/2006/relationships/hyperlink" Target="https://ec.europa.eu/eip/agriculture/sites/agri-eip/files/pb_guidelines_eip_implementation_2014_en.pdf" TargetMode="External"/><Relationship Id="rId6" Type="http://schemas.openxmlformats.org/officeDocument/2006/relationships/hyperlink" Target="https://ec.europa.eu/eip/agriculture/sites/agri-eip/files/eip-agri_factsheet_cities_and_food_en_web.pdf" TargetMode="External"/><Relationship Id="rId11" Type="http://schemas.openxmlformats.org/officeDocument/2006/relationships/hyperlink" Target="https://enrd.ec.europa.eu/evaluation/publications/guidelines-assessment-rdp-results-how-prepare-reporting-evaluation-2017_en" TargetMode="External"/><Relationship Id="rId24" Type="http://schemas.openxmlformats.org/officeDocument/2006/relationships/hyperlink" Target="http://www.reterurale.it/flex/cm/pages/ServeBLOB.php/L/IT/IDPagina/16281" TargetMode="External"/><Relationship Id="rId32" Type="http://schemas.openxmlformats.org/officeDocument/2006/relationships/hyperlink" Target="%20http://www.betterevaluation.org/en/evaluation-options/processtracing" TargetMode="External"/><Relationship Id="rId5" Type="http://schemas.openxmlformats.org/officeDocument/2006/relationships/hyperlink" Target="https://ec.europa.eu/research/scar/pdf/akis-3_end_report.pdf" TargetMode="External"/><Relationship Id="rId15" Type="http://schemas.openxmlformats.org/officeDocument/2006/relationships/hyperlink" Target="https://ec.europa.eu/info/business-economy-euro/economic-and-fiscal-policy-coordination/eu-economic-governance-monitoring-prevention-correction/european-semester/framework/europe-2020-strategy_de" TargetMode="External"/><Relationship Id="rId23" Type="http://schemas.openxmlformats.org/officeDocument/2006/relationships/hyperlink" Target="https://enrd.ec.europa.eu/evaluation/publications/guidelines-evaluation-national-rural-networks-2014-2020_de" TargetMode="External"/><Relationship Id="rId28" Type="http://schemas.openxmlformats.org/officeDocument/2006/relationships/hyperlink" Target="http://www.oecd.org/publications/frascati-handbuch-2015-9789264291638-de.htm" TargetMode="External"/><Relationship Id="rId10" Type="http://schemas.openxmlformats.org/officeDocument/2006/relationships/hyperlink" Target="https://enrd.ec.europa.eu/evaluation/publications/guidelines-assessment-rdp-results-how-prepare-reporting-evaluation-2017_en" TargetMode="External"/><Relationship Id="rId19" Type="http://schemas.openxmlformats.org/officeDocument/2006/relationships/hyperlink" Target="https://ec.europa.eu/eip/agriculture/en/content/innovative-stable-reducing-ammonia-emissions" TargetMode="External"/><Relationship Id="rId31" Type="http://schemas.openxmlformats.org/officeDocument/2006/relationships/hyperlink" Target="http://www.analytictech.com/networks/whatis.htm" TargetMode="External"/><Relationship Id="rId4" Type="http://schemas.openxmlformats.org/officeDocument/2006/relationships/hyperlink" Target="http://www.gppq.fct.pt/h2020/_docs/brochuras/bioeco/agricultural-knowledge-innovation-systems-towards-2020_en.pdf%20" TargetMode="External"/><Relationship Id="rId9" Type="http://schemas.openxmlformats.org/officeDocument/2006/relationships/hyperlink" Target="https://ec.europa.eu/eip/agriculture/sites/agri-eip/files/field_event_attachments/sem-knowledge-20151203-pres02-inge_van_oost.pdf" TargetMode="External"/><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enrd.ec.europa.eu/evaluation/publications/working-document-common-evaluation-questions-rural-development-programmes_en" TargetMode="External"/><Relationship Id="rId27" Type="http://schemas.openxmlformats.org/officeDocument/2006/relationships/hyperlink" Target="http://ec.europa.eu/eurostat/statistics-explained/index.php/R_%26_D_expenditure/de" TargetMode="External"/><Relationship Id="rId30" Type="http://schemas.openxmlformats.org/officeDocument/2006/relationships/hyperlink" Target="http://enrd.ec.europa.eu/evaluation/publications/working-document-common-evaluation-questions-rural-development-programmes_en"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F07E3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cap="flat" cmpd="sng" algn="ctr">
          <a:solidFill>
            <a:srgbClr val="BE4A35"/>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CBFCA-8B19-4A6A-9A7A-4BC6DBC3B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25551</Words>
  <Characters>145644</Characters>
  <Application>Microsoft Office Word</Application>
  <DocSecurity>0</DocSecurity>
  <Lines>1213</Lines>
  <Paragraphs>341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2018-03-14T09:43:00Z</dcterms:created>
  <dcterms:modified xsi:type="dcterms:W3CDTF">2018-03-14T11:04:00Z</dcterms:modified>
</cp:coreProperties>
</file>