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484912" w14:textId="07132048" w:rsidR="00016061" w:rsidRPr="003726BE" w:rsidRDefault="003274F9" w:rsidP="00673940">
      <w:pPr>
        <w:pStyle w:val="HStandard"/>
        <w:rPr>
          <w:rFonts w:cs="Arial"/>
        </w:rPr>
      </w:pPr>
      <w:r>
        <w:rPr>
          <w:rFonts w:ascii="Times New Roman" w:hAnsi="Times New Roman"/>
          <w:noProof/>
          <w:sz w:val="24"/>
          <w:szCs w:val="24"/>
          <w:lang w:val="en-GB" w:eastAsia="en-GB" w:bidi="ar-SA"/>
        </w:rPr>
        <mc:AlternateContent>
          <mc:Choice Requires="wps">
            <w:drawing>
              <wp:anchor distT="45720" distB="45720" distL="114300" distR="114300" simplePos="0" relativeHeight="251660288" behindDoc="0" locked="0" layoutInCell="1" allowOverlap="1" wp14:anchorId="0A743225" wp14:editId="6E1C444C">
                <wp:simplePos x="0" y="0"/>
                <wp:positionH relativeFrom="column">
                  <wp:posOffset>295275</wp:posOffset>
                </wp:positionH>
                <wp:positionV relativeFrom="paragraph">
                  <wp:posOffset>7205980</wp:posOffset>
                </wp:positionV>
                <wp:extent cx="5124450" cy="982980"/>
                <wp:effectExtent l="0" t="0" r="19050" b="2667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0" cy="982980"/>
                        </a:xfrm>
                        <a:prstGeom prst="rect">
                          <a:avLst/>
                        </a:prstGeom>
                        <a:noFill/>
                        <a:ln w="9525">
                          <a:solidFill>
                            <a:srgbClr val="000000"/>
                          </a:solidFill>
                          <a:miter lim="800000"/>
                          <a:headEnd/>
                          <a:tailEnd/>
                        </a:ln>
                      </wps:spPr>
                      <wps:txbx>
                        <w:txbxContent>
                          <w:p w14:paraId="26B4720F" w14:textId="77777777" w:rsidR="003274F9" w:rsidRDefault="003274F9" w:rsidP="003274F9">
                            <w:pPr>
                              <w:rPr>
                                <w:rFonts w:cs="Arial"/>
                                <w:i/>
                              </w:rPr>
                            </w:pPr>
                            <w:r>
                              <w:rPr>
                                <w:rFonts w:cs="Arial"/>
                                <w:i/>
                              </w:rPr>
                              <w:t>This document contains translations of extracts of the September 2016 version of the “Guidelines Assessment of RDP Results: How to Prepare for Reporting on Evaluation in 2017”. These extracts are provided to make the Guidelines more useful and accessible to all stakeholders. It should be noted that the English version and its related annexes should be used as the definitive reference text. The English version and its annexes are available at the </w:t>
                            </w:r>
                            <w:hyperlink r:id="rId11" w:tgtFrame="_blank" w:history="1">
                              <w:r>
                                <w:rPr>
                                  <w:rStyle w:val="Hyperlink"/>
                                  <w:i/>
                                </w:rPr>
                                <w:t>following link</w:t>
                              </w:r>
                            </w:hyperlink>
                            <w:r>
                              <w:rPr>
                                <w:rFonts w:cs="Arial"/>
                                <w:i/>
                              </w:rPr>
                              <w:t xml:space="preserve">.  </w:t>
                            </w:r>
                          </w:p>
                          <w:p w14:paraId="73888143" w14:textId="77777777" w:rsidR="003274F9" w:rsidRDefault="003274F9" w:rsidP="003274F9">
                            <w:pPr>
                              <w:rPr>
                                <w:color w:val="21212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A743225" id="_x0000_t202" coordsize="21600,21600" o:spt="202" path="m,l,21600r21600,l21600,xe">
                <v:stroke joinstyle="miter"/>
                <v:path gradientshapeok="t" o:connecttype="rect"/>
              </v:shapetype>
              <v:shape id="Text Box 217" o:spid="_x0000_s1026" type="#_x0000_t202" style="position:absolute;left:0;text-align:left;margin-left:23.25pt;margin-top:567.4pt;width:403.5pt;height:77.4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" filled="f">
                <v:textbox>
                  <w:txbxContent>
                    <w:p w14:paraId="26B4720F" w14:textId="77777777" w:rsidR="003274F9" w:rsidRDefault="003274F9" w:rsidP="003274F9">
                      <w:pPr>
                        <w:rPr>
                          <w:rFonts w:cs="Arial"/>
                          <w:i/>
                        </w:rPr>
                      </w:pPr>
                      <w:r>
                        <w:rPr>
                          <w:rFonts w:cs="Arial"/>
                          <w:i/>
                        </w:rPr>
                        <w:t>This document contains translations of extracts of the September 2016 version of the “Guidelines Assessment of RDP Results: How to Prepare for Reporting on Evaluation in 2017”. These extracts are provided to make the Guidelines more useful and accessible to all stakeholders. It should be noted that the English version and its related annexes should be used as the definitive reference text. The English version and its annexes are available at the </w:t>
                      </w:r>
                      <w:hyperlink r:id="rId12" w:tgtFrame="_blank" w:history="1">
                        <w:r>
                          <w:rPr>
                            <w:rStyle w:val="Hyperlink"/>
                            <w:i/>
                          </w:rPr>
                          <w:t>following link</w:t>
                        </w:r>
                      </w:hyperlink>
                      <w:r>
                        <w:rPr>
                          <w:rFonts w:cs="Arial"/>
                          <w:i/>
                        </w:rPr>
                        <w:t xml:space="preserve">.  </w:t>
                      </w:r>
                    </w:p>
                    <w:p w14:paraId="73888143" w14:textId="77777777" w:rsidR="003274F9" w:rsidRDefault="003274F9" w:rsidP="003274F9">
                      <w:pPr>
                        <w:rPr>
                          <w:color w:val="212121"/>
                        </w:rPr>
                      </w:pPr>
                    </w:p>
                  </w:txbxContent>
                </v:textbox>
                <w10:wrap type="square"/>
              </v:shape>
            </w:pict>
          </mc:Fallback>
        </mc:AlternateContent>
      </w:r>
      <w:r w:rsidR="00541BA2" w:rsidRPr="003726BE">
        <w:rPr>
          <w:rFonts w:cs="Arial"/>
          <w:noProof/>
          <w:szCs w:val="24"/>
          <w:lang w:val="en-GB" w:eastAsia="en-GB" w:bidi="ar-SA"/>
        </w:rPr>
        <mc:AlternateContent>
          <mc:Choice Requires="wps">
            <w:drawing>
              <wp:anchor distT="0" distB="0" distL="114300" distR="114300" simplePos="0" relativeHeight="251658240" behindDoc="1" locked="0" layoutInCell="1" allowOverlap="1" wp14:anchorId="54BFFDED" wp14:editId="647D5FF6">
                <wp:simplePos x="0" y="0"/>
                <wp:positionH relativeFrom="page">
                  <wp:posOffset>2044700</wp:posOffset>
                </wp:positionH>
                <wp:positionV relativeFrom="page">
                  <wp:posOffset>5022850</wp:posOffset>
                </wp:positionV>
                <wp:extent cx="4958080" cy="3855720"/>
                <wp:effectExtent l="0" t="0" r="0" b="0"/>
                <wp:wrapTight wrapText="bothSides">
                  <wp:wrapPolygon edited="0">
                    <wp:start x="0" y="0"/>
                    <wp:lineTo x="0" y="21557"/>
                    <wp:lineTo x="21578" y="21557"/>
                    <wp:lineTo x="21578" y="0"/>
                    <wp:lineTo x="0" y="0"/>
                  </wp:wrapPolygon>
                </wp:wrapTight>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8080" cy="3855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254DD9" w14:textId="77777777" w:rsidR="00692535" w:rsidRPr="00CB34A3" w:rsidRDefault="00692535" w:rsidP="00185B1D">
                            <w:pPr>
                              <w:pStyle w:val="HTitle1"/>
                              <w:rPr>
                                <w:lang w:val="en-GB"/>
                              </w:rPr>
                            </w:pPr>
                            <w:r w:rsidRPr="00CB34A3">
                              <w:rPr>
                                <w:lang w:val="en-GB"/>
                              </w:rPr>
                              <w:t>GUIDELINES</w:t>
                            </w:r>
                          </w:p>
                          <w:p w14:paraId="2E284AA3" w14:textId="77777777" w:rsidR="00692535" w:rsidRPr="00CB34A3" w:rsidRDefault="00692535" w:rsidP="00185B1D">
                            <w:pPr>
                              <w:pStyle w:val="HTitle2"/>
                              <w:rPr>
                                <w:lang w:val="en-GB"/>
                              </w:rPr>
                            </w:pPr>
                            <w:r w:rsidRPr="00CB34A3">
                              <w:rPr>
                                <w:lang w:val="en-GB"/>
                              </w:rPr>
                              <w:t xml:space="preserve">ASSESSMENT OF RDP RESULTS: </w:t>
                            </w:r>
                            <w:r w:rsidRPr="00CB34A3">
                              <w:rPr>
                                <w:lang w:val="en-GB"/>
                              </w:rPr>
                              <w:br/>
                              <w:t>HOW TO PREPARE FOR REPORTING ON EVALUATION IN 2017</w:t>
                            </w:r>
                          </w:p>
                          <w:p w14:paraId="5AC409A8" w14:textId="77777777" w:rsidR="00692535" w:rsidRPr="00CB34A3" w:rsidRDefault="00692535" w:rsidP="00185B1D">
                            <w:pPr>
                              <w:pStyle w:val="HTitle2"/>
                              <w:rPr>
                                <w:szCs w:val="40"/>
                                <w:lang w:val="en-GB"/>
                              </w:rPr>
                            </w:pPr>
                          </w:p>
                          <w:p w14:paraId="2DB365F2" w14:textId="77777777" w:rsidR="00692535" w:rsidRPr="003726BE" w:rsidRDefault="00692535" w:rsidP="00631862">
                            <w:pPr>
                              <w:pStyle w:val="HTitle3"/>
                            </w:pPr>
                            <w:r w:rsidRPr="003726BE">
                              <w:t>September 2016</w:t>
                            </w:r>
                          </w:p>
                          <w:p w14:paraId="565ACEAD" w14:textId="77777777" w:rsidR="00692535" w:rsidRPr="00CB7E9D" w:rsidRDefault="00692535" w:rsidP="00185B1D">
                            <w:pPr>
                              <w:pStyle w:val="HTitle3"/>
                            </w:pPr>
                          </w:p>
                          <w:p w14:paraId="74B7B3E9" w14:textId="77777777" w:rsidR="00692535" w:rsidRPr="00CF67DB" w:rsidRDefault="00692535" w:rsidP="00185B1D">
                            <w:pPr>
                              <w:pStyle w:val="HTitle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BFFDED" id="Text Box 5" o:spid="_x0000_s1027" type="#_x0000_t202" style="position:absolute;left:0;text-align:left;margin-left:161pt;margin-top:395.5pt;width:390.4pt;height:303.6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8DdsgIAALE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" filled="f" stroked="f">
                <v:textbox inset="0,0,0,0">
                  <w:txbxContent>
                    <w:p w14:paraId="2C254DD9" w14:textId="77777777" w:rsidR="00692535" w:rsidRPr="00CB34A3" w:rsidRDefault="00692535" w:rsidP="00185B1D">
                      <w:pPr>
                        <w:pStyle w:val="HTitle1"/>
                        <w:rPr>
                          <w:lang w:val="en-GB"/>
                        </w:rPr>
                      </w:pPr>
                      <w:r w:rsidRPr="00CB34A3">
                        <w:rPr>
                          <w:lang w:val="en-GB"/>
                        </w:rPr>
                        <w:t>GUIDELINES</w:t>
                      </w:r>
                    </w:p>
                    <w:p w14:paraId="2E284AA3" w14:textId="77777777" w:rsidR="00692535" w:rsidRPr="00CB34A3" w:rsidRDefault="00692535" w:rsidP="00185B1D">
                      <w:pPr>
                        <w:pStyle w:val="HTitle2"/>
                        <w:rPr>
                          <w:lang w:val="en-GB"/>
                        </w:rPr>
                      </w:pPr>
                      <w:r w:rsidRPr="00CB34A3">
                        <w:rPr>
                          <w:lang w:val="en-GB"/>
                        </w:rPr>
                        <w:t xml:space="preserve">ASSESSMENT OF RDP RESULTS: </w:t>
                      </w:r>
                      <w:r w:rsidRPr="00CB34A3">
                        <w:rPr>
                          <w:lang w:val="en-GB"/>
                        </w:rPr>
                        <w:br/>
                        <w:t>HOW TO PREPARE FOR REPORTING ON EVALUATION IN 2017</w:t>
                      </w:r>
                    </w:p>
                    <w:p w14:paraId="5AC409A8" w14:textId="77777777" w:rsidR="00692535" w:rsidRPr="00CB34A3" w:rsidRDefault="00692535" w:rsidP="00185B1D">
                      <w:pPr>
                        <w:pStyle w:val="HTitle2"/>
                        <w:rPr>
                          <w:szCs w:val="40"/>
                          <w:lang w:val="en-GB"/>
                        </w:rPr>
                      </w:pPr>
                    </w:p>
                    <w:p w14:paraId="2DB365F2" w14:textId="77777777" w:rsidR="00692535" w:rsidRPr="003726BE" w:rsidRDefault="00692535" w:rsidP="00631862">
                      <w:pPr>
                        <w:pStyle w:val="HTitle3"/>
                      </w:pPr>
                      <w:r w:rsidRPr="003726BE">
                        <w:t>September 2016</w:t>
                      </w:r>
                    </w:p>
                    <w:p w14:paraId="565ACEAD" w14:textId="77777777" w:rsidR="00692535" w:rsidRPr="00CB7E9D" w:rsidRDefault="00692535" w:rsidP="00185B1D">
                      <w:pPr>
                        <w:pStyle w:val="HTitle3"/>
                      </w:pPr>
                    </w:p>
                    <w:p w14:paraId="74B7B3E9" w14:textId="77777777" w:rsidR="00692535" w:rsidRPr="00CF67DB" w:rsidRDefault="00692535" w:rsidP="00185B1D">
                      <w:pPr>
                        <w:pStyle w:val="HTitle3"/>
                      </w:pPr>
                    </w:p>
                  </w:txbxContent>
                </v:textbox>
                <w10:wrap type="tight" anchorx="page" anchory="page"/>
              </v:shape>
            </w:pict>
          </mc:Fallback>
        </mc:AlternateContent>
      </w:r>
      <w:r w:rsidR="00541BA2" w:rsidRPr="003726BE">
        <w:rPr>
          <w:rFonts w:cs="Arial"/>
          <w:noProof/>
          <w:lang w:val="en-GB" w:eastAsia="en-GB" w:bidi="ar-SA"/>
        </w:rPr>
        <w:drawing>
          <wp:anchor distT="0" distB="0" distL="114300" distR="114300" simplePos="0" relativeHeight="251656192" behindDoc="1" locked="0" layoutInCell="1" allowOverlap="1" wp14:anchorId="38D74BAA" wp14:editId="534B8A73">
            <wp:simplePos x="0" y="0"/>
            <wp:positionH relativeFrom="margin">
              <wp:posOffset>-918210</wp:posOffset>
            </wp:positionH>
            <wp:positionV relativeFrom="margin">
              <wp:posOffset>-914400</wp:posOffset>
            </wp:positionV>
            <wp:extent cx="7561580" cy="10683240"/>
            <wp:effectExtent l="19050" t="0" r="1270" b="0"/>
            <wp:wrapSquare wrapText="bothSides"/>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tomne-templat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61580" cy="10683240"/>
                    </a:xfrm>
                    <a:prstGeom prst="rect">
                      <a:avLst/>
                    </a:prstGeom>
                  </pic:spPr>
                </pic:pic>
              </a:graphicData>
            </a:graphic>
          </wp:anchor>
        </w:drawing>
      </w:r>
      <w:r w:rsidR="00541BA2" w:rsidRPr="003726BE">
        <w:br w:type="page"/>
      </w:r>
    </w:p>
    <w:p w14:paraId="37283006" w14:textId="77777777" w:rsidR="00016061" w:rsidRPr="003726BE" w:rsidRDefault="00541BA2" w:rsidP="00673940">
      <w:pPr>
        <w:pStyle w:val="HStandard"/>
        <w:rPr>
          <w:rFonts w:cs="Arial"/>
        </w:rPr>
      </w:pPr>
      <w:r w:rsidRPr="003726BE">
        <w:rPr>
          <w:rFonts w:cs="Arial"/>
          <w:noProof/>
          <w:lang w:val="en-GB" w:eastAsia="en-GB" w:bidi="ar-SA"/>
        </w:rPr>
        <w:lastRenderedPageBreak/>
        <mc:AlternateContent>
          <mc:Choice Requires="wps">
            <w:drawing>
              <wp:anchor distT="0" distB="0" distL="114300" distR="114300" simplePos="0" relativeHeight="251658752" behindDoc="0" locked="0" layoutInCell="1" allowOverlap="1" wp14:anchorId="316BC203" wp14:editId="0DFEC5E2">
                <wp:simplePos x="0" y="0"/>
                <wp:positionH relativeFrom="margin">
                  <wp:posOffset>-426085</wp:posOffset>
                </wp:positionH>
                <wp:positionV relativeFrom="paragraph">
                  <wp:posOffset>4095115</wp:posOffset>
                </wp:positionV>
                <wp:extent cx="6583680" cy="5161915"/>
                <wp:effectExtent l="0" t="0" r="0" b="0"/>
                <wp:wrapNone/>
                <wp:docPr id="1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3680" cy="5161915"/>
                        </a:xfrm>
                        <a:prstGeom prst="rect">
                          <a:avLst/>
                        </a:prstGeom>
                        <a:solidFill>
                          <a:srgbClr val="FFFFFF">
                            <a:alpha val="0"/>
                          </a:srgbClr>
                        </a:solidFill>
                        <a:ln>
                          <a:noFill/>
                        </a:ln>
                        <a:extLst/>
                      </wps:spPr>
                      <wps:txbx>
                        <w:txbxContent>
                          <w:p w14:paraId="6940BD2A" w14:textId="77777777" w:rsidR="00692535" w:rsidRPr="00CB34A3" w:rsidRDefault="00692535" w:rsidP="005B24FC">
                            <w:pPr>
                              <w:pStyle w:val="Hdisclaimer"/>
                              <w:rPr>
                                <w:lang w:val="en-GB"/>
                              </w:rPr>
                            </w:pPr>
                            <w:r w:rsidRPr="00CB34A3">
                              <w:rPr>
                                <w:lang w:val="en-GB"/>
                              </w:rPr>
                              <w:t>Copyright notice</w:t>
                            </w:r>
                          </w:p>
                          <w:p w14:paraId="73A5E9E4" w14:textId="77777777" w:rsidR="00692535" w:rsidRPr="00CB34A3" w:rsidRDefault="00692535" w:rsidP="005B24FC">
                            <w:pPr>
                              <w:pStyle w:val="Hdisclaimer"/>
                              <w:rPr>
                                <w:lang w:val="en-GB"/>
                              </w:rPr>
                            </w:pPr>
                            <w:r w:rsidRPr="00CB34A3">
                              <w:rPr>
                                <w:lang w:val="en-GB"/>
                              </w:rPr>
                              <w:t>© European Union, 2016</w:t>
                            </w:r>
                          </w:p>
                          <w:p w14:paraId="3F0AD6C6" w14:textId="77777777" w:rsidR="00692535" w:rsidRPr="00CB34A3" w:rsidRDefault="00692535" w:rsidP="005B24FC">
                            <w:pPr>
                              <w:pStyle w:val="Hdisclaimer"/>
                              <w:rPr>
                                <w:lang w:val="en-GB"/>
                              </w:rPr>
                            </w:pPr>
                            <w:r w:rsidRPr="00CB34A3">
                              <w:rPr>
                                <w:lang w:val="en-GB"/>
                              </w:rPr>
                              <w:t>Reproduction is authorised provided the source is acknowledged.</w:t>
                            </w:r>
                          </w:p>
                          <w:p w14:paraId="1DDE4904" w14:textId="77777777" w:rsidR="00692535" w:rsidRPr="00CB34A3" w:rsidRDefault="00692535" w:rsidP="005B24FC">
                            <w:pPr>
                              <w:pStyle w:val="Hdisclaimer"/>
                              <w:rPr>
                                <w:lang w:val="en-GB"/>
                              </w:rPr>
                            </w:pPr>
                            <w:r w:rsidRPr="00CB34A3">
                              <w:rPr>
                                <w:lang w:val="en-GB"/>
                              </w:rPr>
                              <w:t>Recommended citation: EUROPEAN COMMISSION – Directorate-General for Agriculture and Rural Development – Unit E.4 (2016): Guidelines. Assessment of RDP results: How to prepare for reporting on evaluation in 2017. Brussels</w:t>
                            </w:r>
                          </w:p>
                          <w:p w14:paraId="73A3E52F" w14:textId="77777777" w:rsidR="00692535" w:rsidRPr="00CB34A3" w:rsidRDefault="00692535" w:rsidP="005B24FC">
                            <w:pPr>
                              <w:pStyle w:val="Hdisclaimer"/>
                              <w:rPr>
                                <w:lang w:val="en-GB"/>
                              </w:rPr>
                            </w:pPr>
                            <w:r w:rsidRPr="00CB34A3">
                              <w:rPr>
                                <w:lang w:val="en-GB"/>
                              </w:rPr>
                              <w:t>Disclaimer:</w:t>
                            </w:r>
                          </w:p>
                          <w:p w14:paraId="719C27E5" w14:textId="77777777" w:rsidR="00692535" w:rsidRPr="00CB34A3" w:rsidRDefault="00692535" w:rsidP="005B24FC">
                            <w:pPr>
                              <w:pStyle w:val="Hdisclaimer"/>
                              <w:rPr>
                                <w:lang w:val="en-GB"/>
                              </w:rPr>
                            </w:pPr>
                            <w:r w:rsidRPr="00CB34A3">
                              <w:rPr>
                                <w:lang w:val="en-GB"/>
                              </w:rPr>
                              <w:t>The information and views set out in this report are those of the author(s) and do not necessarily reflect the official opinion of the Commission. The Commission does not guarantee the accuracy of the data included in this report. Neither the Commission nor any person acting on the Commission’s behalf may be held responsible for the use which may be made of the information contained therein.</w:t>
                            </w:r>
                          </w:p>
                          <w:p w14:paraId="0EB364B8" w14:textId="77777777" w:rsidR="00692535" w:rsidRPr="003726BE" w:rsidRDefault="00692535" w:rsidP="005B24FC">
                            <w:pPr>
                              <w:pStyle w:val="Hdisclaimer"/>
                              <w:tabs>
                                <w:tab w:val="right" w:pos="10065"/>
                              </w:tabs>
                            </w:pPr>
                            <w:r w:rsidRPr="003726BE">
                              <w:rPr>
                                <w:noProof/>
                                <w:lang w:val="en-GB" w:eastAsia="en-GB" w:bidi="ar-SA"/>
                              </w:rPr>
                              <w:drawing>
                                <wp:inline distT="0" distB="0" distL="0" distR="0" wp14:anchorId="12C71DCD" wp14:editId="7BCEF5B2">
                                  <wp:extent cx="1676400" cy="792474"/>
                                  <wp:effectExtent l="0" t="0" r="0" b="8255"/>
                                  <wp:docPr id="14" name="Image 4" descr="Logo-O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descr="Logo-OK3.jpg"/>
                                          <pic:cNvPicPr>
                                            <a:picLocks noChangeAspect="1"/>
                                          </pic:cNvPicPr>
                                        </pic:nvPicPr>
                                        <pic:blipFill rotWithShape="1">
                                          <a:blip r:embed="rId14">
                                            <a:extLst>
                                              <a:ext uri="{28A0092B-C50C-407E-A947-70E740481C1C}">
                                                <a14:useLocalDpi xmlns:a14="http://schemas.microsoft.com/office/drawing/2010/main" val="0"/>
                                              </a:ext>
                                            </a:extLst>
                                          </a:blip>
                                          <a:srcRect l="19669" r="17921"/>
                                          <a:stretch/>
                                        </pic:blipFill>
                                        <pic:spPr bwMode="auto">
                                          <a:xfrm>
                                            <a:off x="0" y="0"/>
                                            <a:ext cx="1679386" cy="793886"/>
                                          </a:xfrm>
                                          <a:prstGeom prst="rect">
                                            <a:avLst/>
                                          </a:prstGeom>
                                          <a:ln>
                                            <a:noFill/>
                                          </a:ln>
                                          <a:extLst>
                                            <a:ext uri="{53640926-AAD7-44D8-BBD7-CCE9431645EC}">
                                              <a14:shadowObscured xmlns:a14="http://schemas.microsoft.com/office/drawing/2010/main"/>
                                            </a:ext>
                                          </a:extLst>
                                        </pic:spPr>
                                      </pic:pic>
                                    </a:graphicData>
                                  </a:graphic>
                                </wp:inline>
                              </w:drawing>
                            </w:r>
                            <w:r w:rsidRPr="003726BE">
                              <w:tab/>
                            </w:r>
                            <w:r w:rsidRPr="003726BE">
                              <w:rPr>
                                <w:noProof/>
                                <w:lang w:val="en-GB" w:eastAsia="en-GB" w:bidi="ar-SA"/>
                              </w:rPr>
                              <w:drawing>
                                <wp:inline distT="0" distB="0" distL="0" distR="0" wp14:anchorId="4DB49EA8" wp14:editId="25376993">
                                  <wp:extent cx="1808480" cy="665125"/>
                                  <wp:effectExtent l="0" t="0" r="1270" b="1905"/>
                                  <wp:docPr id="16" name="Image 9" descr="V:\Public\Projets en cours\METIS\Template word\logoRURAL develop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Public\Projets en cours\METIS\Template word\logoRURAL development.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08480" cy="665125"/>
                                          </a:xfrm>
                                          <a:prstGeom prst="rect">
                                            <a:avLst/>
                                          </a:prstGeom>
                                          <a:noFill/>
                                          <a:ln>
                                            <a:noFill/>
                                          </a:ln>
                                        </pic:spPr>
                                      </pic:pic>
                                    </a:graphicData>
                                  </a:graphic>
                                </wp:inline>
                              </w:drawing>
                            </w:r>
                          </w:p>
                          <w:p w14:paraId="132BA94F" w14:textId="77777777" w:rsidR="00692535" w:rsidRPr="00CB34A3" w:rsidRDefault="00692535" w:rsidP="005B24FC">
                            <w:pPr>
                              <w:pStyle w:val="Hdisclaimer"/>
                              <w:rPr>
                                <w:lang w:val="en-GB"/>
                              </w:rPr>
                            </w:pPr>
                            <w:r w:rsidRPr="00CB34A3">
                              <w:rPr>
                                <w:lang w:val="en-GB"/>
                              </w:rPr>
                              <w:t>The Evaluation Helpdesk is responsible for the evaluation function within the European Network for Rural Development (ENRD) by providing guidance on the evaluation of RDPs and policies falling under the remit and guidance of DG AGRI’s Unit E.4 'Evaluation and studies' of the European Commission (EC). In order to improve the evaluation of EU rural development policy the Evaluation Helpdesk supports all evaluation stakeholders, in particular DG AGRI, national authorities, RDP managing authorities and evaluators, through the development and dissemination of appropriate methodologies and tools; the collection and exchange of good practices; capacity building, and communicating with network members on evaluation related topics.</w:t>
                            </w:r>
                          </w:p>
                          <w:p w14:paraId="0D0AF399" w14:textId="77777777" w:rsidR="00692535" w:rsidRPr="00CB34A3" w:rsidRDefault="00692535" w:rsidP="005B24FC">
                            <w:pPr>
                              <w:pStyle w:val="Hdisclaimer"/>
                              <w:rPr>
                                <w:lang w:val="en-GB"/>
                              </w:rPr>
                            </w:pPr>
                            <w:r w:rsidRPr="00CB34A3">
                              <w:rPr>
                                <w:lang w:val="en-GB"/>
                              </w:rPr>
                              <w:t>Additional information about the activities of European Evaluation Helpdesk for Rural Development is available on the Internet through the Europa server (http://enrd.ec.europa.eu).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6BC203" id="Text Box 7" o:spid="_x0000_s1028" type="#_x0000_t202" style="position:absolute;left:0;text-align:left;margin-left:-33.55pt;margin-top:322.45pt;width:518.4pt;height:406.45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" stroked="f">
                <v:fill opacity="0"/>
                <v:textbox>
                  <w:txbxContent>
                    <w:p w14:paraId="6940BD2A" w14:textId="77777777" w:rsidR="00692535" w:rsidRPr="00CB34A3" w:rsidRDefault="00692535" w:rsidP="005B24FC">
                      <w:pPr>
                        <w:pStyle w:val="Hdisclaimer"/>
                        <w:rPr>
                          <w:lang w:val="en-GB"/>
                        </w:rPr>
                      </w:pPr>
                      <w:r w:rsidRPr="00CB34A3">
                        <w:rPr>
                          <w:lang w:val="en-GB"/>
                        </w:rPr>
                        <w:t>Copyright notice</w:t>
                      </w:r>
                    </w:p>
                    <w:p w14:paraId="73A5E9E4" w14:textId="77777777" w:rsidR="00692535" w:rsidRPr="00CB34A3" w:rsidRDefault="00692535" w:rsidP="005B24FC">
                      <w:pPr>
                        <w:pStyle w:val="Hdisclaimer"/>
                        <w:rPr>
                          <w:lang w:val="en-GB"/>
                        </w:rPr>
                      </w:pPr>
                      <w:r w:rsidRPr="00CB34A3">
                        <w:rPr>
                          <w:lang w:val="en-GB"/>
                        </w:rPr>
                        <w:t>© European Union, 2016</w:t>
                      </w:r>
                    </w:p>
                    <w:p w14:paraId="3F0AD6C6" w14:textId="77777777" w:rsidR="00692535" w:rsidRPr="00CB34A3" w:rsidRDefault="00692535" w:rsidP="005B24FC">
                      <w:pPr>
                        <w:pStyle w:val="Hdisclaimer"/>
                        <w:rPr>
                          <w:lang w:val="en-GB"/>
                        </w:rPr>
                      </w:pPr>
                      <w:r w:rsidRPr="00CB34A3">
                        <w:rPr>
                          <w:lang w:val="en-GB"/>
                        </w:rPr>
                        <w:t>Reproduction is authorised provided the source is acknowledged.</w:t>
                      </w:r>
                    </w:p>
                    <w:p w14:paraId="1DDE4904" w14:textId="77777777" w:rsidR="00692535" w:rsidRPr="00CB34A3" w:rsidRDefault="00692535" w:rsidP="005B24FC">
                      <w:pPr>
                        <w:pStyle w:val="Hdisclaimer"/>
                        <w:rPr>
                          <w:lang w:val="en-GB"/>
                        </w:rPr>
                      </w:pPr>
                      <w:r w:rsidRPr="00CB34A3">
                        <w:rPr>
                          <w:lang w:val="en-GB"/>
                        </w:rPr>
                        <w:t>Recommended citation: EUROPEAN COMMISSION – Directorate-General for Agriculture and Rural Development – Unit E.4 (2016): Guidelines. Assessment of RDP results: How to prepare for reporting on evaluation in 2017. Brussels</w:t>
                      </w:r>
                    </w:p>
                    <w:p w14:paraId="73A3E52F" w14:textId="77777777" w:rsidR="00692535" w:rsidRPr="00CB34A3" w:rsidRDefault="00692535" w:rsidP="005B24FC">
                      <w:pPr>
                        <w:pStyle w:val="Hdisclaimer"/>
                        <w:rPr>
                          <w:lang w:val="en-GB"/>
                        </w:rPr>
                      </w:pPr>
                      <w:r w:rsidRPr="00CB34A3">
                        <w:rPr>
                          <w:lang w:val="en-GB"/>
                        </w:rPr>
                        <w:t>Disclaimer:</w:t>
                      </w:r>
                    </w:p>
                    <w:p w14:paraId="719C27E5" w14:textId="77777777" w:rsidR="00692535" w:rsidRPr="00CB34A3" w:rsidRDefault="00692535" w:rsidP="005B24FC">
                      <w:pPr>
                        <w:pStyle w:val="Hdisclaimer"/>
                        <w:rPr>
                          <w:lang w:val="en-GB"/>
                        </w:rPr>
                      </w:pPr>
                      <w:r w:rsidRPr="00CB34A3">
                        <w:rPr>
                          <w:lang w:val="en-GB"/>
                        </w:rPr>
                        <w:t>The information and views set out in this report are those of the author(s) and do not necessarily reflect the official opinion of the Commission. The Commission does not guarantee the accuracy of the data included in this report. Neither the Commission nor any person acting on the Commission’s behalf may be held responsible for the use which may be made of the information contained therein.</w:t>
                      </w:r>
                    </w:p>
                    <w:p w14:paraId="0EB364B8" w14:textId="77777777" w:rsidR="00692535" w:rsidRPr="003726BE" w:rsidRDefault="00692535" w:rsidP="005B24FC">
                      <w:pPr>
                        <w:pStyle w:val="Hdisclaimer"/>
                        <w:tabs>
                          <w:tab w:val="right" w:pos="10065"/>
                        </w:tabs>
                      </w:pPr>
                      <w:r w:rsidRPr="003726BE">
                        <w:rPr>
                          <w:noProof/>
                          <w:lang w:val="en-GB" w:eastAsia="en-GB" w:bidi="ar-SA"/>
                        </w:rPr>
                        <w:drawing>
                          <wp:inline distT="0" distB="0" distL="0" distR="0" wp14:anchorId="12C71DCD" wp14:editId="7BCEF5B2">
                            <wp:extent cx="1676400" cy="792474"/>
                            <wp:effectExtent l="0" t="0" r="0" b="8255"/>
                            <wp:docPr id="14" name="Image 4" descr="Logo-O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descr="Logo-OK3.jpg"/>
                                    <pic:cNvPicPr>
                                      <a:picLocks noChangeAspect="1"/>
                                    </pic:cNvPicPr>
                                  </pic:nvPicPr>
                                  <pic:blipFill rotWithShape="1">
                                    <a:blip r:embed="rId14">
                                      <a:extLst>
                                        <a:ext uri="{28A0092B-C50C-407E-A947-70E740481C1C}">
                                          <a14:useLocalDpi xmlns:a14="http://schemas.microsoft.com/office/drawing/2010/main" val="0"/>
                                        </a:ext>
                                      </a:extLst>
                                    </a:blip>
                                    <a:srcRect l="19669" r="17921"/>
                                    <a:stretch/>
                                  </pic:blipFill>
                                  <pic:spPr bwMode="auto">
                                    <a:xfrm>
                                      <a:off x="0" y="0"/>
                                      <a:ext cx="1679386" cy="793886"/>
                                    </a:xfrm>
                                    <a:prstGeom prst="rect">
                                      <a:avLst/>
                                    </a:prstGeom>
                                    <a:ln>
                                      <a:noFill/>
                                    </a:ln>
                                    <a:extLst>
                                      <a:ext uri="{53640926-AAD7-44D8-BBD7-CCE9431645EC}">
                                        <a14:shadowObscured xmlns:a14="http://schemas.microsoft.com/office/drawing/2010/main"/>
                                      </a:ext>
                                    </a:extLst>
                                  </pic:spPr>
                                </pic:pic>
                              </a:graphicData>
                            </a:graphic>
                          </wp:inline>
                        </w:drawing>
                      </w:r>
                      <w:r w:rsidRPr="003726BE">
                        <w:tab/>
                      </w:r>
                      <w:r w:rsidRPr="003726BE">
                        <w:rPr>
                          <w:noProof/>
                          <w:lang w:val="en-GB" w:eastAsia="en-GB" w:bidi="ar-SA"/>
                        </w:rPr>
                        <w:drawing>
                          <wp:inline distT="0" distB="0" distL="0" distR="0" wp14:anchorId="4DB49EA8" wp14:editId="25376993">
                            <wp:extent cx="1808480" cy="665125"/>
                            <wp:effectExtent l="0" t="0" r="1270" b="1905"/>
                            <wp:docPr id="16" name="Image 9" descr="V:\Public\Projets en cours\METIS\Template word\logoRURAL develop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Public\Projets en cours\METIS\Template word\logoRURAL development.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08480" cy="665125"/>
                                    </a:xfrm>
                                    <a:prstGeom prst="rect">
                                      <a:avLst/>
                                    </a:prstGeom>
                                    <a:noFill/>
                                    <a:ln>
                                      <a:noFill/>
                                    </a:ln>
                                  </pic:spPr>
                                </pic:pic>
                              </a:graphicData>
                            </a:graphic>
                          </wp:inline>
                        </w:drawing>
                      </w:r>
                    </w:p>
                    <w:p w14:paraId="132BA94F" w14:textId="77777777" w:rsidR="00692535" w:rsidRPr="00CB34A3" w:rsidRDefault="00692535" w:rsidP="005B24FC">
                      <w:pPr>
                        <w:pStyle w:val="Hdisclaimer"/>
                        <w:rPr>
                          <w:lang w:val="en-GB"/>
                        </w:rPr>
                      </w:pPr>
                      <w:r w:rsidRPr="00CB34A3">
                        <w:rPr>
                          <w:lang w:val="en-GB"/>
                        </w:rPr>
                        <w:t>The Evaluation Helpdesk is responsible for the evaluation function within the European Network for Rural Development (ENRD) by providing guidance on the evaluation of RDPs and policies falling under the remit and guidance of DG AGRI’s Unit E.4 'Evaluation and studies' of the European Commission (EC). In order to improve the evaluation of EU rural development policy the Evaluation Helpdesk supports all evaluation stakeholders, in particular DG AGRI, national authorities, RDP managing authorities and evaluators, through the development and dissemination of appropriate methodologies and tools; the collection and exchange of good practices; capacity building, and communicating with network members on evaluation related topics.</w:t>
                      </w:r>
                    </w:p>
                    <w:p w14:paraId="0D0AF399" w14:textId="77777777" w:rsidR="00692535" w:rsidRPr="00CB34A3" w:rsidRDefault="00692535" w:rsidP="005B24FC">
                      <w:pPr>
                        <w:pStyle w:val="Hdisclaimer"/>
                        <w:rPr>
                          <w:lang w:val="en-GB"/>
                        </w:rPr>
                      </w:pPr>
                      <w:r w:rsidRPr="00CB34A3">
                        <w:rPr>
                          <w:lang w:val="en-GB"/>
                        </w:rPr>
                        <w:t>Additional information about the activities of European Evaluation Helpdesk for Rural Development is available on the Internet through the Europa server (http://enrd.ec.europa.eu).</w:t>
                      </w:r>
                    </w:p>
                  </w:txbxContent>
                </v:textbox>
                <w10:wrap anchorx="margin"/>
              </v:shape>
            </w:pict>
          </mc:Fallback>
        </mc:AlternateContent>
      </w:r>
      <w:r w:rsidRPr="003726BE">
        <w:br w:type="page"/>
      </w:r>
    </w:p>
    <w:p w14:paraId="1BC73305" w14:textId="77777777" w:rsidR="00016061" w:rsidRPr="003726BE" w:rsidRDefault="00016061" w:rsidP="00673940">
      <w:pPr>
        <w:pStyle w:val="HStandard"/>
        <w:rPr>
          <w:rFonts w:cs="Arial"/>
        </w:rPr>
      </w:pPr>
    </w:p>
    <w:p w14:paraId="43FCFC51" w14:textId="77777777" w:rsidR="00016061" w:rsidRPr="003726BE" w:rsidRDefault="00016061" w:rsidP="00673940">
      <w:pPr>
        <w:pStyle w:val="HStandard"/>
        <w:rPr>
          <w:rFonts w:cs="Arial"/>
        </w:rPr>
      </w:pPr>
    </w:p>
    <w:p w14:paraId="5B687D6D" w14:textId="77777777" w:rsidR="00016061" w:rsidRPr="003726BE" w:rsidRDefault="00016061" w:rsidP="00673940">
      <w:pPr>
        <w:pStyle w:val="HStandard"/>
        <w:rPr>
          <w:rFonts w:cs="Arial"/>
        </w:rPr>
      </w:pPr>
    </w:p>
    <w:p w14:paraId="52A09BCF" w14:textId="77777777" w:rsidR="00016061" w:rsidRPr="003726BE" w:rsidRDefault="00541BA2" w:rsidP="00673940">
      <w:pPr>
        <w:pStyle w:val="HStandard"/>
        <w:rPr>
          <w:rFonts w:cs="Arial"/>
        </w:rPr>
      </w:pPr>
      <w:r w:rsidRPr="003726BE">
        <w:rPr>
          <w:rFonts w:cs="Arial"/>
          <w:noProof/>
          <w:lang w:val="en-GB" w:eastAsia="en-GB" w:bidi="ar-SA"/>
        </w:rPr>
        <mc:AlternateContent>
          <mc:Choice Requires="wps">
            <w:drawing>
              <wp:anchor distT="0" distB="0" distL="114300" distR="114300" simplePos="0" relativeHeight="251660800" behindDoc="1" locked="0" layoutInCell="1" allowOverlap="1" wp14:anchorId="01FA2BF3" wp14:editId="7574A945">
                <wp:simplePos x="0" y="0"/>
                <wp:positionH relativeFrom="page">
                  <wp:posOffset>2204720</wp:posOffset>
                </wp:positionH>
                <wp:positionV relativeFrom="page">
                  <wp:posOffset>5175250</wp:posOffset>
                </wp:positionV>
                <wp:extent cx="4958080" cy="3855720"/>
                <wp:effectExtent l="0" t="0" r="0" b="0"/>
                <wp:wrapTight wrapText="bothSides">
                  <wp:wrapPolygon edited="0">
                    <wp:start x="0" y="0"/>
                    <wp:lineTo x="0" y="21557"/>
                    <wp:lineTo x="21578" y="21557"/>
                    <wp:lineTo x="21578" y="0"/>
                    <wp:lineTo x="0" y="0"/>
                  </wp:wrapPolygon>
                </wp:wrapTight>
                <wp:docPr id="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8080" cy="3855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CBF7C1" w14:textId="77777777" w:rsidR="00692535" w:rsidRPr="00CB34A3" w:rsidRDefault="00692535" w:rsidP="00EE0DAB">
                            <w:pPr>
                              <w:pStyle w:val="HTitle1"/>
                              <w:rPr>
                                <w:lang w:val="en-GB"/>
                              </w:rPr>
                            </w:pPr>
                            <w:r w:rsidRPr="00CB34A3">
                              <w:rPr>
                                <w:lang w:val="en-GB"/>
                              </w:rPr>
                              <w:t>GUIDELINES</w:t>
                            </w:r>
                          </w:p>
                          <w:p w14:paraId="22EC8B72" w14:textId="77777777" w:rsidR="00692535" w:rsidRPr="00CB34A3" w:rsidRDefault="00692535" w:rsidP="00EE0DAB">
                            <w:pPr>
                              <w:pStyle w:val="HTitle2"/>
                              <w:rPr>
                                <w:lang w:val="en-GB"/>
                              </w:rPr>
                            </w:pPr>
                            <w:r w:rsidRPr="00CB34A3">
                              <w:rPr>
                                <w:lang w:val="en-GB"/>
                              </w:rPr>
                              <w:t xml:space="preserve">ASSESSMENT OF RDP RESULTS: </w:t>
                            </w:r>
                            <w:r w:rsidRPr="00CB34A3">
                              <w:rPr>
                                <w:lang w:val="en-GB"/>
                              </w:rPr>
                              <w:br/>
                              <w:t>HOW TO PREPARE FOR REPORTING ON EVALUATION IN 2017</w:t>
                            </w:r>
                          </w:p>
                          <w:p w14:paraId="67AE5034" w14:textId="77777777" w:rsidR="00692535" w:rsidRPr="00CB34A3" w:rsidRDefault="00692535" w:rsidP="00EE0DAB">
                            <w:pPr>
                              <w:pStyle w:val="HTitle2"/>
                              <w:rPr>
                                <w:szCs w:val="40"/>
                                <w:lang w:val="en-GB"/>
                              </w:rPr>
                            </w:pPr>
                          </w:p>
                          <w:p w14:paraId="2547D926" w14:textId="77777777" w:rsidR="00692535" w:rsidRPr="003726BE" w:rsidRDefault="00692535" w:rsidP="00EE0DAB">
                            <w:pPr>
                              <w:pStyle w:val="HTitle3"/>
                            </w:pPr>
                            <w:r w:rsidRPr="003726BE">
                              <w:t>September 2016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FA2BF3" id="Text Box 16" o:spid="_x0000_s1029" type="#_x0000_t202" style="position:absolute;left:0;text-align:left;margin-left:173.6pt;margin-top:407.5pt;width:390.4pt;height:303.6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z7DswIAALI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" filled="f" stroked="f">
                <v:textbox inset="0,0,0,0">
                  <w:txbxContent>
                    <w:p w14:paraId="63CBF7C1" w14:textId="77777777" w:rsidR="00692535" w:rsidRPr="00CB34A3" w:rsidRDefault="00692535" w:rsidP="00EE0DAB">
                      <w:pPr>
                        <w:pStyle w:val="HTitle1"/>
                        <w:rPr>
                          <w:lang w:val="en-GB"/>
                        </w:rPr>
                      </w:pPr>
                      <w:r w:rsidRPr="00CB34A3">
                        <w:rPr>
                          <w:lang w:val="en-GB"/>
                        </w:rPr>
                        <w:t>GUIDELINES</w:t>
                      </w:r>
                    </w:p>
                    <w:p w14:paraId="22EC8B72" w14:textId="77777777" w:rsidR="00692535" w:rsidRPr="00CB34A3" w:rsidRDefault="00692535" w:rsidP="00EE0DAB">
                      <w:pPr>
                        <w:pStyle w:val="HTitle2"/>
                        <w:rPr>
                          <w:lang w:val="en-GB"/>
                        </w:rPr>
                      </w:pPr>
                      <w:r w:rsidRPr="00CB34A3">
                        <w:rPr>
                          <w:lang w:val="en-GB"/>
                        </w:rPr>
                        <w:t xml:space="preserve">ASSESSMENT OF RDP RESULTS: </w:t>
                      </w:r>
                      <w:r w:rsidRPr="00CB34A3">
                        <w:rPr>
                          <w:lang w:val="en-GB"/>
                        </w:rPr>
                        <w:br/>
                        <w:t>HOW TO PREPARE FOR REPORTING ON EVALUATION IN 2017</w:t>
                      </w:r>
                    </w:p>
                    <w:p w14:paraId="67AE5034" w14:textId="77777777" w:rsidR="00692535" w:rsidRPr="00CB34A3" w:rsidRDefault="00692535" w:rsidP="00EE0DAB">
                      <w:pPr>
                        <w:pStyle w:val="HTitle2"/>
                        <w:rPr>
                          <w:szCs w:val="40"/>
                          <w:lang w:val="en-GB"/>
                        </w:rPr>
                      </w:pPr>
                    </w:p>
                    <w:p w14:paraId="2547D926" w14:textId="77777777" w:rsidR="00692535" w:rsidRPr="003726BE" w:rsidRDefault="00692535" w:rsidP="00EE0DAB">
                      <w:pPr>
                        <w:pStyle w:val="HTitle3"/>
                      </w:pPr>
                      <w:r w:rsidRPr="003726BE">
                        <w:t>September 2016</w:t>
                      </w:r>
                    </w:p>
                  </w:txbxContent>
                </v:textbox>
                <w10:wrap type="tight" anchorx="page" anchory="page"/>
              </v:shape>
            </w:pict>
          </mc:Fallback>
        </mc:AlternateContent>
      </w:r>
    </w:p>
    <w:p w14:paraId="76862C89" w14:textId="77777777" w:rsidR="00016061" w:rsidRPr="003726BE" w:rsidRDefault="00016061" w:rsidP="00673940">
      <w:pPr>
        <w:pStyle w:val="HStandard"/>
        <w:rPr>
          <w:rFonts w:cs="Arial"/>
        </w:rPr>
        <w:sectPr w:rsidR="00016061" w:rsidRPr="003726BE" w:rsidSect="00FA7E7B">
          <w:pgSz w:w="11906" w:h="16838" w:code="9"/>
          <w:pgMar w:top="1440" w:right="1440" w:bottom="1134" w:left="1440" w:header="284" w:footer="709" w:gutter="0"/>
          <w:cols w:space="708"/>
          <w:titlePg/>
          <w:docGrid w:linePitch="360"/>
        </w:sectPr>
      </w:pPr>
    </w:p>
    <w:p w14:paraId="146789E5" w14:textId="77777777" w:rsidR="000B62C2" w:rsidRPr="003726BE" w:rsidRDefault="000B62C2" w:rsidP="000B62C2">
      <w:pPr>
        <w:pStyle w:val="HContent"/>
        <w:rPr>
          <w:caps w:val="0"/>
        </w:rPr>
      </w:pPr>
      <w:r w:rsidRPr="003726BE">
        <w:rPr>
          <w:caps w:val="0"/>
        </w:rPr>
        <w:lastRenderedPageBreak/>
        <w:t>Content</w:t>
      </w:r>
    </w:p>
    <w:p w14:paraId="6321CF0F" w14:textId="77777777" w:rsidR="003726BE" w:rsidRDefault="00F3350F">
      <w:pPr>
        <w:pStyle w:val="TOC1"/>
        <w:rPr>
          <w:rFonts w:asciiTheme="minorHAnsi" w:eastAsiaTheme="minorEastAsia" w:hAnsiTheme="minorHAnsi" w:cstheme="minorBidi"/>
          <w:b w:val="0"/>
          <w:color w:val="auto"/>
          <w:sz w:val="22"/>
          <w:szCs w:val="22"/>
          <w:lang w:eastAsia="zh-CN" w:bidi="ar-SA"/>
        </w:rPr>
      </w:pPr>
      <w:r w:rsidRPr="003726BE">
        <w:rPr>
          <w:rFonts w:cs="Arial"/>
          <w:noProof w:val="0"/>
        </w:rPr>
        <w:fldChar w:fldCharType="begin"/>
      </w:r>
      <w:r w:rsidR="00150D5B" w:rsidRPr="003726BE">
        <w:rPr>
          <w:rFonts w:cs="Arial"/>
          <w:noProof w:val="0"/>
        </w:rPr>
        <w:instrText xml:space="preserve"> TOC \h \z \t "H_Heading 1;1;H_Heading 2;2;H_Heading 3;3;H_Heading 9;1" </w:instrText>
      </w:r>
      <w:r w:rsidRPr="003726BE">
        <w:rPr>
          <w:rFonts w:cs="Arial"/>
          <w:noProof w:val="0"/>
        </w:rPr>
        <w:fldChar w:fldCharType="separate"/>
      </w:r>
      <w:hyperlink w:anchor="_Toc474132131" w:history="1">
        <w:r w:rsidR="003726BE" w:rsidRPr="00057C36">
          <w:rPr>
            <w:rStyle w:val="Hyperlink"/>
          </w:rPr>
          <w:t>INTRODUCTION</w:t>
        </w:r>
        <w:r w:rsidR="003726BE">
          <w:rPr>
            <w:webHidden/>
          </w:rPr>
          <w:tab/>
        </w:r>
        <w:r w:rsidR="003726BE">
          <w:rPr>
            <w:webHidden/>
          </w:rPr>
          <w:fldChar w:fldCharType="begin"/>
        </w:r>
        <w:r w:rsidR="003726BE">
          <w:rPr>
            <w:webHidden/>
          </w:rPr>
          <w:instrText xml:space="preserve"> PAGEREF _Toc474132131 \h </w:instrText>
        </w:r>
        <w:r w:rsidR="003726BE">
          <w:rPr>
            <w:webHidden/>
          </w:rPr>
        </w:r>
        <w:r w:rsidR="003726BE">
          <w:rPr>
            <w:webHidden/>
          </w:rPr>
          <w:fldChar w:fldCharType="separate"/>
        </w:r>
        <w:r w:rsidR="003726BE">
          <w:rPr>
            <w:webHidden/>
          </w:rPr>
          <w:t>4</w:t>
        </w:r>
        <w:r w:rsidR="003726BE">
          <w:rPr>
            <w:webHidden/>
          </w:rPr>
          <w:fldChar w:fldCharType="end"/>
        </w:r>
      </w:hyperlink>
    </w:p>
    <w:p w14:paraId="23116D7C" w14:textId="77777777" w:rsidR="003726BE" w:rsidRDefault="00914903">
      <w:pPr>
        <w:pStyle w:val="TOC1"/>
        <w:rPr>
          <w:rFonts w:asciiTheme="minorHAnsi" w:eastAsiaTheme="minorEastAsia" w:hAnsiTheme="minorHAnsi" w:cstheme="minorBidi"/>
          <w:b w:val="0"/>
          <w:color w:val="auto"/>
          <w:sz w:val="22"/>
          <w:szCs w:val="22"/>
          <w:lang w:eastAsia="zh-CN" w:bidi="ar-SA"/>
        </w:rPr>
      </w:pPr>
      <w:hyperlink w:anchor="_Toc474132132" w:history="1">
        <w:r w:rsidR="003726BE" w:rsidRPr="00057C36">
          <w:rPr>
            <w:rStyle w:val="Hyperlink"/>
            <w:highlight w:val="yellow"/>
          </w:rPr>
          <w:t>PARTE I - VALUTAZIONE: FOCALIZZAZIONE, GESTIONE E PREDISPOSIZIONE DI RELAZIONI</w:t>
        </w:r>
        <w:r w:rsidR="003726BE">
          <w:rPr>
            <w:webHidden/>
          </w:rPr>
          <w:tab/>
        </w:r>
        <w:r w:rsidR="003726BE">
          <w:rPr>
            <w:webHidden/>
          </w:rPr>
          <w:fldChar w:fldCharType="begin"/>
        </w:r>
        <w:r w:rsidR="003726BE">
          <w:rPr>
            <w:webHidden/>
          </w:rPr>
          <w:instrText xml:space="preserve"> PAGEREF _Toc474132132 \h </w:instrText>
        </w:r>
        <w:r w:rsidR="003726BE">
          <w:rPr>
            <w:webHidden/>
          </w:rPr>
        </w:r>
        <w:r w:rsidR="003726BE">
          <w:rPr>
            <w:webHidden/>
          </w:rPr>
          <w:fldChar w:fldCharType="separate"/>
        </w:r>
        <w:r w:rsidR="003726BE">
          <w:rPr>
            <w:webHidden/>
          </w:rPr>
          <w:t>6</w:t>
        </w:r>
        <w:r w:rsidR="003726BE">
          <w:rPr>
            <w:webHidden/>
          </w:rPr>
          <w:fldChar w:fldCharType="end"/>
        </w:r>
      </w:hyperlink>
    </w:p>
    <w:p w14:paraId="6EA1EB43" w14:textId="77777777" w:rsidR="003726BE" w:rsidRDefault="00914903">
      <w:pPr>
        <w:pStyle w:val="TOC1"/>
        <w:rPr>
          <w:rFonts w:asciiTheme="minorHAnsi" w:eastAsiaTheme="minorEastAsia" w:hAnsiTheme="minorHAnsi" w:cstheme="minorBidi"/>
          <w:b w:val="0"/>
          <w:color w:val="auto"/>
          <w:sz w:val="22"/>
          <w:szCs w:val="22"/>
          <w:lang w:eastAsia="zh-CN" w:bidi="ar-SA"/>
        </w:rPr>
      </w:pPr>
      <w:hyperlink w:anchor="_Toc474132133" w:history="1">
        <w:r w:rsidR="003726BE" w:rsidRPr="00057C36">
          <w:rPr>
            <w:rStyle w:val="Hyperlink"/>
            <w:rFonts w:cs="Arial"/>
            <w:highlight w:val="yellow"/>
          </w:rPr>
          <w:t>1</w:t>
        </w:r>
        <w:r w:rsidR="003726BE">
          <w:rPr>
            <w:rFonts w:asciiTheme="minorHAnsi" w:eastAsiaTheme="minorEastAsia" w:hAnsiTheme="minorHAnsi" w:cstheme="minorBidi"/>
            <w:b w:val="0"/>
            <w:color w:val="auto"/>
            <w:sz w:val="22"/>
            <w:szCs w:val="22"/>
            <w:lang w:eastAsia="zh-CN" w:bidi="ar-SA"/>
          </w:rPr>
          <w:tab/>
        </w:r>
        <w:r w:rsidR="003726BE" w:rsidRPr="00057C36">
          <w:rPr>
            <w:rStyle w:val="Hyperlink"/>
            <w:highlight w:val="yellow"/>
          </w:rPr>
          <w:t>Requisiti in materia di relazioni nel 2017</w:t>
        </w:r>
        <w:r w:rsidR="003726BE">
          <w:rPr>
            <w:webHidden/>
          </w:rPr>
          <w:tab/>
        </w:r>
        <w:r w:rsidR="003726BE">
          <w:rPr>
            <w:webHidden/>
          </w:rPr>
          <w:fldChar w:fldCharType="begin"/>
        </w:r>
        <w:r w:rsidR="003726BE">
          <w:rPr>
            <w:webHidden/>
          </w:rPr>
          <w:instrText xml:space="preserve"> PAGEREF _Toc474132133 \h </w:instrText>
        </w:r>
        <w:r w:rsidR="003726BE">
          <w:rPr>
            <w:webHidden/>
          </w:rPr>
        </w:r>
        <w:r w:rsidR="003726BE">
          <w:rPr>
            <w:webHidden/>
          </w:rPr>
          <w:fldChar w:fldCharType="separate"/>
        </w:r>
        <w:r w:rsidR="003726BE">
          <w:rPr>
            <w:webHidden/>
          </w:rPr>
          <w:t>8</w:t>
        </w:r>
        <w:r w:rsidR="003726BE">
          <w:rPr>
            <w:webHidden/>
          </w:rPr>
          <w:fldChar w:fldCharType="end"/>
        </w:r>
      </w:hyperlink>
    </w:p>
    <w:p w14:paraId="54CB528A" w14:textId="77777777" w:rsidR="003726BE" w:rsidRDefault="00914903">
      <w:pPr>
        <w:pStyle w:val="TOC2"/>
        <w:rPr>
          <w:rFonts w:asciiTheme="minorHAnsi" w:eastAsiaTheme="minorEastAsia" w:hAnsiTheme="minorHAnsi" w:cstheme="minorBidi"/>
          <w:color w:val="auto"/>
          <w:sz w:val="22"/>
          <w:lang w:eastAsia="zh-CN" w:bidi="ar-SA"/>
        </w:rPr>
      </w:pPr>
      <w:hyperlink w:anchor="_Toc474132134" w:history="1">
        <w:r w:rsidR="003726BE" w:rsidRPr="00057C36">
          <w:rPr>
            <w:rStyle w:val="Hyperlink"/>
            <w:highlight w:val="yellow"/>
          </w:rPr>
          <w:t>1.1</w:t>
        </w:r>
        <w:r w:rsidR="003726BE">
          <w:rPr>
            <w:rFonts w:asciiTheme="minorHAnsi" w:eastAsiaTheme="minorEastAsia" w:hAnsiTheme="minorHAnsi" w:cstheme="minorBidi"/>
            <w:color w:val="auto"/>
            <w:sz w:val="22"/>
            <w:lang w:eastAsia="zh-CN" w:bidi="ar-SA"/>
          </w:rPr>
          <w:tab/>
        </w:r>
        <w:r w:rsidR="003726BE" w:rsidRPr="00057C36">
          <w:rPr>
            <w:rStyle w:val="Hyperlink"/>
            <w:highlight w:val="yellow"/>
          </w:rPr>
          <w:t>Requisiti di monitoraggio e valutazione nella RAA 2017</w:t>
        </w:r>
        <w:r w:rsidR="003726BE">
          <w:rPr>
            <w:webHidden/>
          </w:rPr>
          <w:tab/>
        </w:r>
        <w:r w:rsidR="003726BE">
          <w:rPr>
            <w:webHidden/>
          </w:rPr>
          <w:fldChar w:fldCharType="begin"/>
        </w:r>
        <w:r w:rsidR="003726BE">
          <w:rPr>
            <w:webHidden/>
          </w:rPr>
          <w:instrText xml:space="preserve"> PAGEREF _Toc474132134 \h </w:instrText>
        </w:r>
        <w:r w:rsidR="003726BE">
          <w:rPr>
            <w:webHidden/>
          </w:rPr>
        </w:r>
        <w:r w:rsidR="003726BE">
          <w:rPr>
            <w:webHidden/>
          </w:rPr>
          <w:fldChar w:fldCharType="separate"/>
        </w:r>
        <w:r w:rsidR="003726BE">
          <w:rPr>
            <w:webHidden/>
          </w:rPr>
          <w:t>8</w:t>
        </w:r>
        <w:r w:rsidR="003726BE">
          <w:rPr>
            <w:webHidden/>
          </w:rPr>
          <w:fldChar w:fldCharType="end"/>
        </w:r>
      </w:hyperlink>
    </w:p>
    <w:p w14:paraId="172A52E0" w14:textId="77777777" w:rsidR="003726BE" w:rsidRDefault="00914903">
      <w:pPr>
        <w:pStyle w:val="TOC2"/>
        <w:rPr>
          <w:rFonts w:asciiTheme="minorHAnsi" w:eastAsiaTheme="minorEastAsia" w:hAnsiTheme="minorHAnsi" w:cstheme="minorBidi"/>
          <w:color w:val="auto"/>
          <w:sz w:val="22"/>
          <w:lang w:eastAsia="zh-CN" w:bidi="ar-SA"/>
        </w:rPr>
      </w:pPr>
      <w:hyperlink w:anchor="_Toc474132135" w:history="1">
        <w:r w:rsidR="003726BE" w:rsidRPr="00057C36">
          <w:rPr>
            <w:rStyle w:val="Hyperlink"/>
            <w:highlight w:val="yellow"/>
          </w:rPr>
          <w:t>1.2</w:t>
        </w:r>
        <w:r w:rsidR="003726BE">
          <w:rPr>
            <w:rFonts w:asciiTheme="minorHAnsi" w:eastAsiaTheme="minorEastAsia" w:hAnsiTheme="minorHAnsi" w:cstheme="minorBidi"/>
            <w:color w:val="auto"/>
            <w:sz w:val="22"/>
            <w:lang w:eastAsia="zh-CN" w:bidi="ar-SA"/>
          </w:rPr>
          <w:tab/>
        </w:r>
        <w:r w:rsidR="003726BE" w:rsidRPr="00057C36">
          <w:rPr>
            <w:rStyle w:val="Hyperlink"/>
            <w:highlight w:val="yellow"/>
          </w:rPr>
          <w:t>Prove utilizzate nell'ambito della valutazione nel 2017?</w:t>
        </w:r>
        <w:r w:rsidR="003726BE">
          <w:rPr>
            <w:webHidden/>
          </w:rPr>
          <w:tab/>
        </w:r>
        <w:r w:rsidR="003726BE">
          <w:rPr>
            <w:webHidden/>
          </w:rPr>
          <w:fldChar w:fldCharType="begin"/>
        </w:r>
        <w:r w:rsidR="003726BE">
          <w:rPr>
            <w:webHidden/>
          </w:rPr>
          <w:instrText xml:space="preserve"> PAGEREF _Toc474132135 \h </w:instrText>
        </w:r>
        <w:r w:rsidR="003726BE">
          <w:rPr>
            <w:webHidden/>
          </w:rPr>
        </w:r>
        <w:r w:rsidR="003726BE">
          <w:rPr>
            <w:webHidden/>
          </w:rPr>
          <w:fldChar w:fldCharType="separate"/>
        </w:r>
        <w:r w:rsidR="003726BE">
          <w:rPr>
            <w:webHidden/>
          </w:rPr>
          <w:t>11</w:t>
        </w:r>
        <w:r w:rsidR="003726BE">
          <w:rPr>
            <w:webHidden/>
          </w:rPr>
          <w:fldChar w:fldCharType="end"/>
        </w:r>
      </w:hyperlink>
    </w:p>
    <w:p w14:paraId="4DBA0D94" w14:textId="77777777" w:rsidR="003726BE" w:rsidRDefault="00914903">
      <w:pPr>
        <w:pStyle w:val="TOC2"/>
        <w:rPr>
          <w:rFonts w:asciiTheme="minorHAnsi" w:eastAsiaTheme="minorEastAsia" w:hAnsiTheme="minorHAnsi" w:cstheme="minorBidi"/>
          <w:color w:val="auto"/>
          <w:sz w:val="22"/>
          <w:lang w:eastAsia="zh-CN" w:bidi="ar-SA"/>
        </w:rPr>
      </w:pPr>
      <w:hyperlink w:anchor="_Toc474132136" w:history="1">
        <w:r w:rsidR="003726BE" w:rsidRPr="00057C36">
          <w:rPr>
            <w:rStyle w:val="Hyperlink"/>
            <w:highlight w:val="yellow"/>
          </w:rPr>
          <w:t>1.3</w:t>
        </w:r>
        <w:r w:rsidR="003726BE">
          <w:rPr>
            <w:rFonts w:asciiTheme="minorHAnsi" w:eastAsiaTheme="minorEastAsia" w:hAnsiTheme="minorHAnsi" w:cstheme="minorBidi"/>
            <w:color w:val="auto"/>
            <w:sz w:val="22"/>
            <w:lang w:eastAsia="zh-CN" w:bidi="ar-SA"/>
          </w:rPr>
          <w:tab/>
        </w:r>
        <w:r w:rsidR="003726BE" w:rsidRPr="00057C36">
          <w:rPr>
            <w:rStyle w:val="Hyperlink"/>
            <w:highlight w:val="yellow"/>
          </w:rPr>
          <w:t>Comunicazione nei casi di esiguo utilizzo e programmi di piccole dimensioni.</w:t>
        </w:r>
        <w:r w:rsidR="003726BE">
          <w:rPr>
            <w:webHidden/>
          </w:rPr>
          <w:tab/>
        </w:r>
        <w:r w:rsidR="003726BE">
          <w:rPr>
            <w:webHidden/>
          </w:rPr>
          <w:fldChar w:fldCharType="begin"/>
        </w:r>
        <w:r w:rsidR="003726BE">
          <w:rPr>
            <w:webHidden/>
          </w:rPr>
          <w:instrText xml:space="preserve"> PAGEREF _Toc474132136 \h </w:instrText>
        </w:r>
        <w:r w:rsidR="003726BE">
          <w:rPr>
            <w:webHidden/>
          </w:rPr>
        </w:r>
        <w:r w:rsidR="003726BE">
          <w:rPr>
            <w:webHidden/>
          </w:rPr>
          <w:fldChar w:fldCharType="separate"/>
        </w:r>
        <w:r w:rsidR="003726BE">
          <w:rPr>
            <w:webHidden/>
          </w:rPr>
          <w:t>11</w:t>
        </w:r>
        <w:r w:rsidR="003726BE">
          <w:rPr>
            <w:webHidden/>
          </w:rPr>
          <w:fldChar w:fldCharType="end"/>
        </w:r>
      </w:hyperlink>
    </w:p>
    <w:p w14:paraId="75A7B510" w14:textId="77777777" w:rsidR="003726BE" w:rsidRDefault="00914903">
      <w:pPr>
        <w:pStyle w:val="TOC2"/>
        <w:rPr>
          <w:rFonts w:asciiTheme="minorHAnsi" w:eastAsiaTheme="minorEastAsia" w:hAnsiTheme="minorHAnsi" w:cstheme="minorBidi"/>
          <w:color w:val="auto"/>
          <w:sz w:val="22"/>
          <w:lang w:eastAsia="zh-CN" w:bidi="ar-SA"/>
        </w:rPr>
      </w:pPr>
      <w:hyperlink w:anchor="_Toc474132137" w:history="1">
        <w:r w:rsidR="003726BE" w:rsidRPr="00057C36">
          <w:rPr>
            <w:rStyle w:val="Hyperlink"/>
            <w:highlight w:val="yellow"/>
          </w:rPr>
          <w:t>1.4 Comunicazione sulla valutazione di elementi specifici del PSR</w:t>
        </w:r>
        <w:r w:rsidR="003726BE">
          <w:rPr>
            <w:webHidden/>
          </w:rPr>
          <w:tab/>
        </w:r>
        <w:r w:rsidR="003726BE">
          <w:rPr>
            <w:webHidden/>
          </w:rPr>
          <w:fldChar w:fldCharType="begin"/>
        </w:r>
        <w:r w:rsidR="003726BE">
          <w:rPr>
            <w:webHidden/>
          </w:rPr>
          <w:instrText xml:space="preserve"> PAGEREF _Toc474132137 \h </w:instrText>
        </w:r>
        <w:r w:rsidR="003726BE">
          <w:rPr>
            <w:webHidden/>
          </w:rPr>
        </w:r>
        <w:r w:rsidR="003726BE">
          <w:rPr>
            <w:webHidden/>
          </w:rPr>
          <w:fldChar w:fldCharType="separate"/>
        </w:r>
        <w:r w:rsidR="003726BE">
          <w:rPr>
            <w:webHidden/>
          </w:rPr>
          <w:t>12</w:t>
        </w:r>
        <w:r w:rsidR="003726BE">
          <w:rPr>
            <w:webHidden/>
          </w:rPr>
          <w:fldChar w:fldCharType="end"/>
        </w:r>
      </w:hyperlink>
    </w:p>
    <w:p w14:paraId="3DDA1FE6" w14:textId="77777777" w:rsidR="003726BE" w:rsidRDefault="00914903">
      <w:pPr>
        <w:pStyle w:val="TOC1"/>
        <w:rPr>
          <w:rFonts w:asciiTheme="minorHAnsi" w:eastAsiaTheme="minorEastAsia" w:hAnsiTheme="minorHAnsi" w:cstheme="minorBidi"/>
          <w:b w:val="0"/>
          <w:color w:val="auto"/>
          <w:sz w:val="22"/>
          <w:szCs w:val="22"/>
          <w:lang w:eastAsia="zh-CN" w:bidi="ar-SA"/>
        </w:rPr>
      </w:pPr>
      <w:hyperlink w:anchor="_Toc474132138" w:history="1">
        <w:r w:rsidR="003726BE" w:rsidRPr="00057C36">
          <w:rPr>
            <w:rStyle w:val="Hyperlink"/>
            <w:rFonts w:cs="Arial"/>
            <w:highlight w:val="yellow"/>
          </w:rPr>
          <w:t>2</w:t>
        </w:r>
        <w:r w:rsidR="003726BE">
          <w:rPr>
            <w:rFonts w:asciiTheme="minorHAnsi" w:eastAsiaTheme="minorEastAsia" w:hAnsiTheme="minorHAnsi" w:cstheme="minorBidi"/>
            <w:b w:val="0"/>
            <w:color w:val="auto"/>
            <w:sz w:val="22"/>
            <w:szCs w:val="22"/>
            <w:lang w:eastAsia="zh-CN" w:bidi="ar-SA"/>
          </w:rPr>
          <w:tab/>
        </w:r>
        <w:r w:rsidR="003726BE" w:rsidRPr="00057C36">
          <w:rPr>
            <w:rStyle w:val="Hyperlink"/>
            <w:highlight w:val="yellow"/>
          </w:rPr>
          <w:t>Nessi con altri requisiti in materia di relazioni dell'UE ed altri requisiti in materia di relazioni che vanno oltre il 2017</w:t>
        </w:r>
        <w:r w:rsidR="003726BE">
          <w:rPr>
            <w:webHidden/>
          </w:rPr>
          <w:tab/>
        </w:r>
        <w:r w:rsidR="003726BE">
          <w:rPr>
            <w:webHidden/>
          </w:rPr>
          <w:fldChar w:fldCharType="begin"/>
        </w:r>
        <w:r w:rsidR="003726BE">
          <w:rPr>
            <w:webHidden/>
          </w:rPr>
          <w:instrText xml:space="preserve"> PAGEREF _Toc474132138 \h </w:instrText>
        </w:r>
        <w:r w:rsidR="003726BE">
          <w:rPr>
            <w:webHidden/>
          </w:rPr>
        </w:r>
        <w:r w:rsidR="003726BE">
          <w:rPr>
            <w:webHidden/>
          </w:rPr>
          <w:fldChar w:fldCharType="separate"/>
        </w:r>
        <w:r w:rsidR="003726BE">
          <w:rPr>
            <w:webHidden/>
          </w:rPr>
          <w:t>16</w:t>
        </w:r>
        <w:r w:rsidR="003726BE">
          <w:rPr>
            <w:webHidden/>
          </w:rPr>
          <w:fldChar w:fldCharType="end"/>
        </w:r>
      </w:hyperlink>
    </w:p>
    <w:p w14:paraId="74068268" w14:textId="77777777" w:rsidR="003726BE" w:rsidRDefault="00914903">
      <w:pPr>
        <w:pStyle w:val="TOC2"/>
        <w:rPr>
          <w:rFonts w:asciiTheme="minorHAnsi" w:eastAsiaTheme="minorEastAsia" w:hAnsiTheme="minorHAnsi" w:cstheme="minorBidi"/>
          <w:color w:val="auto"/>
          <w:sz w:val="22"/>
          <w:lang w:eastAsia="zh-CN" w:bidi="ar-SA"/>
        </w:rPr>
      </w:pPr>
      <w:hyperlink w:anchor="_Toc474132139" w:history="1">
        <w:r w:rsidR="003726BE" w:rsidRPr="00057C36">
          <w:rPr>
            <w:rStyle w:val="Hyperlink"/>
            <w:rFonts w:cs="Arial"/>
            <w:highlight w:val="yellow"/>
          </w:rPr>
          <w:t>2.1</w:t>
        </w:r>
        <w:r w:rsidR="003726BE">
          <w:rPr>
            <w:rFonts w:asciiTheme="minorHAnsi" w:eastAsiaTheme="minorEastAsia" w:hAnsiTheme="minorHAnsi" w:cstheme="minorBidi"/>
            <w:color w:val="auto"/>
            <w:sz w:val="22"/>
            <w:lang w:eastAsia="zh-CN" w:bidi="ar-SA"/>
          </w:rPr>
          <w:tab/>
        </w:r>
        <w:r w:rsidR="003726BE" w:rsidRPr="00057C36">
          <w:rPr>
            <w:rStyle w:val="Hyperlink"/>
            <w:highlight w:val="yellow"/>
          </w:rPr>
          <w:t>Nessi e sinergie tra la RAA 2017 e altri requisiti in materia di relazioni dell'UE</w:t>
        </w:r>
        <w:r w:rsidR="003726BE">
          <w:rPr>
            <w:webHidden/>
          </w:rPr>
          <w:tab/>
        </w:r>
        <w:r w:rsidR="003726BE">
          <w:rPr>
            <w:webHidden/>
          </w:rPr>
          <w:fldChar w:fldCharType="begin"/>
        </w:r>
        <w:r w:rsidR="003726BE">
          <w:rPr>
            <w:webHidden/>
          </w:rPr>
          <w:instrText xml:space="preserve"> PAGEREF _Toc474132139 \h </w:instrText>
        </w:r>
        <w:r w:rsidR="003726BE">
          <w:rPr>
            <w:webHidden/>
          </w:rPr>
        </w:r>
        <w:r w:rsidR="003726BE">
          <w:rPr>
            <w:webHidden/>
          </w:rPr>
          <w:fldChar w:fldCharType="separate"/>
        </w:r>
        <w:r w:rsidR="003726BE">
          <w:rPr>
            <w:webHidden/>
          </w:rPr>
          <w:t>16</w:t>
        </w:r>
        <w:r w:rsidR="003726BE">
          <w:rPr>
            <w:webHidden/>
          </w:rPr>
          <w:fldChar w:fldCharType="end"/>
        </w:r>
      </w:hyperlink>
    </w:p>
    <w:p w14:paraId="38C5D767" w14:textId="77777777" w:rsidR="003726BE" w:rsidRDefault="00914903">
      <w:pPr>
        <w:pStyle w:val="TOC2"/>
        <w:rPr>
          <w:rFonts w:asciiTheme="minorHAnsi" w:eastAsiaTheme="minorEastAsia" w:hAnsiTheme="minorHAnsi" w:cstheme="minorBidi"/>
          <w:color w:val="auto"/>
          <w:sz w:val="22"/>
          <w:lang w:eastAsia="zh-CN" w:bidi="ar-SA"/>
        </w:rPr>
      </w:pPr>
      <w:hyperlink w:anchor="_Toc474132140" w:history="1">
        <w:r w:rsidR="003726BE" w:rsidRPr="00057C36">
          <w:rPr>
            <w:rStyle w:val="Hyperlink"/>
            <w:rFonts w:cs="Arial"/>
            <w:highlight w:val="yellow"/>
          </w:rPr>
          <w:t>2.2</w:t>
        </w:r>
        <w:r w:rsidR="003726BE">
          <w:rPr>
            <w:rFonts w:asciiTheme="minorHAnsi" w:eastAsiaTheme="minorEastAsia" w:hAnsiTheme="minorHAnsi" w:cstheme="minorBidi"/>
            <w:color w:val="auto"/>
            <w:sz w:val="22"/>
            <w:lang w:eastAsia="zh-CN" w:bidi="ar-SA"/>
          </w:rPr>
          <w:tab/>
        </w:r>
        <w:r w:rsidR="003726BE" w:rsidRPr="00057C36">
          <w:rPr>
            <w:rStyle w:val="Hyperlink"/>
            <w:highlight w:val="yellow"/>
          </w:rPr>
          <w:t>Nessi tra la predisposizione di relazioni nel 2017 e i requisiti generali in materia di relazioni relativi allo sviluppo rurale nel periodo 2014-2020</w:t>
        </w:r>
        <w:r w:rsidR="003726BE">
          <w:rPr>
            <w:webHidden/>
          </w:rPr>
          <w:tab/>
        </w:r>
        <w:r w:rsidR="003726BE">
          <w:rPr>
            <w:webHidden/>
          </w:rPr>
          <w:fldChar w:fldCharType="begin"/>
        </w:r>
        <w:r w:rsidR="003726BE">
          <w:rPr>
            <w:webHidden/>
          </w:rPr>
          <w:instrText xml:space="preserve"> PAGEREF _Toc474132140 \h </w:instrText>
        </w:r>
        <w:r w:rsidR="003726BE">
          <w:rPr>
            <w:webHidden/>
          </w:rPr>
        </w:r>
        <w:r w:rsidR="003726BE">
          <w:rPr>
            <w:webHidden/>
          </w:rPr>
          <w:fldChar w:fldCharType="separate"/>
        </w:r>
        <w:r w:rsidR="003726BE">
          <w:rPr>
            <w:webHidden/>
          </w:rPr>
          <w:t>20</w:t>
        </w:r>
        <w:r w:rsidR="003726BE">
          <w:rPr>
            <w:webHidden/>
          </w:rPr>
          <w:fldChar w:fldCharType="end"/>
        </w:r>
      </w:hyperlink>
    </w:p>
    <w:p w14:paraId="18E55B91" w14:textId="77777777" w:rsidR="003726BE" w:rsidRDefault="00914903">
      <w:pPr>
        <w:pStyle w:val="TOC1"/>
        <w:rPr>
          <w:rFonts w:asciiTheme="minorHAnsi" w:eastAsiaTheme="minorEastAsia" w:hAnsiTheme="minorHAnsi" w:cstheme="minorBidi"/>
          <w:b w:val="0"/>
          <w:color w:val="auto"/>
          <w:sz w:val="22"/>
          <w:szCs w:val="22"/>
          <w:lang w:eastAsia="zh-CN" w:bidi="ar-SA"/>
        </w:rPr>
      </w:pPr>
      <w:hyperlink w:anchor="_Toc474132141" w:history="1">
        <w:r w:rsidR="003726BE" w:rsidRPr="00057C36">
          <w:rPr>
            <w:rStyle w:val="Hyperlink"/>
            <w:rFonts w:cs="Arial"/>
            <w:highlight w:val="yellow"/>
          </w:rPr>
          <w:t>3</w:t>
        </w:r>
        <w:r w:rsidR="003726BE">
          <w:rPr>
            <w:rFonts w:asciiTheme="minorHAnsi" w:eastAsiaTheme="minorEastAsia" w:hAnsiTheme="minorHAnsi" w:cstheme="minorBidi"/>
            <w:b w:val="0"/>
            <w:color w:val="auto"/>
            <w:sz w:val="22"/>
            <w:szCs w:val="22"/>
            <w:lang w:eastAsia="zh-CN" w:bidi="ar-SA"/>
          </w:rPr>
          <w:tab/>
        </w:r>
        <w:r w:rsidR="003726BE" w:rsidRPr="00057C36">
          <w:rPr>
            <w:rStyle w:val="Hyperlink"/>
            <w:highlight w:val="yellow"/>
          </w:rPr>
          <w:t>Garantire una valutazione di buona qualità nel 2017</w:t>
        </w:r>
        <w:r w:rsidR="003726BE">
          <w:rPr>
            <w:webHidden/>
          </w:rPr>
          <w:tab/>
        </w:r>
        <w:r w:rsidR="003726BE">
          <w:rPr>
            <w:webHidden/>
          </w:rPr>
          <w:fldChar w:fldCharType="begin"/>
        </w:r>
        <w:r w:rsidR="003726BE">
          <w:rPr>
            <w:webHidden/>
          </w:rPr>
          <w:instrText xml:space="preserve"> PAGEREF _Toc474132141 \h </w:instrText>
        </w:r>
        <w:r w:rsidR="003726BE">
          <w:rPr>
            <w:webHidden/>
          </w:rPr>
        </w:r>
        <w:r w:rsidR="003726BE">
          <w:rPr>
            <w:webHidden/>
          </w:rPr>
          <w:fldChar w:fldCharType="separate"/>
        </w:r>
        <w:r w:rsidR="003726BE">
          <w:rPr>
            <w:webHidden/>
          </w:rPr>
          <w:t>21</w:t>
        </w:r>
        <w:r w:rsidR="003726BE">
          <w:rPr>
            <w:webHidden/>
          </w:rPr>
          <w:fldChar w:fldCharType="end"/>
        </w:r>
      </w:hyperlink>
    </w:p>
    <w:p w14:paraId="31F698A7" w14:textId="77777777" w:rsidR="003726BE" w:rsidRDefault="00914903">
      <w:pPr>
        <w:pStyle w:val="TOC2"/>
        <w:rPr>
          <w:rFonts w:asciiTheme="minorHAnsi" w:eastAsiaTheme="minorEastAsia" w:hAnsiTheme="minorHAnsi" w:cstheme="minorBidi"/>
          <w:color w:val="auto"/>
          <w:sz w:val="22"/>
          <w:lang w:eastAsia="zh-CN" w:bidi="ar-SA"/>
        </w:rPr>
      </w:pPr>
      <w:hyperlink w:anchor="_Toc474132142" w:history="1">
        <w:r w:rsidR="003726BE" w:rsidRPr="00057C36">
          <w:rPr>
            <w:rStyle w:val="Hyperlink"/>
            <w:rFonts w:cs="Arial"/>
            <w:highlight w:val="yellow"/>
          </w:rPr>
          <w:t>3.1</w:t>
        </w:r>
        <w:r w:rsidR="003726BE">
          <w:rPr>
            <w:rFonts w:asciiTheme="minorHAnsi" w:eastAsiaTheme="minorEastAsia" w:hAnsiTheme="minorHAnsi" w:cstheme="minorBidi"/>
            <w:color w:val="auto"/>
            <w:sz w:val="22"/>
            <w:lang w:eastAsia="zh-CN" w:bidi="ar-SA"/>
          </w:rPr>
          <w:tab/>
        </w:r>
        <w:r w:rsidR="003726BE" w:rsidRPr="00057C36">
          <w:rPr>
            <w:rStyle w:val="Hyperlink"/>
            <w:highlight w:val="yellow"/>
          </w:rPr>
          <w:t>Attenta pianificazione e preparazione della valutazione</w:t>
        </w:r>
        <w:r w:rsidR="003726BE">
          <w:rPr>
            <w:webHidden/>
          </w:rPr>
          <w:tab/>
        </w:r>
        <w:r w:rsidR="003726BE">
          <w:rPr>
            <w:webHidden/>
          </w:rPr>
          <w:fldChar w:fldCharType="begin"/>
        </w:r>
        <w:r w:rsidR="003726BE">
          <w:rPr>
            <w:webHidden/>
          </w:rPr>
          <w:instrText xml:space="preserve"> PAGEREF _Toc474132142 \h </w:instrText>
        </w:r>
        <w:r w:rsidR="003726BE">
          <w:rPr>
            <w:webHidden/>
          </w:rPr>
        </w:r>
        <w:r w:rsidR="003726BE">
          <w:rPr>
            <w:webHidden/>
          </w:rPr>
          <w:fldChar w:fldCharType="separate"/>
        </w:r>
        <w:r w:rsidR="003726BE">
          <w:rPr>
            <w:webHidden/>
          </w:rPr>
          <w:t>21</w:t>
        </w:r>
        <w:r w:rsidR="003726BE">
          <w:rPr>
            <w:webHidden/>
          </w:rPr>
          <w:fldChar w:fldCharType="end"/>
        </w:r>
      </w:hyperlink>
    </w:p>
    <w:p w14:paraId="5C4B0360" w14:textId="77777777" w:rsidR="003726BE" w:rsidRDefault="00914903">
      <w:pPr>
        <w:pStyle w:val="TOC2"/>
        <w:rPr>
          <w:rFonts w:asciiTheme="minorHAnsi" w:eastAsiaTheme="minorEastAsia" w:hAnsiTheme="minorHAnsi" w:cstheme="minorBidi"/>
          <w:color w:val="auto"/>
          <w:sz w:val="22"/>
          <w:lang w:eastAsia="zh-CN" w:bidi="ar-SA"/>
        </w:rPr>
      </w:pPr>
      <w:hyperlink w:anchor="_Toc474132143" w:history="1">
        <w:r w:rsidR="003726BE" w:rsidRPr="00057C36">
          <w:rPr>
            <w:rStyle w:val="Hyperlink"/>
            <w:rFonts w:cs="Arial"/>
            <w:highlight w:val="yellow"/>
          </w:rPr>
          <w:t>3.2</w:t>
        </w:r>
        <w:r w:rsidR="003726BE">
          <w:rPr>
            <w:rFonts w:asciiTheme="minorHAnsi" w:eastAsiaTheme="minorEastAsia" w:hAnsiTheme="minorHAnsi" w:cstheme="minorBidi"/>
            <w:color w:val="auto"/>
            <w:sz w:val="22"/>
            <w:lang w:eastAsia="zh-CN" w:bidi="ar-SA"/>
          </w:rPr>
          <w:tab/>
        </w:r>
        <w:r w:rsidR="003726BE" w:rsidRPr="00057C36">
          <w:rPr>
            <w:rStyle w:val="Hyperlink"/>
            <w:highlight w:val="yellow"/>
          </w:rPr>
          <w:t>Garanzia della qualità e controllo della qualità durante l'intero processo di valutazione</w:t>
        </w:r>
        <w:r w:rsidR="003726BE">
          <w:rPr>
            <w:webHidden/>
          </w:rPr>
          <w:tab/>
        </w:r>
        <w:r w:rsidR="003726BE">
          <w:rPr>
            <w:webHidden/>
          </w:rPr>
          <w:fldChar w:fldCharType="begin"/>
        </w:r>
        <w:r w:rsidR="003726BE">
          <w:rPr>
            <w:webHidden/>
          </w:rPr>
          <w:instrText xml:space="preserve"> PAGEREF _Toc474132143 \h </w:instrText>
        </w:r>
        <w:r w:rsidR="003726BE">
          <w:rPr>
            <w:webHidden/>
          </w:rPr>
        </w:r>
        <w:r w:rsidR="003726BE">
          <w:rPr>
            <w:webHidden/>
          </w:rPr>
          <w:fldChar w:fldCharType="separate"/>
        </w:r>
        <w:r w:rsidR="003726BE">
          <w:rPr>
            <w:webHidden/>
          </w:rPr>
          <w:t>21</w:t>
        </w:r>
        <w:r w:rsidR="003726BE">
          <w:rPr>
            <w:webHidden/>
          </w:rPr>
          <w:fldChar w:fldCharType="end"/>
        </w:r>
      </w:hyperlink>
    </w:p>
    <w:p w14:paraId="44CD695E" w14:textId="77777777" w:rsidR="003726BE" w:rsidRDefault="00914903">
      <w:pPr>
        <w:pStyle w:val="TOC1"/>
        <w:rPr>
          <w:rFonts w:asciiTheme="minorHAnsi" w:eastAsiaTheme="minorEastAsia" w:hAnsiTheme="minorHAnsi" w:cstheme="minorBidi"/>
          <w:b w:val="0"/>
          <w:color w:val="auto"/>
          <w:sz w:val="22"/>
          <w:szCs w:val="22"/>
          <w:lang w:eastAsia="zh-CN" w:bidi="ar-SA"/>
        </w:rPr>
      </w:pPr>
      <w:hyperlink w:anchor="_Toc474132144" w:history="1">
        <w:r w:rsidR="003726BE" w:rsidRPr="00057C36">
          <w:rPr>
            <w:rStyle w:val="Hyperlink"/>
            <w:rFonts w:cs="Arial"/>
            <w:highlight w:val="yellow"/>
          </w:rPr>
          <w:t>4</w:t>
        </w:r>
        <w:r w:rsidR="003726BE">
          <w:rPr>
            <w:rFonts w:asciiTheme="minorHAnsi" w:eastAsiaTheme="minorEastAsia" w:hAnsiTheme="minorHAnsi" w:cstheme="minorBidi"/>
            <w:b w:val="0"/>
            <w:color w:val="auto"/>
            <w:sz w:val="22"/>
            <w:szCs w:val="22"/>
            <w:lang w:eastAsia="zh-CN" w:bidi="ar-SA"/>
          </w:rPr>
          <w:tab/>
        </w:r>
        <w:r w:rsidR="003726BE" w:rsidRPr="00057C36">
          <w:rPr>
            <w:rStyle w:val="Hyperlink"/>
            <w:highlight w:val="yellow"/>
          </w:rPr>
          <w:t>Diffusione, comunicazione e seguito dei risultati della valutazione</w:t>
        </w:r>
        <w:r w:rsidR="003726BE">
          <w:rPr>
            <w:webHidden/>
          </w:rPr>
          <w:tab/>
        </w:r>
        <w:r w:rsidR="003726BE">
          <w:rPr>
            <w:webHidden/>
          </w:rPr>
          <w:fldChar w:fldCharType="begin"/>
        </w:r>
        <w:r w:rsidR="003726BE">
          <w:rPr>
            <w:webHidden/>
          </w:rPr>
          <w:instrText xml:space="preserve"> PAGEREF _Toc474132144 \h </w:instrText>
        </w:r>
        <w:r w:rsidR="003726BE">
          <w:rPr>
            <w:webHidden/>
          </w:rPr>
        </w:r>
        <w:r w:rsidR="003726BE">
          <w:rPr>
            <w:webHidden/>
          </w:rPr>
          <w:fldChar w:fldCharType="separate"/>
        </w:r>
        <w:r w:rsidR="003726BE">
          <w:rPr>
            <w:webHidden/>
          </w:rPr>
          <w:t>24</w:t>
        </w:r>
        <w:r w:rsidR="003726BE">
          <w:rPr>
            <w:webHidden/>
          </w:rPr>
          <w:fldChar w:fldCharType="end"/>
        </w:r>
      </w:hyperlink>
    </w:p>
    <w:p w14:paraId="17501FC8" w14:textId="77777777" w:rsidR="003726BE" w:rsidRDefault="00914903">
      <w:pPr>
        <w:pStyle w:val="TOC2"/>
        <w:rPr>
          <w:rFonts w:asciiTheme="minorHAnsi" w:eastAsiaTheme="minorEastAsia" w:hAnsiTheme="minorHAnsi" w:cstheme="minorBidi"/>
          <w:color w:val="auto"/>
          <w:sz w:val="22"/>
          <w:lang w:eastAsia="zh-CN" w:bidi="ar-SA"/>
        </w:rPr>
      </w:pPr>
      <w:hyperlink w:anchor="_Toc474132145" w:history="1">
        <w:r w:rsidR="003726BE" w:rsidRPr="00057C36">
          <w:rPr>
            <w:rStyle w:val="Hyperlink"/>
            <w:highlight w:val="yellow"/>
          </w:rPr>
          <w:t>4.1</w:t>
        </w:r>
        <w:r w:rsidR="003726BE">
          <w:rPr>
            <w:rFonts w:asciiTheme="minorHAnsi" w:eastAsiaTheme="minorEastAsia" w:hAnsiTheme="minorHAnsi" w:cstheme="minorBidi"/>
            <w:color w:val="auto"/>
            <w:sz w:val="22"/>
            <w:lang w:eastAsia="zh-CN" w:bidi="ar-SA"/>
          </w:rPr>
          <w:tab/>
        </w:r>
        <w:r w:rsidR="003726BE" w:rsidRPr="00057C36">
          <w:rPr>
            <w:rStyle w:val="Hyperlink"/>
            <w:highlight w:val="yellow"/>
          </w:rPr>
          <w:t>Diffusione e comunicazione della valutazione nel 2017</w:t>
        </w:r>
        <w:r w:rsidR="003726BE">
          <w:rPr>
            <w:webHidden/>
          </w:rPr>
          <w:tab/>
        </w:r>
        <w:r w:rsidR="003726BE">
          <w:rPr>
            <w:webHidden/>
          </w:rPr>
          <w:fldChar w:fldCharType="begin"/>
        </w:r>
        <w:r w:rsidR="003726BE">
          <w:rPr>
            <w:webHidden/>
          </w:rPr>
          <w:instrText xml:space="preserve"> PAGEREF _Toc474132145 \h </w:instrText>
        </w:r>
        <w:r w:rsidR="003726BE">
          <w:rPr>
            <w:webHidden/>
          </w:rPr>
        </w:r>
        <w:r w:rsidR="003726BE">
          <w:rPr>
            <w:webHidden/>
          </w:rPr>
          <w:fldChar w:fldCharType="separate"/>
        </w:r>
        <w:r w:rsidR="003726BE">
          <w:rPr>
            <w:webHidden/>
          </w:rPr>
          <w:t>24</w:t>
        </w:r>
        <w:r w:rsidR="003726BE">
          <w:rPr>
            <w:webHidden/>
          </w:rPr>
          <w:fldChar w:fldCharType="end"/>
        </w:r>
      </w:hyperlink>
    </w:p>
    <w:p w14:paraId="77DFECF5" w14:textId="77777777" w:rsidR="003726BE" w:rsidRDefault="00914903">
      <w:pPr>
        <w:pStyle w:val="TOC2"/>
        <w:rPr>
          <w:rFonts w:asciiTheme="minorHAnsi" w:eastAsiaTheme="minorEastAsia" w:hAnsiTheme="minorHAnsi" w:cstheme="minorBidi"/>
          <w:color w:val="auto"/>
          <w:sz w:val="22"/>
          <w:lang w:eastAsia="zh-CN" w:bidi="ar-SA"/>
        </w:rPr>
      </w:pPr>
      <w:hyperlink w:anchor="_Toc474132146" w:history="1">
        <w:r w:rsidR="003726BE" w:rsidRPr="00057C36">
          <w:rPr>
            <w:rStyle w:val="Hyperlink"/>
            <w:highlight w:val="yellow"/>
          </w:rPr>
          <w:t>4.2</w:t>
        </w:r>
        <w:r w:rsidR="003726BE">
          <w:rPr>
            <w:rFonts w:asciiTheme="minorHAnsi" w:eastAsiaTheme="minorEastAsia" w:hAnsiTheme="minorHAnsi" w:cstheme="minorBidi"/>
            <w:color w:val="auto"/>
            <w:sz w:val="22"/>
            <w:lang w:eastAsia="zh-CN" w:bidi="ar-SA"/>
          </w:rPr>
          <w:tab/>
        </w:r>
        <w:r w:rsidR="003726BE" w:rsidRPr="00057C36">
          <w:rPr>
            <w:rStyle w:val="Hyperlink"/>
            <w:highlight w:val="yellow"/>
          </w:rPr>
          <w:t>Seguito sui risultati della valutazione</w:t>
        </w:r>
        <w:r w:rsidR="003726BE">
          <w:rPr>
            <w:webHidden/>
          </w:rPr>
          <w:tab/>
        </w:r>
        <w:r w:rsidR="003726BE">
          <w:rPr>
            <w:webHidden/>
          </w:rPr>
          <w:fldChar w:fldCharType="begin"/>
        </w:r>
        <w:r w:rsidR="003726BE">
          <w:rPr>
            <w:webHidden/>
          </w:rPr>
          <w:instrText xml:space="preserve"> PAGEREF _Toc474132146 \h </w:instrText>
        </w:r>
        <w:r w:rsidR="003726BE">
          <w:rPr>
            <w:webHidden/>
          </w:rPr>
        </w:r>
        <w:r w:rsidR="003726BE">
          <w:rPr>
            <w:webHidden/>
          </w:rPr>
          <w:fldChar w:fldCharType="separate"/>
        </w:r>
        <w:r w:rsidR="003726BE">
          <w:rPr>
            <w:webHidden/>
          </w:rPr>
          <w:t>24</w:t>
        </w:r>
        <w:r w:rsidR="003726BE">
          <w:rPr>
            <w:webHidden/>
          </w:rPr>
          <w:fldChar w:fldCharType="end"/>
        </w:r>
      </w:hyperlink>
    </w:p>
    <w:p w14:paraId="649260C6" w14:textId="77777777" w:rsidR="003726BE" w:rsidRDefault="00914903">
      <w:pPr>
        <w:pStyle w:val="TOC1"/>
        <w:rPr>
          <w:rFonts w:asciiTheme="minorHAnsi" w:eastAsiaTheme="minorEastAsia" w:hAnsiTheme="minorHAnsi" w:cstheme="minorBidi"/>
          <w:b w:val="0"/>
          <w:color w:val="auto"/>
          <w:sz w:val="22"/>
          <w:szCs w:val="22"/>
          <w:lang w:eastAsia="zh-CN" w:bidi="ar-SA"/>
        </w:rPr>
      </w:pPr>
      <w:hyperlink w:anchor="_Toc474132147" w:history="1">
        <w:r w:rsidR="003726BE" w:rsidRPr="00057C36">
          <w:rPr>
            <w:rStyle w:val="Hyperlink"/>
          </w:rPr>
          <w:t>PART II SETTING UP THE SYSTEM TO ANSWER EVALUATION QUESTIONS AND ASSESSING RDP ACHIEVEMENTS</w:t>
        </w:r>
        <w:r w:rsidR="003726BE">
          <w:rPr>
            <w:webHidden/>
          </w:rPr>
          <w:tab/>
        </w:r>
        <w:r w:rsidR="003726BE">
          <w:rPr>
            <w:webHidden/>
          </w:rPr>
          <w:fldChar w:fldCharType="begin"/>
        </w:r>
        <w:r w:rsidR="003726BE">
          <w:rPr>
            <w:webHidden/>
          </w:rPr>
          <w:instrText xml:space="preserve"> PAGEREF _Toc474132147 \h </w:instrText>
        </w:r>
        <w:r w:rsidR="003726BE">
          <w:rPr>
            <w:webHidden/>
          </w:rPr>
        </w:r>
        <w:r w:rsidR="003726BE">
          <w:rPr>
            <w:webHidden/>
          </w:rPr>
          <w:fldChar w:fldCharType="separate"/>
        </w:r>
        <w:r w:rsidR="003726BE">
          <w:rPr>
            <w:webHidden/>
          </w:rPr>
          <w:t>26</w:t>
        </w:r>
        <w:r w:rsidR="003726BE">
          <w:rPr>
            <w:webHidden/>
          </w:rPr>
          <w:fldChar w:fldCharType="end"/>
        </w:r>
      </w:hyperlink>
    </w:p>
    <w:p w14:paraId="5E9769D0" w14:textId="77777777" w:rsidR="003726BE" w:rsidRDefault="00914903">
      <w:pPr>
        <w:pStyle w:val="TOC1"/>
        <w:rPr>
          <w:rFonts w:asciiTheme="minorHAnsi" w:eastAsiaTheme="minorEastAsia" w:hAnsiTheme="minorHAnsi" w:cstheme="minorBidi"/>
          <w:b w:val="0"/>
          <w:color w:val="auto"/>
          <w:sz w:val="22"/>
          <w:szCs w:val="22"/>
          <w:lang w:eastAsia="zh-CN" w:bidi="ar-SA"/>
        </w:rPr>
      </w:pPr>
      <w:hyperlink w:anchor="_Toc474132148" w:history="1">
        <w:r w:rsidR="003726BE" w:rsidRPr="00057C36">
          <w:rPr>
            <w:rStyle w:val="Hyperlink"/>
            <w:rFonts w:cs="Arial"/>
            <w:highlight w:val="yellow"/>
          </w:rPr>
          <w:t>5</w:t>
        </w:r>
        <w:r w:rsidR="003726BE">
          <w:rPr>
            <w:rFonts w:asciiTheme="minorHAnsi" w:eastAsiaTheme="minorEastAsia" w:hAnsiTheme="minorHAnsi" w:cstheme="minorBidi"/>
            <w:b w:val="0"/>
            <w:color w:val="auto"/>
            <w:sz w:val="22"/>
            <w:szCs w:val="22"/>
            <w:lang w:eastAsia="zh-CN" w:bidi="ar-SA"/>
          </w:rPr>
          <w:tab/>
        </w:r>
        <w:r w:rsidR="003726BE" w:rsidRPr="00057C36">
          <w:rPr>
            <w:rStyle w:val="Hyperlink"/>
            <w:highlight w:val="yellow"/>
          </w:rPr>
          <w:t>PREPARAZIONE DELLA VALUTAZIONE</w:t>
        </w:r>
        <w:r w:rsidR="003726BE">
          <w:rPr>
            <w:webHidden/>
          </w:rPr>
          <w:tab/>
        </w:r>
        <w:r w:rsidR="003726BE">
          <w:rPr>
            <w:webHidden/>
          </w:rPr>
          <w:fldChar w:fldCharType="begin"/>
        </w:r>
        <w:r w:rsidR="003726BE">
          <w:rPr>
            <w:webHidden/>
          </w:rPr>
          <w:instrText xml:space="preserve"> PAGEREF _Toc474132148 \h </w:instrText>
        </w:r>
        <w:r w:rsidR="003726BE">
          <w:rPr>
            <w:webHidden/>
          </w:rPr>
        </w:r>
        <w:r w:rsidR="003726BE">
          <w:rPr>
            <w:webHidden/>
          </w:rPr>
          <w:fldChar w:fldCharType="separate"/>
        </w:r>
        <w:r w:rsidR="003726BE">
          <w:rPr>
            <w:webHidden/>
          </w:rPr>
          <w:t>28</w:t>
        </w:r>
        <w:r w:rsidR="003726BE">
          <w:rPr>
            <w:webHidden/>
          </w:rPr>
          <w:fldChar w:fldCharType="end"/>
        </w:r>
      </w:hyperlink>
    </w:p>
    <w:p w14:paraId="71C34140" w14:textId="77777777" w:rsidR="003726BE" w:rsidRDefault="00914903">
      <w:pPr>
        <w:pStyle w:val="TOC2"/>
        <w:rPr>
          <w:rFonts w:asciiTheme="minorHAnsi" w:eastAsiaTheme="minorEastAsia" w:hAnsiTheme="minorHAnsi" w:cstheme="minorBidi"/>
          <w:color w:val="auto"/>
          <w:sz w:val="22"/>
          <w:lang w:eastAsia="zh-CN" w:bidi="ar-SA"/>
        </w:rPr>
      </w:pPr>
      <w:hyperlink w:anchor="_Toc474132149" w:history="1">
        <w:r w:rsidR="003726BE" w:rsidRPr="00057C36">
          <w:rPr>
            <w:rStyle w:val="Hyperlink"/>
            <w:rFonts w:cs="Arial"/>
            <w:highlight w:val="yellow"/>
          </w:rPr>
          <w:t>5.1</w:t>
        </w:r>
        <w:r w:rsidR="003726BE">
          <w:rPr>
            <w:rFonts w:asciiTheme="minorHAnsi" w:eastAsiaTheme="minorEastAsia" w:hAnsiTheme="minorHAnsi" w:cstheme="minorBidi"/>
            <w:color w:val="auto"/>
            <w:sz w:val="22"/>
            <w:lang w:eastAsia="zh-CN" w:bidi="ar-SA"/>
          </w:rPr>
          <w:tab/>
        </w:r>
        <w:r w:rsidR="003726BE" w:rsidRPr="00057C36">
          <w:rPr>
            <w:rStyle w:val="Hyperlink"/>
            <w:highlight w:val="yellow"/>
          </w:rPr>
          <w:t>Riesaminare la logica di intervento del PSR</w:t>
        </w:r>
        <w:r w:rsidR="003726BE">
          <w:rPr>
            <w:webHidden/>
          </w:rPr>
          <w:tab/>
        </w:r>
        <w:r w:rsidR="003726BE">
          <w:rPr>
            <w:webHidden/>
          </w:rPr>
          <w:fldChar w:fldCharType="begin"/>
        </w:r>
        <w:r w:rsidR="003726BE">
          <w:rPr>
            <w:webHidden/>
          </w:rPr>
          <w:instrText xml:space="preserve"> PAGEREF _Toc474132149 \h </w:instrText>
        </w:r>
        <w:r w:rsidR="003726BE">
          <w:rPr>
            <w:webHidden/>
          </w:rPr>
        </w:r>
        <w:r w:rsidR="003726BE">
          <w:rPr>
            <w:webHidden/>
          </w:rPr>
          <w:fldChar w:fldCharType="separate"/>
        </w:r>
        <w:r w:rsidR="003726BE">
          <w:rPr>
            <w:webHidden/>
          </w:rPr>
          <w:t>29</w:t>
        </w:r>
        <w:r w:rsidR="003726BE">
          <w:rPr>
            <w:webHidden/>
          </w:rPr>
          <w:fldChar w:fldCharType="end"/>
        </w:r>
      </w:hyperlink>
    </w:p>
    <w:p w14:paraId="6AAB3BA5" w14:textId="77777777" w:rsidR="003726BE" w:rsidRDefault="00914903">
      <w:pPr>
        <w:pStyle w:val="TOC2"/>
        <w:rPr>
          <w:rFonts w:asciiTheme="minorHAnsi" w:eastAsiaTheme="minorEastAsia" w:hAnsiTheme="minorHAnsi" w:cstheme="minorBidi"/>
          <w:color w:val="auto"/>
          <w:sz w:val="22"/>
          <w:lang w:eastAsia="zh-CN" w:bidi="ar-SA"/>
        </w:rPr>
      </w:pPr>
      <w:hyperlink w:anchor="_Toc474132150" w:history="1">
        <w:r w:rsidR="003726BE" w:rsidRPr="00057C36">
          <w:rPr>
            <w:rStyle w:val="Hyperlink"/>
            <w:rFonts w:cs="Arial"/>
            <w:highlight w:val="yellow"/>
          </w:rPr>
          <w:t>5.2</w:t>
        </w:r>
        <w:r w:rsidR="003726BE">
          <w:rPr>
            <w:rFonts w:asciiTheme="minorHAnsi" w:eastAsiaTheme="minorEastAsia" w:hAnsiTheme="minorHAnsi" w:cstheme="minorBidi"/>
            <w:color w:val="auto"/>
            <w:sz w:val="22"/>
            <w:lang w:eastAsia="zh-CN" w:bidi="ar-SA"/>
          </w:rPr>
          <w:tab/>
        </w:r>
        <w:r w:rsidR="003726BE" w:rsidRPr="00057C36">
          <w:rPr>
            <w:rStyle w:val="Hyperlink"/>
            <w:highlight w:val="yellow"/>
          </w:rPr>
          <w:t>Collegare la logica di intervento agli elementi di valutazione</w:t>
        </w:r>
        <w:r w:rsidR="003726BE">
          <w:rPr>
            <w:webHidden/>
          </w:rPr>
          <w:tab/>
        </w:r>
        <w:r w:rsidR="003726BE">
          <w:rPr>
            <w:webHidden/>
          </w:rPr>
          <w:fldChar w:fldCharType="begin"/>
        </w:r>
        <w:r w:rsidR="003726BE">
          <w:rPr>
            <w:webHidden/>
          </w:rPr>
          <w:instrText xml:space="preserve"> PAGEREF _Toc474132150 \h </w:instrText>
        </w:r>
        <w:r w:rsidR="003726BE">
          <w:rPr>
            <w:webHidden/>
          </w:rPr>
        </w:r>
        <w:r w:rsidR="003726BE">
          <w:rPr>
            <w:webHidden/>
          </w:rPr>
          <w:fldChar w:fldCharType="separate"/>
        </w:r>
        <w:r w:rsidR="003726BE">
          <w:rPr>
            <w:webHidden/>
          </w:rPr>
          <w:t>34</w:t>
        </w:r>
        <w:r w:rsidR="003726BE">
          <w:rPr>
            <w:webHidden/>
          </w:rPr>
          <w:fldChar w:fldCharType="end"/>
        </w:r>
      </w:hyperlink>
    </w:p>
    <w:p w14:paraId="461C0B79" w14:textId="77777777" w:rsidR="003726BE" w:rsidRDefault="00914903">
      <w:pPr>
        <w:pStyle w:val="TOC3"/>
        <w:rPr>
          <w:rFonts w:asciiTheme="minorHAnsi" w:eastAsiaTheme="minorEastAsia" w:hAnsiTheme="minorHAnsi" w:cstheme="minorBidi"/>
          <w:color w:val="auto"/>
          <w:sz w:val="22"/>
          <w:szCs w:val="22"/>
          <w:lang w:eastAsia="zh-CN" w:bidi="ar-SA"/>
        </w:rPr>
      </w:pPr>
      <w:hyperlink w:anchor="_Toc474132151" w:history="1">
        <w:r w:rsidR="003726BE" w:rsidRPr="00057C36">
          <w:rPr>
            <w:rStyle w:val="Hyperlink"/>
            <w:rFonts w:cs="Arial"/>
            <w:highlight w:val="yellow"/>
          </w:rPr>
          <w:t>5.2.1</w:t>
        </w:r>
        <w:r w:rsidR="003726BE">
          <w:rPr>
            <w:rFonts w:asciiTheme="minorHAnsi" w:eastAsiaTheme="minorEastAsia" w:hAnsiTheme="minorHAnsi" w:cstheme="minorBidi"/>
            <w:color w:val="auto"/>
            <w:sz w:val="22"/>
            <w:szCs w:val="22"/>
            <w:lang w:eastAsia="zh-CN" w:bidi="ar-SA"/>
          </w:rPr>
          <w:tab/>
        </w:r>
        <w:r w:rsidR="003726BE" w:rsidRPr="00057C36">
          <w:rPr>
            <w:rStyle w:val="Hyperlink"/>
            <w:highlight w:val="yellow"/>
          </w:rPr>
          <w:t>Definire gli elementi di valutazione: domande di valutazione, criteri di giudizio, indicatori</w:t>
        </w:r>
        <w:r w:rsidR="003726BE">
          <w:rPr>
            <w:webHidden/>
          </w:rPr>
          <w:tab/>
        </w:r>
        <w:r w:rsidR="003726BE">
          <w:rPr>
            <w:webHidden/>
          </w:rPr>
          <w:fldChar w:fldCharType="begin"/>
        </w:r>
        <w:r w:rsidR="003726BE">
          <w:rPr>
            <w:webHidden/>
          </w:rPr>
          <w:instrText xml:space="preserve"> PAGEREF _Toc474132151 \h </w:instrText>
        </w:r>
        <w:r w:rsidR="003726BE">
          <w:rPr>
            <w:webHidden/>
          </w:rPr>
        </w:r>
        <w:r w:rsidR="003726BE">
          <w:rPr>
            <w:webHidden/>
          </w:rPr>
          <w:fldChar w:fldCharType="separate"/>
        </w:r>
        <w:r w:rsidR="003726BE">
          <w:rPr>
            <w:webHidden/>
          </w:rPr>
          <w:t>34</w:t>
        </w:r>
        <w:r w:rsidR="003726BE">
          <w:rPr>
            <w:webHidden/>
          </w:rPr>
          <w:fldChar w:fldCharType="end"/>
        </w:r>
      </w:hyperlink>
    </w:p>
    <w:p w14:paraId="3CF0F554" w14:textId="77777777" w:rsidR="003726BE" w:rsidRDefault="00914903">
      <w:pPr>
        <w:pStyle w:val="TOC3"/>
        <w:rPr>
          <w:rFonts w:asciiTheme="minorHAnsi" w:eastAsiaTheme="minorEastAsia" w:hAnsiTheme="minorHAnsi" w:cstheme="minorBidi"/>
          <w:color w:val="auto"/>
          <w:sz w:val="22"/>
          <w:szCs w:val="22"/>
          <w:lang w:eastAsia="zh-CN" w:bidi="ar-SA"/>
        </w:rPr>
      </w:pPr>
      <w:hyperlink w:anchor="_Toc474132152" w:history="1">
        <w:r w:rsidR="003726BE" w:rsidRPr="00057C36">
          <w:rPr>
            <w:rStyle w:val="Hyperlink"/>
            <w:rFonts w:cs="Arial"/>
            <w:highlight w:val="yellow"/>
          </w:rPr>
          <w:t>5.2.2</w:t>
        </w:r>
        <w:r w:rsidR="003726BE">
          <w:rPr>
            <w:rFonts w:asciiTheme="minorHAnsi" w:eastAsiaTheme="minorEastAsia" w:hAnsiTheme="minorHAnsi" w:cstheme="minorBidi"/>
            <w:color w:val="auto"/>
            <w:sz w:val="22"/>
            <w:szCs w:val="22"/>
            <w:lang w:eastAsia="zh-CN" w:bidi="ar-SA"/>
          </w:rPr>
          <w:tab/>
        </w:r>
        <w:r w:rsidR="003726BE" w:rsidRPr="00057C36">
          <w:rPr>
            <w:rStyle w:val="Hyperlink"/>
            <w:highlight w:val="yellow"/>
          </w:rPr>
          <w:t>Verifica della coerenza delle domande di valutazione e degli indicatori con la logica di intervento della RRN.</w:t>
        </w:r>
        <w:r w:rsidR="003726BE">
          <w:rPr>
            <w:webHidden/>
          </w:rPr>
          <w:tab/>
        </w:r>
        <w:r w:rsidR="003726BE">
          <w:rPr>
            <w:webHidden/>
          </w:rPr>
          <w:fldChar w:fldCharType="begin"/>
        </w:r>
        <w:r w:rsidR="003726BE">
          <w:rPr>
            <w:webHidden/>
          </w:rPr>
          <w:instrText xml:space="preserve"> PAGEREF _Toc474132152 \h </w:instrText>
        </w:r>
        <w:r w:rsidR="003726BE">
          <w:rPr>
            <w:webHidden/>
          </w:rPr>
        </w:r>
        <w:r w:rsidR="003726BE">
          <w:rPr>
            <w:webHidden/>
          </w:rPr>
          <w:fldChar w:fldCharType="separate"/>
        </w:r>
        <w:r w:rsidR="003726BE">
          <w:rPr>
            <w:webHidden/>
          </w:rPr>
          <w:t>40</w:t>
        </w:r>
        <w:r w:rsidR="003726BE">
          <w:rPr>
            <w:webHidden/>
          </w:rPr>
          <w:fldChar w:fldCharType="end"/>
        </w:r>
      </w:hyperlink>
    </w:p>
    <w:p w14:paraId="03005F3A" w14:textId="77777777" w:rsidR="003726BE" w:rsidRDefault="00914903">
      <w:pPr>
        <w:pStyle w:val="TOC3"/>
        <w:rPr>
          <w:rFonts w:asciiTheme="minorHAnsi" w:eastAsiaTheme="minorEastAsia" w:hAnsiTheme="minorHAnsi" w:cstheme="minorBidi"/>
          <w:color w:val="auto"/>
          <w:sz w:val="22"/>
          <w:szCs w:val="22"/>
          <w:lang w:eastAsia="zh-CN" w:bidi="ar-SA"/>
        </w:rPr>
      </w:pPr>
      <w:hyperlink w:anchor="_Toc474132153" w:history="1">
        <w:r w:rsidR="003726BE" w:rsidRPr="00057C36">
          <w:rPr>
            <w:rStyle w:val="Hyperlink"/>
            <w:rFonts w:cs="Arial"/>
            <w:highlight w:val="yellow"/>
          </w:rPr>
          <w:t>5.2.3</w:t>
        </w:r>
        <w:r w:rsidR="003726BE">
          <w:rPr>
            <w:rFonts w:asciiTheme="minorHAnsi" w:eastAsiaTheme="minorEastAsia" w:hAnsiTheme="minorHAnsi" w:cstheme="minorBidi"/>
            <w:color w:val="auto"/>
            <w:sz w:val="22"/>
            <w:szCs w:val="22"/>
            <w:lang w:eastAsia="zh-CN" w:bidi="ar-SA"/>
          </w:rPr>
          <w:tab/>
        </w:r>
        <w:r w:rsidR="003726BE" w:rsidRPr="00057C36">
          <w:rPr>
            <w:rStyle w:val="Hyperlink"/>
            <w:highlight w:val="yellow"/>
          </w:rPr>
          <w:t>Sviluppo di elementi di valutazione specifici del PSR</w:t>
        </w:r>
        <w:r w:rsidR="003726BE">
          <w:rPr>
            <w:webHidden/>
          </w:rPr>
          <w:tab/>
        </w:r>
        <w:r w:rsidR="003726BE">
          <w:rPr>
            <w:webHidden/>
          </w:rPr>
          <w:fldChar w:fldCharType="begin"/>
        </w:r>
        <w:r w:rsidR="003726BE">
          <w:rPr>
            <w:webHidden/>
          </w:rPr>
          <w:instrText xml:space="preserve"> PAGEREF _Toc474132153 \h </w:instrText>
        </w:r>
        <w:r w:rsidR="003726BE">
          <w:rPr>
            <w:webHidden/>
          </w:rPr>
        </w:r>
        <w:r w:rsidR="003726BE">
          <w:rPr>
            <w:webHidden/>
          </w:rPr>
          <w:fldChar w:fldCharType="separate"/>
        </w:r>
        <w:r w:rsidR="003726BE">
          <w:rPr>
            <w:webHidden/>
          </w:rPr>
          <w:t>44</w:t>
        </w:r>
        <w:r w:rsidR="003726BE">
          <w:rPr>
            <w:webHidden/>
          </w:rPr>
          <w:fldChar w:fldCharType="end"/>
        </w:r>
      </w:hyperlink>
    </w:p>
    <w:p w14:paraId="4051E107" w14:textId="77777777" w:rsidR="003726BE" w:rsidRDefault="00914903">
      <w:pPr>
        <w:pStyle w:val="TOC1"/>
        <w:rPr>
          <w:rFonts w:asciiTheme="minorHAnsi" w:eastAsiaTheme="minorEastAsia" w:hAnsiTheme="minorHAnsi" w:cstheme="minorBidi"/>
          <w:b w:val="0"/>
          <w:color w:val="auto"/>
          <w:sz w:val="22"/>
          <w:szCs w:val="22"/>
          <w:lang w:eastAsia="zh-CN" w:bidi="ar-SA"/>
        </w:rPr>
      </w:pPr>
      <w:hyperlink w:anchor="_Toc474132154" w:history="1">
        <w:r w:rsidR="003726BE" w:rsidRPr="00057C36">
          <w:rPr>
            <w:rStyle w:val="Hyperlink"/>
            <w:rFonts w:cs="Arial"/>
          </w:rPr>
          <w:t>6</w:t>
        </w:r>
        <w:r w:rsidR="003726BE">
          <w:rPr>
            <w:rFonts w:asciiTheme="minorHAnsi" w:eastAsiaTheme="minorEastAsia" w:hAnsiTheme="minorHAnsi" w:cstheme="minorBidi"/>
            <w:b w:val="0"/>
            <w:color w:val="auto"/>
            <w:sz w:val="22"/>
            <w:szCs w:val="22"/>
            <w:lang w:eastAsia="zh-CN" w:bidi="ar-SA"/>
          </w:rPr>
          <w:tab/>
        </w:r>
        <w:r w:rsidR="003726BE" w:rsidRPr="00057C36">
          <w:rPr>
            <w:rStyle w:val="Hyperlink"/>
          </w:rPr>
          <w:t>STRUCTURING THE EVALUATION</w:t>
        </w:r>
        <w:r w:rsidR="003726BE">
          <w:rPr>
            <w:webHidden/>
          </w:rPr>
          <w:tab/>
        </w:r>
        <w:r w:rsidR="003726BE">
          <w:rPr>
            <w:webHidden/>
          </w:rPr>
          <w:fldChar w:fldCharType="begin"/>
        </w:r>
        <w:r w:rsidR="003726BE">
          <w:rPr>
            <w:webHidden/>
          </w:rPr>
          <w:instrText xml:space="preserve"> PAGEREF _Toc474132154 \h </w:instrText>
        </w:r>
        <w:r w:rsidR="003726BE">
          <w:rPr>
            <w:webHidden/>
          </w:rPr>
        </w:r>
        <w:r w:rsidR="003726BE">
          <w:rPr>
            <w:webHidden/>
          </w:rPr>
          <w:fldChar w:fldCharType="separate"/>
        </w:r>
        <w:r w:rsidR="003726BE">
          <w:rPr>
            <w:webHidden/>
          </w:rPr>
          <w:t>52</w:t>
        </w:r>
        <w:r w:rsidR="003726BE">
          <w:rPr>
            <w:webHidden/>
          </w:rPr>
          <w:fldChar w:fldCharType="end"/>
        </w:r>
      </w:hyperlink>
    </w:p>
    <w:p w14:paraId="2032A2CA" w14:textId="77777777" w:rsidR="003726BE" w:rsidRDefault="00914903">
      <w:pPr>
        <w:pStyle w:val="TOC2"/>
        <w:rPr>
          <w:rFonts w:asciiTheme="minorHAnsi" w:eastAsiaTheme="minorEastAsia" w:hAnsiTheme="minorHAnsi" w:cstheme="minorBidi"/>
          <w:color w:val="auto"/>
          <w:sz w:val="22"/>
          <w:lang w:eastAsia="zh-CN" w:bidi="ar-SA"/>
        </w:rPr>
      </w:pPr>
      <w:hyperlink w:anchor="_Toc474132155" w:history="1">
        <w:r w:rsidR="003726BE" w:rsidRPr="00057C36">
          <w:rPr>
            <w:rStyle w:val="Hyperlink"/>
            <w:rFonts w:cs="Arial"/>
          </w:rPr>
          <w:t>6.1</w:t>
        </w:r>
        <w:r w:rsidR="003726BE">
          <w:rPr>
            <w:rFonts w:asciiTheme="minorHAnsi" w:eastAsiaTheme="minorEastAsia" w:hAnsiTheme="minorHAnsi" w:cstheme="minorBidi"/>
            <w:color w:val="auto"/>
            <w:sz w:val="22"/>
            <w:lang w:eastAsia="zh-CN" w:bidi="ar-SA"/>
          </w:rPr>
          <w:tab/>
        </w:r>
        <w:r w:rsidR="003726BE" w:rsidRPr="00057C36">
          <w:rPr>
            <w:rStyle w:val="Hyperlink"/>
          </w:rPr>
          <w:t>Set up a consistent evaluation approach</w:t>
        </w:r>
        <w:r w:rsidR="003726BE">
          <w:rPr>
            <w:webHidden/>
          </w:rPr>
          <w:tab/>
        </w:r>
        <w:r w:rsidR="003726BE">
          <w:rPr>
            <w:webHidden/>
          </w:rPr>
          <w:fldChar w:fldCharType="begin"/>
        </w:r>
        <w:r w:rsidR="003726BE">
          <w:rPr>
            <w:webHidden/>
          </w:rPr>
          <w:instrText xml:space="preserve"> PAGEREF _Toc474132155 \h </w:instrText>
        </w:r>
        <w:r w:rsidR="003726BE">
          <w:rPr>
            <w:webHidden/>
          </w:rPr>
        </w:r>
        <w:r w:rsidR="003726BE">
          <w:rPr>
            <w:webHidden/>
          </w:rPr>
          <w:fldChar w:fldCharType="separate"/>
        </w:r>
        <w:r w:rsidR="003726BE">
          <w:rPr>
            <w:webHidden/>
          </w:rPr>
          <w:t>52</w:t>
        </w:r>
        <w:r w:rsidR="003726BE">
          <w:rPr>
            <w:webHidden/>
          </w:rPr>
          <w:fldChar w:fldCharType="end"/>
        </w:r>
      </w:hyperlink>
    </w:p>
    <w:p w14:paraId="519BD04F" w14:textId="77777777" w:rsidR="003726BE" w:rsidRDefault="00914903">
      <w:pPr>
        <w:pStyle w:val="TOC3"/>
        <w:rPr>
          <w:rFonts w:asciiTheme="minorHAnsi" w:eastAsiaTheme="minorEastAsia" w:hAnsiTheme="minorHAnsi" w:cstheme="minorBidi"/>
          <w:color w:val="auto"/>
          <w:sz w:val="22"/>
          <w:szCs w:val="22"/>
          <w:lang w:eastAsia="zh-CN" w:bidi="ar-SA"/>
        </w:rPr>
      </w:pPr>
      <w:hyperlink w:anchor="_Toc474132156" w:history="1">
        <w:r w:rsidR="003726BE" w:rsidRPr="00057C36">
          <w:rPr>
            <w:rStyle w:val="Hyperlink"/>
            <w:rFonts w:cs="Arial"/>
          </w:rPr>
          <w:t>6.1.1</w:t>
        </w:r>
        <w:r w:rsidR="003726BE">
          <w:rPr>
            <w:rFonts w:asciiTheme="minorHAnsi" w:eastAsiaTheme="minorEastAsia" w:hAnsiTheme="minorHAnsi" w:cstheme="minorBidi"/>
            <w:color w:val="auto"/>
            <w:sz w:val="22"/>
            <w:szCs w:val="22"/>
            <w:lang w:eastAsia="zh-CN" w:bidi="ar-SA"/>
          </w:rPr>
          <w:tab/>
        </w:r>
        <w:r w:rsidR="003726BE" w:rsidRPr="00057C36">
          <w:rPr>
            <w:rStyle w:val="Hyperlink"/>
          </w:rPr>
          <w:t>Selection of a suitable evaluation approach for the evaluation of RDP results in 2017</w:t>
        </w:r>
        <w:r w:rsidR="003726BE">
          <w:rPr>
            <w:webHidden/>
          </w:rPr>
          <w:tab/>
        </w:r>
        <w:r w:rsidR="003726BE">
          <w:rPr>
            <w:webHidden/>
          </w:rPr>
          <w:fldChar w:fldCharType="begin"/>
        </w:r>
        <w:r w:rsidR="003726BE">
          <w:rPr>
            <w:webHidden/>
          </w:rPr>
          <w:instrText xml:space="preserve"> PAGEREF _Toc474132156 \h </w:instrText>
        </w:r>
        <w:r w:rsidR="003726BE">
          <w:rPr>
            <w:webHidden/>
          </w:rPr>
        </w:r>
        <w:r w:rsidR="003726BE">
          <w:rPr>
            <w:webHidden/>
          </w:rPr>
          <w:fldChar w:fldCharType="separate"/>
        </w:r>
        <w:r w:rsidR="003726BE">
          <w:rPr>
            <w:webHidden/>
          </w:rPr>
          <w:t>52</w:t>
        </w:r>
        <w:r w:rsidR="003726BE">
          <w:rPr>
            <w:webHidden/>
          </w:rPr>
          <w:fldChar w:fldCharType="end"/>
        </w:r>
      </w:hyperlink>
    </w:p>
    <w:p w14:paraId="619357FD" w14:textId="77777777" w:rsidR="003726BE" w:rsidRDefault="00914903">
      <w:pPr>
        <w:pStyle w:val="TOC3"/>
        <w:rPr>
          <w:rFonts w:asciiTheme="minorHAnsi" w:eastAsiaTheme="minorEastAsia" w:hAnsiTheme="minorHAnsi" w:cstheme="minorBidi"/>
          <w:color w:val="auto"/>
          <w:sz w:val="22"/>
          <w:szCs w:val="22"/>
          <w:lang w:eastAsia="zh-CN" w:bidi="ar-SA"/>
        </w:rPr>
      </w:pPr>
      <w:hyperlink w:anchor="_Toc474132157" w:history="1">
        <w:r w:rsidR="003726BE" w:rsidRPr="00057C36">
          <w:rPr>
            <w:rStyle w:val="Hyperlink"/>
            <w:rFonts w:cs="Arial"/>
          </w:rPr>
          <w:t>6.1.2</w:t>
        </w:r>
        <w:r w:rsidR="003726BE">
          <w:rPr>
            <w:rFonts w:asciiTheme="minorHAnsi" w:eastAsiaTheme="minorEastAsia" w:hAnsiTheme="minorHAnsi" w:cstheme="minorBidi"/>
            <w:color w:val="auto"/>
            <w:sz w:val="22"/>
            <w:szCs w:val="22"/>
            <w:lang w:eastAsia="zh-CN" w:bidi="ar-SA"/>
          </w:rPr>
          <w:tab/>
        </w:r>
        <w:r w:rsidR="003726BE" w:rsidRPr="00057C36">
          <w:rPr>
            <w:rStyle w:val="Hyperlink"/>
          </w:rPr>
          <w:t>Select evaluation methods and their combinations</w:t>
        </w:r>
        <w:r w:rsidR="003726BE">
          <w:rPr>
            <w:webHidden/>
          </w:rPr>
          <w:tab/>
        </w:r>
        <w:r w:rsidR="003726BE">
          <w:rPr>
            <w:webHidden/>
          </w:rPr>
          <w:fldChar w:fldCharType="begin"/>
        </w:r>
        <w:r w:rsidR="003726BE">
          <w:rPr>
            <w:webHidden/>
          </w:rPr>
          <w:instrText xml:space="preserve"> PAGEREF _Toc474132157 \h </w:instrText>
        </w:r>
        <w:r w:rsidR="003726BE">
          <w:rPr>
            <w:webHidden/>
          </w:rPr>
        </w:r>
        <w:r w:rsidR="003726BE">
          <w:rPr>
            <w:webHidden/>
          </w:rPr>
          <w:fldChar w:fldCharType="separate"/>
        </w:r>
        <w:r w:rsidR="003726BE">
          <w:rPr>
            <w:webHidden/>
          </w:rPr>
          <w:t>55</w:t>
        </w:r>
        <w:r w:rsidR="003726BE">
          <w:rPr>
            <w:webHidden/>
          </w:rPr>
          <w:fldChar w:fldCharType="end"/>
        </w:r>
      </w:hyperlink>
    </w:p>
    <w:p w14:paraId="6CA37753" w14:textId="77777777" w:rsidR="003726BE" w:rsidRDefault="00914903">
      <w:pPr>
        <w:pStyle w:val="TOC2"/>
        <w:rPr>
          <w:rFonts w:asciiTheme="minorHAnsi" w:eastAsiaTheme="minorEastAsia" w:hAnsiTheme="minorHAnsi" w:cstheme="minorBidi"/>
          <w:color w:val="auto"/>
          <w:sz w:val="22"/>
          <w:lang w:eastAsia="zh-CN" w:bidi="ar-SA"/>
        </w:rPr>
      </w:pPr>
      <w:hyperlink w:anchor="_Toc474132158" w:history="1">
        <w:r w:rsidR="003726BE" w:rsidRPr="00057C36">
          <w:rPr>
            <w:rStyle w:val="Hyperlink"/>
            <w:rFonts w:cs="Arial"/>
          </w:rPr>
          <w:t>6.2</w:t>
        </w:r>
        <w:r w:rsidR="003726BE">
          <w:rPr>
            <w:rFonts w:asciiTheme="minorHAnsi" w:eastAsiaTheme="minorEastAsia" w:hAnsiTheme="minorHAnsi" w:cstheme="minorBidi"/>
            <w:color w:val="auto"/>
            <w:sz w:val="22"/>
            <w:lang w:eastAsia="zh-CN" w:bidi="ar-SA"/>
          </w:rPr>
          <w:tab/>
        </w:r>
        <w:r w:rsidR="003726BE" w:rsidRPr="00057C36">
          <w:rPr>
            <w:rStyle w:val="Hyperlink"/>
          </w:rPr>
          <w:t>Establish the evidence for evaluation</w:t>
        </w:r>
        <w:r w:rsidR="003726BE">
          <w:rPr>
            <w:webHidden/>
          </w:rPr>
          <w:tab/>
        </w:r>
        <w:r w:rsidR="003726BE">
          <w:rPr>
            <w:webHidden/>
          </w:rPr>
          <w:fldChar w:fldCharType="begin"/>
        </w:r>
        <w:r w:rsidR="003726BE">
          <w:rPr>
            <w:webHidden/>
          </w:rPr>
          <w:instrText xml:space="preserve"> PAGEREF _Toc474132158 \h </w:instrText>
        </w:r>
        <w:r w:rsidR="003726BE">
          <w:rPr>
            <w:webHidden/>
          </w:rPr>
        </w:r>
        <w:r w:rsidR="003726BE">
          <w:rPr>
            <w:webHidden/>
          </w:rPr>
          <w:fldChar w:fldCharType="separate"/>
        </w:r>
        <w:r w:rsidR="003726BE">
          <w:rPr>
            <w:webHidden/>
          </w:rPr>
          <w:t>59</w:t>
        </w:r>
        <w:r w:rsidR="003726BE">
          <w:rPr>
            <w:webHidden/>
          </w:rPr>
          <w:fldChar w:fldCharType="end"/>
        </w:r>
      </w:hyperlink>
    </w:p>
    <w:p w14:paraId="56259300" w14:textId="77777777" w:rsidR="003726BE" w:rsidRDefault="00914903">
      <w:pPr>
        <w:pStyle w:val="TOC3"/>
        <w:rPr>
          <w:rFonts w:asciiTheme="minorHAnsi" w:eastAsiaTheme="minorEastAsia" w:hAnsiTheme="minorHAnsi" w:cstheme="minorBidi"/>
          <w:color w:val="auto"/>
          <w:sz w:val="22"/>
          <w:szCs w:val="22"/>
          <w:lang w:eastAsia="zh-CN" w:bidi="ar-SA"/>
        </w:rPr>
      </w:pPr>
      <w:hyperlink w:anchor="_Toc474132159" w:history="1">
        <w:r w:rsidR="003726BE" w:rsidRPr="00057C36">
          <w:rPr>
            <w:rStyle w:val="Hyperlink"/>
            <w:rFonts w:cs="Arial"/>
          </w:rPr>
          <w:t>6.2.1</w:t>
        </w:r>
        <w:r w:rsidR="003726BE">
          <w:rPr>
            <w:rFonts w:asciiTheme="minorHAnsi" w:eastAsiaTheme="minorEastAsia" w:hAnsiTheme="minorHAnsi" w:cstheme="minorBidi"/>
            <w:color w:val="auto"/>
            <w:sz w:val="22"/>
            <w:szCs w:val="22"/>
            <w:lang w:eastAsia="zh-CN" w:bidi="ar-SA"/>
          </w:rPr>
          <w:tab/>
        </w:r>
        <w:r w:rsidR="003726BE" w:rsidRPr="00057C36">
          <w:rPr>
            <w:rStyle w:val="Hyperlink"/>
          </w:rPr>
          <w:t>Review data requirements for the chosen methods</w:t>
        </w:r>
        <w:r w:rsidR="003726BE">
          <w:rPr>
            <w:webHidden/>
          </w:rPr>
          <w:tab/>
        </w:r>
        <w:r w:rsidR="003726BE">
          <w:rPr>
            <w:webHidden/>
          </w:rPr>
          <w:fldChar w:fldCharType="begin"/>
        </w:r>
        <w:r w:rsidR="003726BE">
          <w:rPr>
            <w:webHidden/>
          </w:rPr>
          <w:instrText xml:space="preserve"> PAGEREF _Toc474132159 \h </w:instrText>
        </w:r>
        <w:r w:rsidR="003726BE">
          <w:rPr>
            <w:webHidden/>
          </w:rPr>
        </w:r>
        <w:r w:rsidR="003726BE">
          <w:rPr>
            <w:webHidden/>
          </w:rPr>
          <w:fldChar w:fldCharType="separate"/>
        </w:r>
        <w:r w:rsidR="003726BE">
          <w:rPr>
            <w:webHidden/>
          </w:rPr>
          <w:t>59</w:t>
        </w:r>
        <w:r w:rsidR="003726BE">
          <w:rPr>
            <w:webHidden/>
          </w:rPr>
          <w:fldChar w:fldCharType="end"/>
        </w:r>
      </w:hyperlink>
    </w:p>
    <w:p w14:paraId="7A855DE8" w14:textId="77777777" w:rsidR="003726BE" w:rsidRDefault="00914903">
      <w:pPr>
        <w:pStyle w:val="TOC3"/>
        <w:rPr>
          <w:rFonts w:asciiTheme="minorHAnsi" w:eastAsiaTheme="minorEastAsia" w:hAnsiTheme="minorHAnsi" w:cstheme="minorBidi"/>
          <w:color w:val="auto"/>
          <w:sz w:val="22"/>
          <w:szCs w:val="22"/>
          <w:lang w:eastAsia="zh-CN" w:bidi="ar-SA"/>
        </w:rPr>
      </w:pPr>
      <w:hyperlink w:anchor="_Toc474132160" w:history="1">
        <w:r w:rsidR="003726BE" w:rsidRPr="00057C36">
          <w:rPr>
            <w:rStyle w:val="Hyperlink"/>
            <w:rFonts w:cs="Arial"/>
          </w:rPr>
          <w:t>6.2.2</w:t>
        </w:r>
        <w:r w:rsidR="003726BE">
          <w:rPr>
            <w:rFonts w:asciiTheme="minorHAnsi" w:eastAsiaTheme="minorEastAsia" w:hAnsiTheme="minorHAnsi" w:cstheme="minorBidi"/>
            <w:color w:val="auto"/>
            <w:sz w:val="22"/>
            <w:szCs w:val="22"/>
            <w:lang w:eastAsia="zh-CN" w:bidi="ar-SA"/>
          </w:rPr>
          <w:tab/>
        </w:r>
        <w:r w:rsidR="003726BE" w:rsidRPr="00057C36">
          <w:rPr>
            <w:rStyle w:val="Hyperlink"/>
          </w:rPr>
          <w:t>Manage and collect data for evaluation</w:t>
        </w:r>
        <w:r w:rsidR="003726BE">
          <w:rPr>
            <w:webHidden/>
          </w:rPr>
          <w:tab/>
        </w:r>
        <w:r w:rsidR="003726BE">
          <w:rPr>
            <w:webHidden/>
          </w:rPr>
          <w:fldChar w:fldCharType="begin"/>
        </w:r>
        <w:r w:rsidR="003726BE">
          <w:rPr>
            <w:webHidden/>
          </w:rPr>
          <w:instrText xml:space="preserve"> PAGEREF _Toc474132160 \h </w:instrText>
        </w:r>
        <w:r w:rsidR="003726BE">
          <w:rPr>
            <w:webHidden/>
          </w:rPr>
        </w:r>
        <w:r w:rsidR="003726BE">
          <w:rPr>
            <w:webHidden/>
          </w:rPr>
          <w:fldChar w:fldCharType="separate"/>
        </w:r>
        <w:r w:rsidR="003726BE">
          <w:rPr>
            <w:webHidden/>
          </w:rPr>
          <w:t>66</w:t>
        </w:r>
        <w:r w:rsidR="003726BE">
          <w:rPr>
            <w:webHidden/>
          </w:rPr>
          <w:fldChar w:fldCharType="end"/>
        </w:r>
      </w:hyperlink>
    </w:p>
    <w:p w14:paraId="69709799" w14:textId="77777777" w:rsidR="003726BE" w:rsidRDefault="00914903">
      <w:pPr>
        <w:pStyle w:val="TOC1"/>
        <w:rPr>
          <w:rFonts w:asciiTheme="minorHAnsi" w:eastAsiaTheme="minorEastAsia" w:hAnsiTheme="minorHAnsi" w:cstheme="minorBidi"/>
          <w:b w:val="0"/>
          <w:color w:val="auto"/>
          <w:sz w:val="22"/>
          <w:szCs w:val="22"/>
          <w:lang w:eastAsia="zh-CN" w:bidi="ar-SA"/>
        </w:rPr>
      </w:pPr>
      <w:hyperlink w:anchor="_Toc474132161" w:history="1">
        <w:r w:rsidR="003726BE" w:rsidRPr="00057C36">
          <w:rPr>
            <w:rStyle w:val="Hyperlink"/>
            <w:rFonts w:cs="Arial"/>
          </w:rPr>
          <w:t>7</w:t>
        </w:r>
        <w:r w:rsidR="003726BE">
          <w:rPr>
            <w:rFonts w:asciiTheme="minorHAnsi" w:eastAsiaTheme="minorEastAsia" w:hAnsiTheme="minorHAnsi" w:cstheme="minorBidi"/>
            <w:b w:val="0"/>
            <w:color w:val="auto"/>
            <w:sz w:val="22"/>
            <w:szCs w:val="22"/>
            <w:lang w:eastAsia="zh-CN" w:bidi="ar-SA"/>
          </w:rPr>
          <w:tab/>
        </w:r>
        <w:r w:rsidR="003726BE" w:rsidRPr="00057C36">
          <w:rPr>
            <w:rStyle w:val="Hyperlink"/>
          </w:rPr>
          <w:t>CONDUCTING THE EVALUATION</w:t>
        </w:r>
        <w:r w:rsidR="003726BE">
          <w:rPr>
            <w:webHidden/>
          </w:rPr>
          <w:tab/>
        </w:r>
        <w:r w:rsidR="003726BE">
          <w:rPr>
            <w:webHidden/>
          </w:rPr>
          <w:fldChar w:fldCharType="begin"/>
        </w:r>
        <w:r w:rsidR="003726BE">
          <w:rPr>
            <w:webHidden/>
          </w:rPr>
          <w:instrText xml:space="preserve"> PAGEREF _Toc474132161 \h </w:instrText>
        </w:r>
        <w:r w:rsidR="003726BE">
          <w:rPr>
            <w:webHidden/>
          </w:rPr>
        </w:r>
        <w:r w:rsidR="003726BE">
          <w:rPr>
            <w:webHidden/>
          </w:rPr>
          <w:fldChar w:fldCharType="separate"/>
        </w:r>
        <w:r w:rsidR="003726BE">
          <w:rPr>
            <w:webHidden/>
          </w:rPr>
          <w:t>71</w:t>
        </w:r>
        <w:r w:rsidR="003726BE">
          <w:rPr>
            <w:webHidden/>
          </w:rPr>
          <w:fldChar w:fldCharType="end"/>
        </w:r>
      </w:hyperlink>
    </w:p>
    <w:p w14:paraId="1F74AE69" w14:textId="77777777" w:rsidR="003726BE" w:rsidRDefault="00914903">
      <w:pPr>
        <w:pStyle w:val="TOC2"/>
        <w:rPr>
          <w:rFonts w:asciiTheme="minorHAnsi" w:eastAsiaTheme="minorEastAsia" w:hAnsiTheme="minorHAnsi" w:cstheme="minorBidi"/>
          <w:color w:val="auto"/>
          <w:sz w:val="22"/>
          <w:lang w:eastAsia="zh-CN" w:bidi="ar-SA"/>
        </w:rPr>
      </w:pPr>
      <w:hyperlink w:anchor="_Toc474132162" w:history="1">
        <w:r w:rsidR="003726BE" w:rsidRPr="00057C36">
          <w:rPr>
            <w:rStyle w:val="Hyperlink"/>
          </w:rPr>
          <w:t>7.1</w:t>
        </w:r>
        <w:r w:rsidR="003726BE">
          <w:rPr>
            <w:rFonts w:asciiTheme="minorHAnsi" w:eastAsiaTheme="minorEastAsia" w:hAnsiTheme="minorHAnsi" w:cstheme="minorBidi"/>
            <w:color w:val="auto"/>
            <w:sz w:val="22"/>
            <w:lang w:eastAsia="zh-CN" w:bidi="ar-SA"/>
          </w:rPr>
          <w:tab/>
        </w:r>
        <w:r w:rsidR="003726BE" w:rsidRPr="00057C36">
          <w:rPr>
            <w:rStyle w:val="Hyperlink"/>
          </w:rPr>
          <w:t>Observing</w:t>
        </w:r>
        <w:r w:rsidR="003726BE">
          <w:rPr>
            <w:webHidden/>
          </w:rPr>
          <w:tab/>
        </w:r>
        <w:r w:rsidR="003726BE">
          <w:rPr>
            <w:webHidden/>
          </w:rPr>
          <w:fldChar w:fldCharType="begin"/>
        </w:r>
        <w:r w:rsidR="003726BE">
          <w:rPr>
            <w:webHidden/>
          </w:rPr>
          <w:instrText xml:space="preserve"> PAGEREF _Toc474132162 \h </w:instrText>
        </w:r>
        <w:r w:rsidR="003726BE">
          <w:rPr>
            <w:webHidden/>
          </w:rPr>
        </w:r>
        <w:r w:rsidR="003726BE">
          <w:rPr>
            <w:webHidden/>
          </w:rPr>
          <w:fldChar w:fldCharType="separate"/>
        </w:r>
        <w:r w:rsidR="003726BE">
          <w:rPr>
            <w:webHidden/>
          </w:rPr>
          <w:t>71</w:t>
        </w:r>
        <w:r w:rsidR="003726BE">
          <w:rPr>
            <w:webHidden/>
          </w:rPr>
          <w:fldChar w:fldCharType="end"/>
        </w:r>
      </w:hyperlink>
    </w:p>
    <w:p w14:paraId="5A53C636" w14:textId="77777777" w:rsidR="003726BE" w:rsidRDefault="00914903">
      <w:pPr>
        <w:pStyle w:val="TOC2"/>
        <w:rPr>
          <w:rFonts w:asciiTheme="minorHAnsi" w:eastAsiaTheme="minorEastAsia" w:hAnsiTheme="minorHAnsi" w:cstheme="minorBidi"/>
          <w:color w:val="auto"/>
          <w:sz w:val="22"/>
          <w:lang w:eastAsia="zh-CN" w:bidi="ar-SA"/>
        </w:rPr>
      </w:pPr>
      <w:hyperlink w:anchor="_Toc474132163" w:history="1">
        <w:r w:rsidR="003726BE" w:rsidRPr="00057C36">
          <w:rPr>
            <w:rStyle w:val="Hyperlink"/>
          </w:rPr>
          <w:t>7.2</w:t>
        </w:r>
        <w:r w:rsidR="003726BE">
          <w:rPr>
            <w:rFonts w:asciiTheme="minorHAnsi" w:eastAsiaTheme="minorEastAsia" w:hAnsiTheme="minorHAnsi" w:cstheme="minorBidi"/>
            <w:color w:val="auto"/>
            <w:sz w:val="22"/>
            <w:lang w:eastAsia="zh-CN" w:bidi="ar-SA"/>
          </w:rPr>
          <w:tab/>
        </w:r>
        <w:r w:rsidR="003726BE" w:rsidRPr="00057C36">
          <w:rPr>
            <w:rStyle w:val="Hyperlink"/>
          </w:rPr>
          <w:t>Analysing</w:t>
        </w:r>
        <w:r w:rsidR="003726BE">
          <w:rPr>
            <w:webHidden/>
          </w:rPr>
          <w:tab/>
        </w:r>
        <w:r w:rsidR="003726BE">
          <w:rPr>
            <w:webHidden/>
          </w:rPr>
          <w:fldChar w:fldCharType="begin"/>
        </w:r>
        <w:r w:rsidR="003726BE">
          <w:rPr>
            <w:webHidden/>
          </w:rPr>
          <w:instrText xml:space="preserve"> PAGEREF _Toc474132163 \h </w:instrText>
        </w:r>
        <w:r w:rsidR="003726BE">
          <w:rPr>
            <w:webHidden/>
          </w:rPr>
        </w:r>
        <w:r w:rsidR="003726BE">
          <w:rPr>
            <w:webHidden/>
          </w:rPr>
          <w:fldChar w:fldCharType="separate"/>
        </w:r>
        <w:r w:rsidR="003726BE">
          <w:rPr>
            <w:webHidden/>
          </w:rPr>
          <w:t>73</w:t>
        </w:r>
        <w:r w:rsidR="003726BE">
          <w:rPr>
            <w:webHidden/>
          </w:rPr>
          <w:fldChar w:fldCharType="end"/>
        </w:r>
      </w:hyperlink>
    </w:p>
    <w:p w14:paraId="5AE7FE2D" w14:textId="77777777" w:rsidR="003726BE" w:rsidRDefault="00914903">
      <w:pPr>
        <w:pStyle w:val="TOC2"/>
        <w:rPr>
          <w:rFonts w:asciiTheme="minorHAnsi" w:eastAsiaTheme="minorEastAsia" w:hAnsiTheme="minorHAnsi" w:cstheme="minorBidi"/>
          <w:color w:val="auto"/>
          <w:sz w:val="22"/>
          <w:lang w:eastAsia="zh-CN" w:bidi="ar-SA"/>
        </w:rPr>
      </w:pPr>
      <w:hyperlink w:anchor="_Toc474132164" w:history="1">
        <w:r w:rsidR="003726BE" w:rsidRPr="00057C36">
          <w:rPr>
            <w:rStyle w:val="Hyperlink"/>
          </w:rPr>
          <w:t>7.3</w:t>
        </w:r>
        <w:r w:rsidR="003726BE">
          <w:rPr>
            <w:rFonts w:asciiTheme="minorHAnsi" w:eastAsiaTheme="minorEastAsia" w:hAnsiTheme="minorHAnsi" w:cstheme="minorBidi"/>
            <w:color w:val="auto"/>
            <w:sz w:val="22"/>
            <w:lang w:eastAsia="zh-CN" w:bidi="ar-SA"/>
          </w:rPr>
          <w:tab/>
        </w:r>
        <w:r w:rsidR="003726BE" w:rsidRPr="00057C36">
          <w:rPr>
            <w:rStyle w:val="Hyperlink"/>
          </w:rPr>
          <w:t>Judging</w:t>
        </w:r>
        <w:r w:rsidR="003726BE">
          <w:rPr>
            <w:webHidden/>
          </w:rPr>
          <w:tab/>
        </w:r>
        <w:r w:rsidR="003726BE">
          <w:rPr>
            <w:webHidden/>
          </w:rPr>
          <w:fldChar w:fldCharType="begin"/>
        </w:r>
        <w:r w:rsidR="003726BE">
          <w:rPr>
            <w:webHidden/>
          </w:rPr>
          <w:instrText xml:space="preserve"> PAGEREF _Toc474132164 \h </w:instrText>
        </w:r>
        <w:r w:rsidR="003726BE">
          <w:rPr>
            <w:webHidden/>
          </w:rPr>
        </w:r>
        <w:r w:rsidR="003726BE">
          <w:rPr>
            <w:webHidden/>
          </w:rPr>
          <w:fldChar w:fldCharType="separate"/>
        </w:r>
        <w:r w:rsidR="003726BE">
          <w:rPr>
            <w:webHidden/>
          </w:rPr>
          <w:t>77</w:t>
        </w:r>
        <w:r w:rsidR="003726BE">
          <w:rPr>
            <w:webHidden/>
          </w:rPr>
          <w:fldChar w:fldCharType="end"/>
        </w:r>
      </w:hyperlink>
    </w:p>
    <w:p w14:paraId="110EE828" w14:textId="77777777" w:rsidR="003726BE" w:rsidRDefault="00914903">
      <w:pPr>
        <w:pStyle w:val="TOC1"/>
        <w:rPr>
          <w:rFonts w:asciiTheme="minorHAnsi" w:eastAsiaTheme="minorEastAsia" w:hAnsiTheme="minorHAnsi" w:cstheme="minorBidi"/>
          <w:b w:val="0"/>
          <w:color w:val="auto"/>
          <w:sz w:val="22"/>
          <w:szCs w:val="22"/>
          <w:lang w:eastAsia="zh-CN" w:bidi="ar-SA"/>
        </w:rPr>
      </w:pPr>
      <w:hyperlink w:anchor="_Toc474132165" w:history="1">
        <w:r w:rsidR="003726BE" w:rsidRPr="00057C36">
          <w:rPr>
            <w:rStyle w:val="Hyperlink"/>
          </w:rPr>
          <w:t>PART III - Annexes</w:t>
        </w:r>
        <w:r w:rsidR="003726BE">
          <w:rPr>
            <w:webHidden/>
          </w:rPr>
          <w:tab/>
        </w:r>
        <w:r w:rsidR="003726BE">
          <w:rPr>
            <w:webHidden/>
          </w:rPr>
          <w:fldChar w:fldCharType="begin"/>
        </w:r>
        <w:r w:rsidR="003726BE">
          <w:rPr>
            <w:webHidden/>
          </w:rPr>
          <w:instrText xml:space="preserve"> PAGEREF _Toc474132165 \h </w:instrText>
        </w:r>
        <w:r w:rsidR="003726BE">
          <w:rPr>
            <w:webHidden/>
          </w:rPr>
        </w:r>
        <w:r w:rsidR="003726BE">
          <w:rPr>
            <w:webHidden/>
          </w:rPr>
          <w:fldChar w:fldCharType="separate"/>
        </w:r>
        <w:r w:rsidR="003726BE">
          <w:rPr>
            <w:webHidden/>
          </w:rPr>
          <w:t>79</w:t>
        </w:r>
        <w:r w:rsidR="003726BE">
          <w:rPr>
            <w:webHidden/>
          </w:rPr>
          <w:fldChar w:fldCharType="end"/>
        </w:r>
      </w:hyperlink>
    </w:p>
    <w:p w14:paraId="03ECF7EA" w14:textId="77777777" w:rsidR="003726BE" w:rsidRDefault="00914903">
      <w:pPr>
        <w:pStyle w:val="TOC1"/>
        <w:rPr>
          <w:rFonts w:asciiTheme="minorHAnsi" w:eastAsiaTheme="minorEastAsia" w:hAnsiTheme="minorHAnsi" w:cstheme="minorBidi"/>
          <w:b w:val="0"/>
          <w:color w:val="auto"/>
          <w:sz w:val="22"/>
          <w:szCs w:val="22"/>
          <w:lang w:eastAsia="zh-CN" w:bidi="ar-SA"/>
        </w:rPr>
      </w:pPr>
      <w:hyperlink w:anchor="_Toc474132166" w:history="1">
        <w:r w:rsidR="003726BE" w:rsidRPr="00057C36">
          <w:rPr>
            <w:rStyle w:val="Hyperlink"/>
            <w:highlight w:val="yellow"/>
          </w:rPr>
          <w:t>Allegato 1 - Proposta di modello SFC per il punto 7 della RAA presentata nel 2017</w:t>
        </w:r>
        <w:r w:rsidR="003726BE">
          <w:rPr>
            <w:webHidden/>
          </w:rPr>
          <w:tab/>
        </w:r>
        <w:r w:rsidR="003726BE">
          <w:rPr>
            <w:webHidden/>
          </w:rPr>
          <w:fldChar w:fldCharType="begin"/>
        </w:r>
        <w:r w:rsidR="003726BE">
          <w:rPr>
            <w:webHidden/>
          </w:rPr>
          <w:instrText xml:space="preserve"> PAGEREF _Toc474132166 \h </w:instrText>
        </w:r>
        <w:r w:rsidR="003726BE">
          <w:rPr>
            <w:webHidden/>
          </w:rPr>
        </w:r>
        <w:r w:rsidR="003726BE">
          <w:rPr>
            <w:webHidden/>
          </w:rPr>
          <w:fldChar w:fldCharType="separate"/>
        </w:r>
        <w:r w:rsidR="003726BE">
          <w:rPr>
            <w:webHidden/>
          </w:rPr>
          <w:t>80</w:t>
        </w:r>
        <w:r w:rsidR="003726BE">
          <w:rPr>
            <w:webHidden/>
          </w:rPr>
          <w:fldChar w:fldCharType="end"/>
        </w:r>
      </w:hyperlink>
    </w:p>
    <w:p w14:paraId="34EF7405" w14:textId="77777777" w:rsidR="003726BE" w:rsidRDefault="00914903">
      <w:pPr>
        <w:pStyle w:val="TOC1"/>
        <w:rPr>
          <w:rFonts w:asciiTheme="minorHAnsi" w:eastAsiaTheme="minorEastAsia" w:hAnsiTheme="minorHAnsi" w:cstheme="minorBidi"/>
          <w:b w:val="0"/>
          <w:color w:val="auto"/>
          <w:sz w:val="22"/>
          <w:szCs w:val="22"/>
          <w:lang w:eastAsia="zh-CN" w:bidi="ar-SA"/>
        </w:rPr>
      </w:pPr>
      <w:hyperlink w:anchor="_Toc474132167" w:history="1">
        <w:r w:rsidR="003726BE" w:rsidRPr="00057C36">
          <w:rPr>
            <w:rStyle w:val="Hyperlink"/>
          </w:rPr>
          <w:t>Annex 2 - Elements of the CMES and their use in evaluation</w:t>
        </w:r>
        <w:r w:rsidR="003726BE">
          <w:rPr>
            <w:webHidden/>
          </w:rPr>
          <w:tab/>
        </w:r>
        <w:r w:rsidR="003726BE">
          <w:rPr>
            <w:webHidden/>
          </w:rPr>
          <w:fldChar w:fldCharType="begin"/>
        </w:r>
        <w:r w:rsidR="003726BE">
          <w:rPr>
            <w:webHidden/>
          </w:rPr>
          <w:instrText xml:space="preserve"> PAGEREF _Toc474132167 \h </w:instrText>
        </w:r>
        <w:r w:rsidR="003726BE">
          <w:rPr>
            <w:webHidden/>
          </w:rPr>
        </w:r>
        <w:r w:rsidR="003726BE">
          <w:rPr>
            <w:webHidden/>
          </w:rPr>
          <w:fldChar w:fldCharType="separate"/>
        </w:r>
        <w:r w:rsidR="003726BE">
          <w:rPr>
            <w:webHidden/>
          </w:rPr>
          <w:t>103</w:t>
        </w:r>
        <w:r w:rsidR="003726BE">
          <w:rPr>
            <w:webHidden/>
          </w:rPr>
          <w:fldChar w:fldCharType="end"/>
        </w:r>
      </w:hyperlink>
    </w:p>
    <w:p w14:paraId="6142BD81" w14:textId="77777777" w:rsidR="003726BE" w:rsidRDefault="00914903">
      <w:pPr>
        <w:pStyle w:val="TOC1"/>
        <w:rPr>
          <w:rFonts w:asciiTheme="minorHAnsi" w:eastAsiaTheme="minorEastAsia" w:hAnsiTheme="minorHAnsi" w:cstheme="minorBidi"/>
          <w:b w:val="0"/>
          <w:color w:val="auto"/>
          <w:sz w:val="22"/>
          <w:szCs w:val="22"/>
          <w:lang w:eastAsia="zh-CN" w:bidi="ar-SA"/>
        </w:rPr>
      </w:pPr>
      <w:hyperlink w:anchor="_Toc474132168" w:history="1">
        <w:r w:rsidR="003726BE" w:rsidRPr="00057C36">
          <w:rPr>
            <w:rStyle w:val="Hyperlink"/>
          </w:rPr>
          <w:t>Annex 3 - Overview of reporting requirements for the RDP implementation and the evaluation in the programming period 2014-2020</w:t>
        </w:r>
        <w:r w:rsidR="003726BE">
          <w:rPr>
            <w:webHidden/>
          </w:rPr>
          <w:tab/>
        </w:r>
        <w:r w:rsidR="003726BE">
          <w:rPr>
            <w:webHidden/>
          </w:rPr>
          <w:fldChar w:fldCharType="begin"/>
        </w:r>
        <w:r w:rsidR="003726BE">
          <w:rPr>
            <w:webHidden/>
          </w:rPr>
          <w:instrText xml:space="preserve"> PAGEREF _Toc474132168 \h </w:instrText>
        </w:r>
        <w:r w:rsidR="003726BE">
          <w:rPr>
            <w:webHidden/>
          </w:rPr>
        </w:r>
        <w:r w:rsidR="003726BE">
          <w:rPr>
            <w:webHidden/>
          </w:rPr>
          <w:fldChar w:fldCharType="separate"/>
        </w:r>
        <w:r w:rsidR="003726BE">
          <w:rPr>
            <w:webHidden/>
          </w:rPr>
          <w:t>106</w:t>
        </w:r>
        <w:r w:rsidR="003726BE">
          <w:rPr>
            <w:webHidden/>
          </w:rPr>
          <w:fldChar w:fldCharType="end"/>
        </w:r>
      </w:hyperlink>
    </w:p>
    <w:p w14:paraId="586CE7F6" w14:textId="77777777" w:rsidR="003726BE" w:rsidRDefault="00914903">
      <w:pPr>
        <w:pStyle w:val="TOC1"/>
        <w:rPr>
          <w:rFonts w:asciiTheme="minorHAnsi" w:eastAsiaTheme="minorEastAsia" w:hAnsiTheme="minorHAnsi" w:cstheme="minorBidi"/>
          <w:b w:val="0"/>
          <w:color w:val="auto"/>
          <w:sz w:val="22"/>
          <w:szCs w:val="22"/>
          <w:lang w:eastAsia="zh-CN" w:bidi="ar-SA"/>
        </w:rPr>
      </w:pPr>
      <w:hyperlink w:anchor="_Toc474132169" w:history="1">
        <w:r w:rsidR="003726BE" w:rsidRPr="00057C36">
          <w:rPr>
            <w:rStyle w:val="Hyperlink"/>
          </w:rPr>
          <w:t>Annex 4 – Working Steps in Setting up the System to Answer the evaluation questions in 2017</w:t>
        </w:r>
        <w:r w:rsidR="003726BE">
          <w:rPr>
            <w:webHidden/>
          </w:rPr>
          <w:tab/>
        </w:r>
        <w:r w:rsidR="003726BE">
          <w:rPr>
            <w:webHidden/>
          </w:rPr>
          <w:fldChar w:fldCharType="begin"/>
        </w:r>
        <w:r w:rsidR="003726BE">
          <w:rPr>
            <w:webHidden/>
          </w:rPr>
          <w:instrText xml:space="preserve"> PAGEREF _Toc474132169 \h </w:instrText>
        </w:r>
        <w:r w:rsidR="003726BE">
          <w:rPr>
            <w:webHidden/>
          </w:rPr>
        </w:r>
        <w:r w:rsidR="003726BE">
          <w:rPr>
            <w:webHidden/>
          </w:rPr>
          <w:fldChar w:fldCharType="separate"/>
        </w:r>
        <w:r w:rsidR="003726BE">
          <w:rPr>
            <w:webHidden/>
          </w:rPr>
          <w:t>109</w:t>
        </w:r>
        <w:r w:rsidR="003726BE">
          <w:rPr>
            <w:webHidden/>
          </w:rPr>
          <w:fldChar w:fldCharType="end"/>
        </w:r>
      </w:hyperlink>
    </w:p>
    <w:p w14:paraId="650BA9FF" w14:textId="77777777" w:rsidR="003726BE" w:rsidRDefault="00914903">
      <w:pPr>
        <w:pStyle w:val="TOC1"/>
        <w:rPr>
          <w:rFonts w:asciiTheme="minorHAnsi" w:eastAsiaTheme="minorEastAsia" w:hAnsiTheme="minorHAnsi" w:cstheme="minorBidi"/>
          <w:b w:val="0"/>
          <w:color w:val="auto"/>
          <w:sz w:val="22"/>
          <w:szCs w:val="22"/>
          <w:lang w:eastAsia="zh-CN" w:bidi="ar-SA"/>
        </w:rPr>
      </w:pPr>
      <w:hyperlink w:anchor="_Toc474132170" w:history="1">
        <w:r w:rsidR="003726BE" w:rsidRPr="00057C36">
          <w:rPr>
            <w:rStyle w:val="Hyperlink"/>
            <w:highlight w:val="yellow"/>
          </w:rPr>
          <w:t>Allegato 5 - Lista di controllo per la valutazione della qualità del relazione di valutazione</w:t>
        </w:r>
        <w:r w:rsidR="003726BE">
          <w:rPr>
            <w:webHidden/>
          </w:rPr>
          <w:tab/>
        </w:r>
        <w:r w:rsidR="003726BE">
          <w:rPr>
            <w:webHidden/>
          </w:rPr>
          <w:fldChar w:fldCharType="begin"/>
        </w:r>
        <w:r w:rsidR="003726BE">
          <w:rPr>
            <w:webHidden/>
          </w:rPr>
          <w:instrText xml:space="preserve"> PAGEREF _Toc474132170 \h </w:instrText>
        </w:r>
        <w:r w:rsidR="003726BE">
          <w:rPr>
            <w:webHidden/>
          </w:rPr>
        </w:r>
        <w:r w:rsidR="003726BE">
          <w:rPr>
            <w:webHidden/>
          </w:rPr>
          <w:fldChar w:fldCharType="separate"/>
        </w:r>
        <w:r w:rsidR="003726BE">
          <w:rPr>
            <w:webHidden/>
          </w:rPr>
          <w:t>114</w:t>
        </w:r>
        <w:r w:rsidR="003726BE">
          <w:rPr>
            <w:webHidden/>
          </w:rPr>
          <w:fldChar w:fldCharType="end"/>
        </w:r>
      </w:hyperlink>
    </w:p>
    <w:p w14:paraId="0B858F7B" w14:textId="77777777" w:rsidR="003726BE" w:rsidRDefault="00914903">
      <w:pPr>
        <w:pStyle w:val="TOC1"/>
        <w:rPr>
          <w:rFonts w:asciiTheme="minorHAnsi" w:eastAsiaTheme="minorEastAsia" w:hAnsiTheme="minorHAnsi" w:cstheme="minorBidi"/>
          <w:b w:val="0"/>
          <w:color w:val="auto"/>
          <w:sz w:val="22"/>
          <w:szCs w:val="22"/>
          <w:lang w:eastAsia="zh-CN" w:bidi="ar-SA"/>
        </w:rPr>
      </w:pPr>
      <w:hyperlink w:anchor="_Toc474132171" w:history="1">
        <w:r w:rsidR="003726BE" w:rsidRPr="00057C36">
          <w:rPr>
            <w:rStyle w:val="Hyperlink"/>
          </w:rPr>
          <w:t>Annex 6 - The role of rural development stakeholders in the dissemination and communication of the evaluation results</w:t>
        </w:r>
        <w:r w:rsidR="003726BE">
          <w:rPr>
            <w:webHidden/>
          </w:rPr>
          <w:tab/>
        </w:r>
        <w:r w:rsidR="003726BE">
          <w:rPr>
            <w:webHidden/>
          </w:rPr>
          <w:fldChar w:fldCharType="begin"/>
        </w:r>
        <w:r w:rsidR="003726BE">
          <w:rPr>
            <w:webHidden/>
          </w:rPr>
          <w:instrText xml:space="preserve"> PAGEREF _Toc474132171 \h </w:instrText>
        </w:r>
        <w:r w:rsidR="003726BE">
          <w:rPr>
            <w:webHidden/>
          </w:rPr>
        </w:r>
        <w:r w:rsidR="003726BE">
          <w:rPr>
            <w:webHidden/>
          </w:rPr>
          <w:fldChar w:fldCharType="separate"/>
        </w:r>
        <w:r w:rsidR="003726BE">
          <w:rPr>
            <w:webHidden/>
          </w:rPr>
          <w:t>116</w:t>
        </w:r>
        <w:r w:rsidR="003726BE">
          <w:rPr>
            <w:webHidden/>
          </w:rPr>
          <w:fldChar w:fldCharType="end"/>
        </w:r>
      </w:hyperlink>
    </w:p>
    <w:p w14:paraId="1DDE0E1E" w14:textId="77777777" w:rsidR="003726BE" w:rsidRDefault="00914903">
      <w:pPr>
        <w:pStyle w:val="TOC1"/>
        <w:rPr>
          <w:rFonts w:asciiTheme="minorHAnsi" w:eastAsiaTheme="minorEastAsia" w:hAnsiTheme="minorHAnsi" w:cstheme="minorBidi"/>
          <w:b w:val="0"/>
          <w:color w:val="auto"/>
          <w:sz w:val="22"/>
          <w:szCs w:val="22"/>
          <w:lang w:eastAsia="zh-CN" w:bidi="ar-SA"/>
        </w:rPr>
      </w:pPr>
      <w:hyperlink w:anchor="_Toc474132172" w:history="1">
        <w:r w:rsidR="003726BE" w:rsidRPr="00057C36">
          <w:rPr>
            <w:rStyle w:val="Hyperlink"/>
          </w:rPr>
          <w:t>Annex 7 - Minimum requirements and good practices for the reporting on the evaluation in the AIR</w:t>
        </w:r>
        <w:r w:rsidR="003726BE">
          <w:rPr>
            <w:webHidden/>
          </w:rPr>
          <w:tab/>
        </w:r>
        <w:r w:rsidR="003726BE">
          <w:rPr>
            <w:webHidden/>
          </w:rPr>
          <w:fldChar w:fldCharType="begin"/>
        </w:r>
        <w:r w:rsidR="003726BE">
          <w:rPr>
            <w:webHidden/>
          </w:rPr>
          <w:instrText xml:space="preserve"> PAGEREF _Toc474132172 \h </w:instrText>
        </w:r>
        <w:r w:rsidR="003726BE">
          <w:rPr>
            <w:webHidden/>
          </w:rPr>
        </w:r>
        <w:r w:rsidR="003726BE">
          <w:rPr>
            <w:webHidden/>
          </w:rPr>
          <w:fldChar w:fldCharType="separate"/>
        </w:r>
        <w:r w:rsidR="003726BE">
          <w:rPr>
            <w:webHidden/>
          </w:rPr>
          <w:t>117</w:t>
        </w:r>
        <w:r w:rsidR="003726BE">
          <w:rPr>
            <w:webHidden/>
          </w:rPr>
          <w:fldChar w:fldCharType="end"/>
        </w:r>
      </w:hyperlink>
    </w:p>
    <w:p w14:paraId="6AD063B9" w14:textId="77777777" w:rsidR="003726BE" w:rsidRDefault="00914903">
      <w:pPr>
        <w:pStyle w:val="TOC1"/>
        <w:rPr>
          <w:rFonts w:asciiTheme="minorHAnsi" w:eastAsiaTheme="minorEastAsia" w:hAnsiTheme="minorHAnsi" w:cstheme="minorBidi"/>
          <w:b w:val="0"/>
          <w:color w:val="auto"/>
          <w:sz w:val="22"/>
          <w:szCs w:val="22"/>
          <w:lang w:eastAsia="zh-CN" w:bidi="ar-SA"/>
        </w:rPr>
      </w:pPr>
      <w:hyperlink w:anchor="_Toc474132173" w:history="1">
        <w:r w:rsidR="003726BE" w:rsidRPr="00057C36">
          <w:rPr>
            <w:rStyle w:val="Hyperlink"/>
          </w:rPr>
          <w:t>Annex 8 - Timing for preparing and implementing the system to answer the CEQ and answering CEQs</w:t>
        </w:r>
        <w:r w:rsidR="003726BE">
          <w:rPr>
            <w:webHidden/>
          </w:rPr>
          <w:tab/>
        </w:r>
        <w:r w:rsidR="003726BE">
          <w:rPr>
            <w:webHidden/>
          </w:rPr>
          <w:fldChar w:fldCharType="begin"/>
        </w:r>
        <w:r w:rsidR="003726BE">
          <w:rPr>
            <w:webHidden/>
          </w:rPr>
          <w:instrText xml:space="preserve"> PAGEREF _Toc474132173 \h </w:instrText>
        </w:r>
        <w:r w:rsidR="003726BE">
          <w:rPr>
            <w:webHidden/>
          </w:rPr>
        </w:r>
        <w:r w:rsidR="003726BE">
          <w:rPr>
            <w:webHidden/>
          </w:rPr>
          <w:fldChar w:fldCharType="separate"/>
        </w:r>
        <w:r w:rsidR="003726BE">
          <w:rPr>
            <w:webHidden/>
          </w:rPr>
          <w:t>119</w:t>
        </w:r>
        <w:r w:rsidR="003726BE">
          <w:rPr>
            <w:webHidden/>
          </w:rPr>
          <w:fldChar w:fldCharType="end"/>
        </w:r>
      </w:hyperlink>
    </w:p>
    <w:p w14:paraId="578E8D57" w14:textId="77777777" w:rsidR="003726BE" w:rsidRDefault="00914903">
      <w:pPr>
        <w:pStyle w:val="TOC1"/>
        <w:rPr>
          <w:rFonts w:asciiTheme="minorHAnsi" w:eastAsiaTheme="minorEastAsia" w:hAnsiTheme="minorHAnsi" w:cstheme="minorBidi"/>
          <w:b w:val="0"/>
          <w:color w:val="auto"/>
          <w:sz w:val="22"/>
          <w:szCs w:val="22"/>
          <w:lang w:eastAsia="zh-CN" w:bidi="ar-SA"/>
        </w:rPr>
      </w:pPr>
      <w:hyperlink w:anchor="_Toc474132174" w:history="1">
        <w:r w:rsidR="003726BE" w:rsidRPr="00057C36">
          <w:rPr>
            <w:rStyle w:val="Hyperlink"/>
          </w:rPr>
          <w:t>Annex 9 – Criteria for the selection of the evaluation approach</w:t>
        </w:r>
        <w:r w:rsidR="003726BE">
          <w:rPr>
            <w:webHidden/>
          </w:rPr>
          <w:tab/>
        </w:r>
        <w:r w:rsidR="003726BE">
          <w:rPr>
            <w:webHidden/>
          </w:rPr>
          <w:fldChar w:fldCharType="begin"/>
        </w:r>
        <w:r w:rsidR="003726BE">
          <w:rPr>
            <w:webHidden/>
          </w:rPr>
          <w:instrText xml:space="preserve"> PAGEREF _Toc474132174 \h </w:instrText>
        </w:r>
        <w:r w:rsidR="003726BE">
          <w:rPr>
            <w:webHidden/>
          </w:rPr>
        </w:r>
        <w:r w:rsidR="003726BE">
          <w:rPr>
            <w:webHidden/>
          </w:rPr>
          <w:fldChar w:fldCharType="separate"/>
        </w:r>
        <w:r w:rsidR="003726BE">
          <w:rPr>
            <w:webHidden/>
          </w:rPr>
          <w:t>121</w:t>
        </w:r>
        <w:r w:rsidR="003726BE">
          <w:rPr>
            <w:webHidden/>
          </w:rPr>
          <w:fldChar w:fldCharType="end"/>
        </w:r>
      </w:hyperlink>
    </w:p>
    <w:p w14:paraId="12D13A6B" w14:textId="77777777" w:rsidR="003726BE" w:rsidRDefault="00914903">
      <w:pPr>
        <w:pStyle w:val="TOC1"/>
        <w:rPr>
          <w:rFonts w:asciiTheme="minorHAnsi" w:eastAsiaTheme="minorEastAsia" w:hAnsiTheme="minorHAnsi" w:cstheme="minorBidi"/>
          <w:b w:val="0"/>
          <w:color w:val="auto"/>
          <w:sz w:val="22"/>
          <w:szCs w:val="22"/>
          <w:lang w:eastAsia="zh-CN" w:bidi="ar-SA"/>
        </w:rPr>
      </w:pPr>
      <w:hyperlink w:anchor="_Toc474132175" w:history="1">
        <w:r w:rsidR="003726BE" w:rsidRPr="00057C36">
          <w:rPr>
            <w:rStyle w:val="Hyperlink"/>
          </w:rPr>
          <w:t>Annex 10 - Tools for qualitative appraisal of RDP operations´ primary and secondary contributions to focus areas and synergies between measures, between FAs and between RD priorities</w:t>
        </w:r>
        <w:r w:rsidR="003726BE">
          <w:rPr>
            <w:webHidden/>
          </w:rPr>
          <w:tab/>
        </w:r>
        <w:r w:rsidR="003726BE">
          <w:rPr>
            <w:webHidden/>
          </w:rPr>
          <w:fldChar w:fldCharType="begin"/>
        </w:r>
        <w:r w:rsidR="003726BE">
          <w:rPr>
            <w:webHidden/>
          </w:rPr>
          <w:instrText xml:space="preserve"> PAGEREF _Toc474132175 \h </w:instrText>
        </w:r>
        <w:r w:rsidR="003726BE">
          <w:rPr>
            <w:webHidden/>
          </w:rPr>
        </w:r>
        <w:r w:rsidR="003726BE">
          <w:rPr>
            <w:webHidden/>
          </w:rPr>
          <w:fldChar w:fldCharType="separate"/>
        </w:r>
        <w:r w:rsidR="003726BE">
          <w:rPr>
            <w:webHidden/>
          </w:rPr>
          <w:t>122</w:t>
        </w:r>
        <w:r w:rsidR="003726BE">
          <w:rPr>
            <w:webHidden/>
          </w:rPr>
          <w:fldChar w:fldCharType="end"/>
        </w:r>
      </w:hyperlink>
    </w:p>
    <w:p w14:paraId="7FBADF5A" w14:textId="77777777" w:rsidR="00D3649B" w:rsidRPr="003726BE" w:rsidRDefault="00F3350F">
      <w:pPr>
        <w:pStyle w:val="TOC1"/>
        <w:rPr>
          <w:rFonts w:asciiTheme="minorHAnsi" w:eastAsiaTheme="minorEastAsia" w:hAnsiTheme="minorHAnsi" w:cstheme="minorBidi"/>
          <w:b w:val="0"/>
          <w:color w:val="auto"/>
          <w:sz w:val="22"/>
          <w:szCs w:val="22"/>
        </w:rPr>
      </w:pPr>
      <w:r w:rsidRPr="003726BE">
        <w:rPr>
          <w:rFonts w:cs="Arial"/>
          <w:b w:val="0"/>
          <w:noProof w:val="0"/>
          <w:color w:val="373737" w:themeColor="background1" w:themeShade="40"/>
        </w:rPr>
        <w:fldChar w:fldCharType="end"/>
      </w:r>
    </w:p>
    <w:p w14:paraId="3F1780A6" w14:textId="77777777" w:rsidR="00016061" w:rsidRPr="003726BE" w:rsidRDefault="00016061" w:rsidP="00674969">
      <w:pPr>
        <w:pStyle w:val="HContent"/>
        <w:pageBreakBefore w:val="0"/>
        <w:rPr>
          <w:caps w:val="0"/>
        </w:rPr>
      </w:pPr>
      <w:r w:rsidRPr="003726BE">
        <w:rPr>
          <w:caps w:val="0"/>
        </w:rPr>
        <w:t>Tables, Figures and Tools</w:t>
      </w:r>
    </w:p>
    <w:p w14:paraId="03AF2B03" w14:textId="77777777" w:rsidR="00F8292E" w:rsidRDefault="00F3350F">
      <w:pPr>
        <w:pStyle w:val="TOC2"/>
        <w:rPr>
          <w:rFonts w:asciiTheme="minorHAnsi" w:eastAsiaTheme="minorEastAsia" w:hAnsiTheme="minorHAnsi" w:cstheme="minorBidi"/>
          <w:color w:val="auto"/>
          <w:sz w:val="22"/>
          <w:lang w:eastAsia="zh-CN" w:bidi="ar-SA"/>
        </w:rPr>
      </w:pPr>
      <w:r w:rsidRPr="003726BE">
        <w:rPr>
          <w:rFonts w:cs="Arial"/>
          <w:noProof w:val="0"/>
          <w:color w:val="161616" w:themeColor="background1" w:themeShade="1A"/>
        </w:rPr>
        <w:fldChar w:fldCharType="begin"/>
      </w:r>
      <w:r w:rsidR="00C332EC" w:rsidRPr="003726BE">
        <w:rPr>
          <w:rFonts w:cs="Arial"/>
          <w:noProof w:val="0"/>
          <w:color w:val="161616" w:themeColor="background1" w:themeShade="1A"/>
        </w:rPr>
        <w:instrText xml:space="preserve"> TOC \h \z \t "H_Heading_tables;2" </w:instrText>
      </w:r>
      <w:r w:rsidRPr="003726BE">
        <w:rPr>
          <w:rFonts w:cs="Arial"/>
          <w:noProof w:val="0"/>
          <w:color w:val="161616" w:themeColor="background1" w:themeShade="1A"/>
        </w:rPr>
        <w:fldChar w:fldCharType="separate"/>
      </w:r>
      <w:hyperlink w:anchor="_Toc474132624" w:history="1">
        <w:r w:rsidR="00F8292E" w:rsidRPr="00BC044E">
          <w:rPr>
            <w:rStyle w:val="Hyperlink"/>
            <w:rFonts w:cs="Arial"/>
            <w:highlight w:val="yellow"/>
          </w:rPr>
          <w:t>Tabella 1.</w:t>
        </w:r>
        <w:r w:rsidR="00F8292E" w:rsidRPr="00BC044E">
          <w:rPr>
            <w:rStyle w:val="Hyperlink"/>
            <w:highlight w:val="yellow"/>
          </w:rPr>
          <w:t xml:space="preserve"> Nessi tra la RAA 2017 e altri requisiti in materia di relazioni dell'UE</w:t>
        </w:r>
        <w:r w:rsidR="00F8292E">
          <w:rPr>
            <w:webHidden/>
          </w:rPr>
          <w:tab/>
        </w:r>
        <w:r w:rsidR="00F8292E">
          <w:rPr>
            <w:webHidden/>
          </w:rPr>
          <w:fldChar w:fldCharType="begin"/>
        </w:r>
        <w:r w:rsidR="00F8292E">
          <w:rPr>
            <w:webHidden/>
          </w:rPr>
          <w:instrText xml:space="preserve"> PAGEREF _Toc474132624 \h </w:instrText>
        </w:r>
        <w:r w:rsidR="00F8292E">
          <w:rPr>
            <w:webHidden/>
          </w:rPr>
        </w:r>
        <w:r w:rsidR="00F8292E">
          <w:rPr>
            <w:webHidden/>
          </w:rPr>
          <w:fldChar w:fldCharType="separate"/>
        </w:r>
        <w:r w:rsidR="00F8292E">
          <w:rPr>
            <w:webHidden/>
          </w:rPr>
          <w:t>18</w:t>
        </w:r>
        <w:r w:rsidR="00F8292E">
          <w:rPr>
            <w:webHidden/>
          </w:rPr>
          <w:fldChar w:fldCharType="end"/>
        </w:r>
      </w:hyperlink>
    </w:p>
    <w:p w14:paraId="7211C93C" w14:textId="77777777" w:rsidR="00F8292E" w:rsidRDefault="00914903">
      <w:pPr>
        <w:pStyle w:val="TOC2"/>
        <w:rPr>
          <w:rFonts w:asciiTheme="minorHAnsi" w:eastAsiaTheme="minorEastAsia" w:hAnsiTheme="minorHAnsi" w:cstheme="minorBidi"/>
          <w:color w:val="auto"/>
          <w:sz w:val="22"/>
          <w:lang w:eastAsia="zh-CN" w:bidi="ar-SA"/>
        </w:rPr>
      </w:pPr>
      <w:hyperlink w:anchor="_Toc474132625" w:history="1">
        <w:r w:rsidR="00F8292E" w:rsidRPr="00BC044E">
          <w:rPr>
            <w:rStyle w:val="Hyperlink"/>
            <w:rFonts w:cs="Arial"/>
            <w:highlight w:val="yellow"/>
          </w:rPr>
          <w:t>Tabella 2.</w:t>
        </w:r>
        <w:r w:rsidR="00F8292E" w:rsidRPr="00BC044E">
          <w:rPr>
            <w:rStyle w:val="Hyperlink"/>
            <w:highlight w:val="yellow"/>
          </w:rPr>
          <w:t xml:space="preserve"> Esempio di criteri di giudizio per domande relative alla valutazione degli aspetti specifici e domande di valutazione specifiche del programma</w:t>
        </w:r>
        <w:r w:rsidR="00F8292E">
          <w:rPr>
            <w:webHidden/>
          </w:rPr>
          <w:tab/>
        </w:r>
        <w:r w:rsidR="00F8292E">
          <w:rPr>
            <w:webHidden/>
          </w:rPr>
          <w:fldChar w:fldCharType="begin"/>
        </w:r>
        <w:r w:rsidR="00F8292E">
          <w:rPr>
            <w:webHidden/>
          </w:rPr>
          <w:instrText xml:space="preserve"> PAGEREF _Toc474132625 \h </w:instrText>
        </w:r>
        <w:r w:rsidR="00F8292E">
          <w:rPr>
            <w:webHidden/>
          </w:rPr>
        </w:r>
        <w:r w:rsidR="00F8292E">
          <w:rPr>
            <w:webHidden/>
          </w:rPr>
          <w:fldChar w:fldCharType="separate"/>
        </w:r>
        <w:r w:rsidR="00F8292E">
          <w:rPr>
            <w:webHidden/>
          </w:rPr>
          <w:t>36</w:t>
        </w:r>
        <w:r w:rsidR="00F8292E">
          <w:rPr>
            <w:webHidden/>
          </w:rPr>
          <w:fldChar w:fldCharType="end"/>
        </w:r>
      </w:hyperlink>
    </w:p>
    <w:p w14:paraId="2F61F703" w14:textId="77777777" w:rsidR="00F8292E" w:rsidRDefault="00914903">
      <w:pPr>
        <w:pStyle w:val="TOC2"/>
        <w:rPr>
          <w:rFonts w:asciiTheme="minorHAnsi" w:eastAsiaTheme="minorEastAsia" w:hAnsiTheme="minorHAnsi" w:cstheme="minorBidi"/>
          <w:color w:val="auto"/>
          <w:sz w:val="22"/>
          <w:lang w:eastAsia="zh-CN" w:bidi="ar-SA"/>
        </w:rPr>
      </w:pPr>
      <w:hyperlink w:anchor="_Toc474132626" w:history="1">
        <w:r w:rsidR="00F8292E" w:rsidRPr="00BC044E">
          <w:rPr>
            <w:rStyle w:val="Hyperlink"/>
            <w:rFonts w:cs="Arial"/>
          </w:rPr>
          <w:t>Tabella 3.</w:t>
        </w:r>
        <w:r w:rsidR="00F8292E" w:rsidRPr="00BC044E">
          <w:rPr>
            <w:rStyle w:val="Hyperlink"/>
          </w:rPr>
          <w:t xml:space="preserve"> Evaluation task and data needs in 2017</w:t>
        </w:r>
        <w:r w:rsidR="00F8292E">
          <w:rPr>
            <w:webHidden/>
          </w:rPr>
          <w:tab/>
        </w:r>
        <w:r w:rsidR="00F8292E">
          <w:rPr>
            <w:webHidden/>
          </w:rPr>
          <w:fldChar w:fldCharType="begin"/>
        </w:r>
        <w:r w:rsidR="00F8292E">
          <w:rPr>
            <w:webHidden/>
          </w:rPr>
          <w:instrText xml:space="preserve"> PAGEREF _Toc474132626 \h </w:instrText>
        </w:r>
        <w:r w:rsidR="00F8292E">
          <w:rPr>
            <w:webHidden/>
          </w:rPr>
        </w:r>
        <w:r w:rsidR="00F8292E">
          <w:rPr>
            <w:webHidden/>
          </w:rPr>
          <w:fldChar w:fldCharType="separate"/>
        </w:r>
        <w:r w:rsidR="00F8292E">
          <w:rPr>
            <w:webHidden/>
          </w:rPr>
          <w:t>60</w:t>
        </w:r>
        <w:r w:rsidR="00F8292E">
          <w:rPr>
            <w:webHidden/>
          </w:rPr>
          <w:fldChar w:fldCharType="end"/>
        </w:r>
      </w:hyperlink>
    </w:p>
    <w:p w14:paraId="5C4DFD70" w14:textId="77777777" w:rsidR="00F8292E" w:rsidRDefault="00914903">
      <w:pPr>
        <w:pStyle w:val="TOC2"/>
        <w:rPr>
          <w:rFonts w:asciiTheme="minorHAnsi" w:eastAsiaTheme="minorEastAsia" w:hAnsiTheme="minorHAnsi" w:cstheme="minorBidi"/>
          <w:color w:val="auto"/>
          <w:sz w:val="22"/>
          <w:lang w:eastAsia="zh-CN" w:bidi="ar-SA"/>
        </w:rPr>
      </w:pPr>
      <w:hyperlink w:anchor="_Toc474132627" w:history="1">
        <w:r w:rsidR="00F8292E" w:rsidRPr="00BC044E">
          <w:rPr>
            <w:rStyle w:val="Hyperlink"/>
            <w:rFonts w:cs="Arial"/>
          </w:rPr>
          <w:t>Tabella 4.</w:t>
        </w:r>
        <w:r w:rsidR="00F8292E" w:rsidRPr="00BC044E">
          <w:rPr>
            <w:rStyle w:val="Hyperlink"/>
          </w:rPr>
          <w:t xml:space="preserve"> Types of data used in rural development evaluation</w:t>
        </w:r>
        <w:r w:rsidR="00F8292E">
          <w:rPr>
            <w:webHidden/>
          </w:rPr>
          <w:tab/>
        </w:r>
        <w:r w:rsidR="00F8292E">
          <w:rPr>
            <w:webHidden/>
          </w:rPr>
          <w:fldChar w:fldCharType="begin"/>
        </w:r>
        <w:r w:rsidR="00F8292E">
          <w:rPr>
            <w:webHidden/>
          </w:rPr>
          <w:instrText xml:space="preserve"> PAGEREF _Toc474132627 \h </w:instrText>
        </w:r>
        <w:r w:rsidR="00F8292E">
          <w:rPr>
            <w:webHidden/>
          </w:rPr>
        </w:r>
        <w:r w:rsidR="00F8292E">
          <w:rPr>
            <w:webHidden/>
          </w:rPr>
          <w:fldChar w:fldCharType="separate"/>
        </w:r>
        <w:r w:rsidR="00F8292E">
          <w:rPr>
            <w:webHidden/>
          </w:rPr>
          <w:t>60</w:t>
        </w:r>
        <w:r w:rsidR="00F8292E">
          <w:rPr>
            <w:webHidden/>
          </w:rPr>
          <w:fldChar w:fldCharType="end"/>
        </w:r>
      </w:hyperlink>
    </w:p>
    <w:p w14:paraId="3700993D" w14:textId="77777777" w:rsidR="00F8292E" w:rsidRDefault="00914903">
      <w:pPr>
        <w:pStyle w:val="TOC2"/>
        <w:rPr>
          <w:rFonts w:asciiTheme="minorHAnsi" w:eastAsiaTheme="minorEastAsia" w:hAnsiTheme="minorHAnsi" w:cstheme="minorBidi"/>
          <w:color w:val="auto"/>
          <w:sz w:val="22"/>
          <w:lang w:eastAsia="zh-CN" w:bidi="ar-SA"/>
        </w:rPr>
      </w:pPr>
      <w:hyperlink w:anchor="_Toc474132628" w:history="1">
        <w:r w:rsidR="00F8292E" w:rsidRPr="00BC044E">
          <w:rPr>
            <w:rStyle w:val="Hyperlink"/>
            <w:rFonts w:cs="Arial"/>
          </w:rPr>
          <w:t>Tabella 5.</w:t>
        </w:r>
        <w:r w:rsidR="00F8292E" w:rsidRPr="00BC044E">
          <w:rPr>
            <w:rStyle w:val="Hyperlink"/>
          </w:rPr>
          <w:t xml:space="preserve"> Methods and related data needs (example)</w:t>
        </w:r>
        <w:r w:rsidR="00F8292E">
          <w:rPr>
            <w:webHidden/>
          </w:rPr>
          <w:tab/>
        </w:r>
        <w:r w:rsidR="00F8292E">
          <w:rPr>
            <w:webHidden/>
          </w:rPr>
          <w:fldChar w:fldCharType="begin"/>
        </w:r>
        <w:r w:rsidR="00F8292E">
          <w:rPr>
            <w:webHidden/>
          </w:rPr>
          <w:instrText xml:space="preserve"> PAGEREF _Toc474132628 \h </w:instrText>
        </w:r>
        <w:r w:rsidR="00F8292E">
          <w:rPr>
            <w:webHidden/>
          </w:rPr>
        </w:r>
        <w:r w:rsidR="00F8292E">
          <w:rPr>
            <w:webHidden/>
          </w:rPr>
          <w:fldChar w:fldCharType="separate"/>
        </w:r>
        <w:r w:rsidR="00F8292E">
          <w:rPr>
            <w:webHidden/>
          </w:rPr>
          <w:t>62</w:t>
        </w:r>
        <w:r w:rsidR="00F8292E">
          <w:rPr>
            <w:webHidden/>
          </w:rPr>
          <w:fldChar w:fldCharType="end"/>
        </w:r>
      </w:hyperlink>
    </w:p>
    <w:p w14:paraId="2D03940D" w14:textId="77777777" w:rsidR="00F8292E" w:rsidRDefault="00914903">
      <w:pPr>
        <w:pStyle w:val="TOC2"/>
        <w:rPr>
          <w:rFonts w:asciiTheme="minorHAnsi" w:eastAsiaTheme="minorEastAsia" w:hAnsiTheme="minorHAnsi" w:cstheme="minorBidi"/>
          <w:color w:val="auto"/>
          <w:sz w:val="22"/>
          <w:lang w:eastAsia="zh-CN" w:bidi="ar-SA"/>
        </w:rPr>
      </w:pPr>
      <w:hyperlink w:anchor="_Toc474132629" w:history="1">
        <w:r w:rsidR="00F8292E" w:rsidRPr="00BC044E">
          <w:rPr>
            <w:rStyle w:val="Hyperlink"/>
            <w:rFonts w:cs="Arial"/>
          </w:rPr>
          <w:t>Tabella 6.</w:t>
        </w:r>
        <w:r w:rsidR="00F8292E" w:rsidRPr="00BC044E">
          <w:rPr>
            <w:rStyle w:val="Hyperlink"/>
          </w:rPr>
          <w:t xml:space="preserve"> Evaluation stakeholders and their role in ensuring data availability and quality</w:t>
        </w:r>
        <w:r w:rsidR="00F8292E">
          <w:rPr>
            <w:webHidden/>
          </w:rPr>
          <w:tab/>
        </w:r>
        <w:r w:rsidR="00F8292E">
          <w:rPr>
            <w:webHidden/>
          </w:rPr>
          <w:fldChar w:fldCharType="begin"/>
        </w:r>
        <w:r w:rsidR="00F8292E">
          <w:rPr>
            <w:webHidden/>
          </w:rPr>
          <w:instrText xml:space="preserve"> PAGEREF _Toc474132629 \h </w:instrText>
        </w:r>
        <w:r w:rsidR="00F8292E">
          <w:rPr>
            <w:webHidden/>
          </w:rPr>
        </w:r>
        <w:r w:rsidR="00F8292E">
          <w:rPr>
            <w:webHidden/>
          </w:rPr>
          <w:fldChar w:fldCharType="separate"/>
        </w:r>
        <w:r w:rsidR="00F8292E">
          <w:rPr>
            <w:webHidden/>
          </w:rPr>
          <w:t>64</w:t>
        </w:r>
        <w:r w:rsidR="00F8292E">
          <w:rPr>
            <w:webHidden/>
          </w:rPr>
          <w:fldChar w:fldCharType="end"/>
        </w:r>
      </w:hyperlink>
    </w:p>
    <w:p w14:paraId="7D5376DC" w14:textId="77777777" w:rsidR="00F8292E" w:rsidRDefault="00914903">
      <w:pPr>
        <w:pStyle w:val="TOC2"/>
        <w:rPr>
          <w:rFonts w:asciiTheme="minorHAnsi" w:eastAsiaTheme="minorEastAsia" w:hAnsiTheme="minorHAnsi" w:cstheme="minorBidi"/>
          <w:color w:val="auto"/>
          <w:sz w:val="22"/>
          <w:lang w:eastAsia="zh-CN" w:bidi="ar-SA"/>
        </w:rPr>
      </w:pPr>
      <w:hyperlink w:anchor="_Toc474132630" w:history="1">
        <w:r w:rsidR="00F8292E" w:rsidRPr="00BC044E">
          <w:rPr>
            <w:rStyle w:val="Hyperlink"/>
            <w:rFonts w:cs="Arial"/>
          </w:rPr>
          <w:t>Tabella 7.</w:t>
        </w:r>
        <w:r w:rsidR="00F8292E" w:rsidRPr="00BC044E">
          <w:rPr>
            <w:rStyle w:val="Hyperlink"/>
          </w:rPr>
          <w:t xml:space="preserve"> SFC template for point 7 concerning Common Evaluation Question no. 4 (empty template)</w:t>
        </w:r>
        <w:r w:rsidR="00F8292E">
          <w:rPr>
            <w:webHidden/>
          </w:rPr>
          <w:tab/>
        </w:r>
        <w:r w:rsidR="00F8292E">
          <w:rPr>
            <w:webHidden/>
          </w:rPr>
          <w:fldChar w:fldCharType="begin"/>
        </w:r>
        <w:r w:rsidR="00F8292E">
          <w:rPr>
            <w:webHidden/>
          </w:rPr>
          <w:instrText xml:space="preserve"> PAGEREF _Toc474132630 \h </w:instrText>
        </w:r>
        <w:r w:rsidR="00F8292E">
          <w:rPr>
            <w:webHidden/>
          </w:rPr>
        </w:r>
        <w:r w:rsidR="00F8292E">
          <w:rPr>
            <w:webHidden/>
          </w:rPr>
          <w:fldChar w:fldCharType="separate"/>
        </w:r>
        <w:r w:rsidR="00F8292E">
          <w:rPr>
            <w:webHidden/>
          </w:rPr>
          <w:t>82</w:t>
        </w:r>
        <w:r w:rsidR="00F8292E">
          <w:rPr>
            <w:webHidden/>
          </w:rPr>
          <w:fldChar w:fldCharType="end"/>
        </w:r>
      </w:hyperlink>
    </w:p>
    <w:p w14:paraId="0603C259" w14:textId="77777777" w:rsidR="00F8292E" w:rsidRDefault="00914903">
      <w:pPr>
        <w:pStyle w:val="TOC2"/>
        <w:rPr>
          <w:rFonts w:asciiTheme="minorHAnsi" w:eastAsiaTheme="minorEastAsia" w:hAnsiTheme="minorHAnsi" w:cstheme="minorBidi"/>
          <w:color w:val="auto"/>
          <w:sz w:val="22"/>
          <w:lang w:eastAsia="zh-CN" w:bidi="ar-SA"/>
        </w:rPr>
      </w:pPr>
      <w:hyperlink w:anchor="_Toc474132631" w:history="1">
        <w:r w:rsidR="00F8292E" w:rsidRPr="00BC044E">
          <w:rPr>
            <w:rStyle w:val="Hyperlink"/>
            <w:rFonts w:cs="Arial"/>
            <w:highlight w:val="yellow"/>
          </w:rPr>
          <w:t>Tabella 8.</w:t>
        </w:r>
        <w:r w:rsidR="00F8292E" w:rsidRPr="00BC044E">
          <w:rPr>
            <w:rStyle w:val="Hyperlink"/>
            <w:highlight w:val="yellow"/>
          </w:rPr>
          <w:t xml:space="preserve"> Modello SFC per il punto 7 riguardante la domanda n. 4 del QVC (esempio compilato)</w:t>
        </w:r>
        <w:r w:rsidR="00F8292E">
          <w:rPr>
            <w:webHidden/>
          </w:rPr>
          <w:tab/>
        </w:r>
        <w:r w:rsidR="00F8292E">
          <w:rPr>
            <w:webHidden/>
          </w:rPr>
          <w:fldChar w:fldCharType="begin"/>
        </w:r>
        <w:r w:rsidR="00F8292E">
          <w:rPr>
            <w:webHidden/>
          </w:rPr>
          <w:instrText xml:space="preserve"> PAGEREF _Toc474132631 \h </w:instrText>
        </w:r>
        <w:r w:rsidR="00F8292E">
          <w:rPr>
            <w:webHidden/>
          </w:rPr>
        </w:r>
        <w:r w:rsidR="00F8292E">
          <w:rPr>
            <w:webHidden/>
          </w:rPr>
          <w:fldChar w:fldCharType="separate"/>
        </w:r>
        <w:r w:rsidR="00F8292E">
          <w:rPr>
            <w:webHidden/>
          </w:rPr>
          <w:t>87</w:t>
        </w:r>
        <w:r w:rsidR="00F8292E">
          <w:rPr>
            <w:webHidden/>
          </w:rPr>
          <w:fldChar w:fldCharType="end"/>
        </w:r>
      </w:hyperlink>
    </w:p>
    <w:p w14:paraId="59437D83" w14:textId="77777777" w:rsidR="00F8292E" w:rsidRDefault="00914903">
      <w:pPr>
        <w:pStyle w:val="TOC2"/>
        <w:rPr>
          <w:rFonts w:asciiTheme="minorHAnsi" w:eastAsiaTheme="minorEastAsia" w:hAnsiTheme="minorHAnsi" w:cstheme="minorBidi"/>
          <w:color w:val="auto"/>
          <w:sz w:val="22"/>
          <w:lang w:eastAsia="zh-CN" w:bidi="ar-SA"/>
        </w:rPr>
      </w:pPr>
      <w:hyperlink w:anchor="_Toc474132632" w:history="1">
        <w:r w:rsidR="00F8292E" w:rsidRPr="00BC044E">
          <w:rPr>
            <w:rStyle w:val="Hyperlink"/>
            <w:rFonts w:cs="Arial"/>
          </w:rPr>
          <w:t>Tabella 9.</w:t>
        </w:r>
        <w:r w:rsidR="00F8292E" w:rsidRPr="00BC044E">
          <w:rPr>
            <w:rStyle w:val="Hyperlink"/>
          </w:rPr>
          <w:t xml:space="preserve"> SFC template for point 7 concerning programme specific evaluation question linked programme specific   focus area (empty example)</w:t>
        </w:r>
        <w:r w:rsidR="00F8292E">
          <w:rPr>
            <w:webHidden/>
          </w:rPr>
          <w:tab/>
        </w:r>
        <w:r w:rsidR="00F8292E">
          <w:rPr>
            <w:webHidden/>
          </w:rPr>
          <w:fldChar w:fldCharType="begin"/>
        </w:r>
        <w:r w:rsidR="00F8292E">
          <w:rPr>
            <w:webHidden/>
          </w:rPr>
          <w:instrText xml:space="preserve"> PAGEREF _Toc474132632 \h </w:instrText>
        </w:r>
        <w:r w:rsidR="00F8292E">
          <w:rPr>
            <w:webHidden/>
          </w:rPr>
        </w:r>
        <w:r w:rsidR="00F8292E">
          <w:rPr>
            <w:webHidden/>
          </w:rPr>
          <w:fldChar w:fldCharType="separate"/>
        </w:r>
        <w:r w:rsidR="00F8292E">
          <w:rPr>
            <w:webHidden/>
          </w:rPr>
          <w:t>97</w:t>
        </w:r>
        <w:r w:rsidR="00F8292E">
          <w:rPr>
            <w:webHidden/>
          </w:rPr>
          <w:fldChar w:fldCharType="end"/>
        </w:r>
      </w:hyperlink>
    </w:p>
    <w:p w14:paraId="0D32F8BD" w14:textId="77777777" w:rsidR="00F8292E" w:rsidRDefault="00914903">
      <w:pPr>
        <w:pStyle w:val="TOC2"/>
        <w:rPr>
          <w:rFonts w:asciiTheme="minorHAnsi" w:eastAsiaTheme="minorEastAsia" w:hAnsiTheme="minorHAnsi" w:cstheme="minorBidi"/>
          <w:color w:val="auto"/>
          <w:sz w:val="22"/>
          <w:lang w:eastAsia="zh-CN" w:bidi="ar-SA"/>
        </w:rPr>
      </w:pPr>
      <w:hyperlink w:anchor="_Toc474132633" w:history="1">
        <w:r w:rsidR="00F8292E" w:rsidRPr="00BC044E">
          <w:rPr>
            <w:rStyle w:val="Hyperlink"/>
            <w:rFonts w:cs="Arial"/>
            <w:highlight w:val="yellow"/>
          </w:rPr>
          <w:t>Tabella 10.</w:t>
        </w:r>
        <w:r w:rsidR="00F8292E" w:rsidRPr="00BC044E">
          <w:rPr>
            <w:rStyle w:val="Hyperlink"/>
            <w:highlight w:val="yellow"/>
          </w:rPr>
          <w:t xml:space="preserve"> Modello SFC per il punto 7 relativo programma alla domanda di valutazione specifica del programma collegata all'aspetto specifico del programma (esempio compilato)</w:t>
        </w:r>
        <w:r w:rsidR="00F8292E">
          <w:rPr>
            <w:webHidden/>
          </w:rPr>
          <w:tab/>
        </w:r>
        <w:r w:rsidR="00F8292E">
          <w:rPr>
            <w:webHidden/>
          </w:rPr>
          <w:fldChar w:fldCharType="begin"/>
        </w:r>
        <w:r w:rsidR="00F8292E">
          <w:rPr>
            <w:webHidden/>
          </w:rPr>
          <w:instrText xml:space="preserve"> PAGEREF _Toc474132633 \h </w:instrText>
        </w:r>
        <w:r w:rsidR="00F8292E">
          <w:rPr>
            <w:webHidden/>
          </w:rPr>
        </w:r>
        <w:r w:rsidR="00F8292E">
          <w:rPr>
            <w:webHidden/>
          </w:rPr>
          <w:fldChar w:fldCharType="separate"/>
        </w:r>
        <w:r w:rsidR="00F8292E">
          <w:rPr>
            <w:webHidden/>
          </w:rPr>
          <w:t>100</w:t>
        </w:r>
        <w:r w:rsidR="00F8292E">
          <w:rPr>
            <w:webHidden/>
          </w:rPr>
          <w:fldChar w:fldCharType="end"/>
        </w:r>
      </w:hyperlink>
    </w:p>
    <w:p w14:paraId="777D1E95" w14:textId="77777777" w:rsidR="00F8292E" w:rsidRDefault="00914903">
      <w:pPr>
        <w:pStyle w:val="TOC2"/>
        <w:rPr>
          <w:rFonts w:asciiTheme="minorHAnsi" w:eastAsiaTheme="minorEastAsia" w:hAnsiTheme="minorHAnsi" w:cstheme="minorBidi"/>
          <w:color w:val="auto"/>
          <w:sz w:val="22"/>
          <w:lang w:eastAsia="zh-CN" w:bidi="ar-SA"/>
        </w:rPr>
      </w:pPr>
      <w:hyperlink w:anchor="_Toc474132634" w:history="1">
        <w:r w:rsidR="00F8292E" w:rsidRPr="00BC044E">
          <w:rPr>
            <w:rStyle w:val="Hyperlink"/>
          </w:rPr>
          <w:t>Tabella 11. Timing for preparing and implementing the system to answer the CEQ, and answering CEQ</w:t>
        </w:r>
        <w:r w:rsidR="00F8292E">
          <w:rPr>
            <w:webHidden/>
          </w:rPr>
          <w:tab/>
        </w:r>
        <w:r w:rsidR="00F8292E">
          <w:rPr>
            <w:webHidden/>
          </w:rPr>
          <w:fldChar w:fldCharType="begin"/>
        </w:r>
        <w:r w:rsidR="00F8292E">
          <w:rPr>
            <w:webHidden/>
          </w:rPr>
          <w:instrText xml:space="preserve"> PAGEREF _Toc474132634 \h </w:instrText>
        </w:r>
        <w:r w:rsidR="00F8292E">
          <w:rPr>
            <w:webHidden/>
          </w:rPr>
        </w:r>
        <w:r w:rsidR="00F8292E">
          <w:rPr>
            <w:webHidden/>
          </w:rPr>
          <w:fldChar w:fldCharType="separate"/>
        </w:r>
        <w:r w:rsidR="00F8292E">
          <w:rPr>
            <w:webHidden/>
          </w:rPr>
          <w:t>122</w:t>
        </w:r>
        <w:r w:rsidR="00F8292E">
          <w:rPr>
            <w:webHidden/>
          </w:rPr>
          <w:fldChar w:fldCharType="end"/>
        </w:r>
      </w:hyperlink>
    </w:p>
    <w:p w14:paraId="160B359D" w14:textId="77777777" w:rsidR="00F8292E" w:rsidRDefault="00914903">
      <w:pPr>
        <w:pStyle w:val="TOC2"/>
        <w:rPr>
          <w:rFonts w:asciiTheme="minorHAnsi" w:eastAsiaTheme="minorEastAsia" w:hAnsiTheme="minorHAnsi" w:cstheme="minorBidi"/>
          <w:color w:val="auto"/>
          <w:sz w:val="22"/>
          <w:lang w:eastAsia="zh-CN" w:bidi="ar-SA"/>
        </w:rPr>
      </w:pPr>
      <w:hyperlink w:anchor="_Toc474132635" w:history="1">
        <w:r w:rsidR="00F8292E" w:rsidRPr="00BC044E">
          <w:rPr>
            <w:rStyle w:val="Hyperlink"/>
          </w:rPr>
          <w:t>Tabella 12. Primary and secondary contributions of operations within measures/sub-measures to rural development focus areas – example</w:t>
        </w:r>
        <w:r w:rsidR="00F8292E">
          <w:rPr>
            <w:webHidden/>
          </w:rPr>
          <w:tab/>
        </w:r>
        <w:r w:rsidR="00F8292E">
          <w:rPr>
            <w:webHidden/>
          </w:rPr>
          <w:fldChar w:fldCharType="begin"/>
        </w:r>
        <w:r w:rsidR="00F8292E">
          <w:rPr>
            <w:webHidden/>
          </w:rPr>
          <w:instrText xml:space="preserve"> PAGEREF _Toc474132635 \h </w:instrText>
        </w:r>
        <w:r w:rsidR="00F8292E">
          <w:rPr>
            <w:webHidden/>
          </w:rPr>
        </w:r>
        <w:r w:rsidR="00F8292E">
          <w:rPr>
            <w:webHidden/>
          </w:rPr>
          <w:fldChar w:fldCharType="separate"/>
        </w:r>
        <w:r w:rsidR="00F8292E">
          <w:rPr>
            <w:webHidden/>
          </w:rPr>
          <w:t>125</w:t>
        </w:r>
        <w:r w:rsidR="00F8292E">
          <w:rPr>
            <w:webHidden/>
          </w:rPr>
          <w:fldChar w:fldCharType="end"/>
        </w:r>
      </w:hyperlink>
    </w:p>
    <w:p w14:paraId="471488B3" w14:textId="77777777" w:rsidR="00F8292E" w:rsidRDefault="00914903">
      <w:pPr>
        <w:pStyle w:val="TOC2"/>
        <w:rPr>
          <w:rFonts w:asciiTheme="minorHAnsi" w:eastAsiaTheme="minorEastAsia" w:hAnsiTheme="minorHAnsi" w:cstheme="minorBidi"/>
          <w:color w:val="auto"/>
          <w:sz w:val="22"/>
          <w:lang w:eastAsia="zh-CN" w:bidi="ar-SA"/>
        </w:rPr>
      </w:pPr>
      <w:hyperlink w:anchor="_Toc474132636" w:history="1">
        <w:r w:rsidR="00F8292E" w:rsidRPr="00BC044E">
          <w:rPr>
            <w:rStyle w:val="Hyperlink"/>
          </w:rPr>
          <w:t>Tabella 13. Synergies and negative transverse effects between focus areas and between priorities</w:t>
        </w:r>
        <w:r w:rsidR="00F8292E">
          <w:rPr>
            <w:webHidden/>
          </w:rPr>
          <w:tab/>
        </w:r>
        <w:r w:rsidR="00F8292E">
          <w:rPr>
            <w:webHidden/>
          </w:rPr>
          <w:fldChar w:fldCharType="begin"/>
        </w:r>
        <w:r w:rsidR="00F8292E">
          <w:rPr>
            <w:webHidden/>
          </w:rPr>
          <w:instrText xml:space="preserve"> PAGEREF _Toc474132636 \h </w:instrText>
        </w:r>
        <w:r w:rsidR="00F8292E">
          <w:rPr>
            <w:webHidden/>
          </w:rPr>
        </w:r>
        <w:r w:rsidR="00F8292E">
          <w:rPr>
            <w:webHidden/>
          </w:rPr>
          <w:fldChar w:fldCharType="separate"/>
        </w:r>
        <w:r w:rsidR="00F8292E">
          <w:rPr>
            <w:webHidden/>
          </w:rPr>
          <w:t>126</w:t>
        </w:r>
        <w:r w:rsidR="00F8292E">
          <w:rPr>
            <w:webHidden/>
          </w:rPr>
          <w:fldChar w:fldCharType="end"/>
        </w:r>
      </w:hyperlink>
    </w:p>
    <w:p w14:paraId="79CD0B7F" w14:textId="77777777" w:rsidR="00D3649B" w:rsidRPr="003726BE" w:rsidRDefault="00F3350F">
      <w:pPr>
        <w:pStyle w:val="TOC2"/>
        <w:rPr>
          <w:rFonts w:asciiTheme="minorHAnsi" w:eastAsiaTheme="minorEastAsia" w:hAnsiTheme="minorHAnsi" w:cstheme="minorBidi"/>
          <w:color w:val="auto"/>
          <w:sz w:val="22"/>
        </w:rPr>
      </w:pPr>
      <w:r w:rsidRPr="003726BE">
        <w:rPr>
          <w:rFonts w:cs="Arial"/>
          <w:noProof w:val="0"/>
          <w:color w:val="373737" w:themeColor="background1" w:themeShade="40"/>
          <w:szCs w:val="20"/>
        </w:rPr>
        <w:fldChar w:fldCharType="end"/>
      </w:r>
      <w:r w:rsidRPr="003726BE">
        <w:tab/>
      </w:r>
    </w:p>
    <w:p w14:paraId="4A3F0A7C" w14:textId="77777777" w:rsidR="00F8292E" w:rsidRDefault="00F3350F">
      <w:pPr>
        <w:pStyle w:val="TOC2"/>
        <w:rPr>
          <w:rFonts w:asciiTheme="minorHAnsi" w:eastAsiaTheme="minorEastAsia" w:hAnsiTheme="minorHAnsi" w:cstheme="minorBidi"/>
          <w:color w:val="auto"/>
          <w:sz w:val="22"/>
          <w:lang w:eastAsia="zh-CN" w:bidi="ar-SA"/>
        </w:rPr>
      </w:pPr>
      <w:r w:rsidRPr="003726BE">
        <w:rPr>
          <w:rFonts w:cs="Arial"/>
          <w:color w:val="161616" w:themeColor="background1" w:themeShade="1A"/>
        </w:rPr>
        <w:fldChar w:fldCharType="begin"/>
      </w:r>
      <w:r w:rsidR="00C332EC" w:rsidRPr="003726BE">
        <w:rPr>
          <w:rFonts w:cs="Arial"/>
          <w:color w:val="161616" w:themeColor="background1" w:themeShade="1A"/>
        </w:rPr>
        <w:instrText xml:space="preserve"> TOC \h \z \t "Überschrift 1;1;Überschrift 2;2;Überschrift 3;3;H_Heading_figures;2" </w:instrText>
      </w:r>
      <w:r w:rsidRPr="003726BE">
        <w:rPr>
          <w:rFonts w:cs="Arial"/>
          <w:color w:val="161616" w:themeColor="background1" w:themeShade="1A"/>
        </w:rPr>
        <w:fldChar w:fldCharType="separate"/>
      </w:r>
      <w:hyperlink w:anchor="_Toc474132637" w:history="1">
        <w:r w:rsidR="00F8292E" w:rsidRPr="00745C9A">
          <w:rPr>
            <w:rStyle w:val="Hyperlink"/>
            <w:highlight w:val="yellow"/>
          </w:rPr>
          <w:t>Figura 1. Contenuto delle relazioni annuali sull'attuazione</w:t>
        </w:r>
        <w:r w:rsidR="00F8292E">
          <w:rPr>
            <w:webHidden/>
          </w:rPr>
          <w:tab/>
        </w:r>
        <w:r w:rsidR="00F8292E">
          <w:rPr>
            <w:webHidden/>
          </w:rPr>
          <w:fldChar w:fldCharType="begin"/>
        </w:r>
        <w:r w:rsidR="00F8292E">
          <w:rPr>
            <w:webHidden/>
          </w:rPr>
          <w:instrText xml:space="preserve"> PAGEREF _Toc474132637 \h </w:instrText>
        </w:r>
        <w:r w:rsidR="00F8292E">
          <w:rPr>
            <w:webHidden/>
          </w:rPr>
        </w:r>
        <w:r w:rsidR="00F8292E">
          <w:rPr>
            <w:webHidden/>
          </w:rPr>
          <w:fldChar w:fldCharType="separate"/>
        </w:r>
        <w:r w:rsidR="00F8292E">
          <w:rPr>
            <w:webHidden/>
          </w:rPr>
          <w:t>6</w:t>
        </w:r>
        <w:r w:rsidR="00F8292E">
          <w:rPr>
            <w:webHidden/>
          </w:rPr>
          <w:fldChar w:fldCharType="end"/>
        </w:r>
      </w:hyperlink>
    </w:p>
    <w:p w14:paraId="6F8220EB" w14:textId="77777777" w:rsidR="00F8292E" w:rsidRDefault="00914903">
      <w:pPr>
        <w:pStyle w:val="TOC2"/>
        <w:rPr>
          <w:rFonts w:asciiTheme="minorHAnsi" w:eastAsiaTheme="minorEastAsia" w:hAnsiTheme="minorHAnsi" w:cstheme="minorBidi"/>
          <w:color w:val="auto"/>
          <w:sz w:val="22"/>
          <w:lang w:eastAsia="zh-CN" w:bidi="ar-SA"/>
        </w:rPr>
      </w:pPr>
      <w:hyperlink w:anchor="_Toc474132638" w:history="1">
        <w:r w:rsidR="00F8292E" w:rsidRPr="00745C9A">
          <w:rPr>
            <w:rStyle w:val="Hyperlink"/>
            <w:highlight w:val="yellow"/>
          </w:rPr>
          <w:t>Figura 2. Il sistema di monitoraggio e valutazione comune e specifico del programma.</w:t>
        </w:r>
        <w:r w:rsidR="00F8292E">
          <w:rPr>
            <w:webHidden/>
          </w:rPr>
          <w:tab/>
        </w:r>
        <w:r w:rsidR="00F8292E">
          <w:rPr>
            <w:webHidden/>
          </w:rPr>
          <w:fldChar w:fldCharType="begin"/>
        </w:r>
        <w:r w:rsidR="00F8292E">
          <w:rPr>
            <w:webHidden/>
          </w:rPr>
          <w:instrText xml:space="preserve"> PAGEREF _Toc474132638 \h </w:instrText>
        </w:r>
        <w:r w:rsidR="00F8292E">
          <w:rPr>
            <w:webHidden/>
          </w:rPr>
        </w:r>
        <w:r w:rsidR="00F8292E">
          <w:rPr>
            <w:webHidden/>
          </w:rPr>
          <w:fldChar w:fldCharType="separate"/>
        </w:r>
        <w:r w:rsidR="00F8292E">
          <w:rPr>
            <w:webHidden/>
          </w:rPr>
          <w:t>14</w:t>
        </w:r>
        <w:r w:rsidR="00F8292E">
          <w:rPr>
            <w:webHidden/>
          </w:rPr>
          <w:fldChar w:fldCharType="end"/>
        </w:r>
      </w:hyperlink>
    </w:p>
    <w:p w14:paraId="6E35CA75" w14:textId="77777777" w:rsidR="00F8292E" w:rsidRDefault="00914903">
      <w:pPr>
        <w:pStyle w:val="TOC2"/>
        <w:rPr>
          <w:rFonts w:asciiTheme="minorHAnsi" w:eastAsiaTheme="minorEastAsia" w:hAnsiTheme="minorHAnsi" w:cstheme="minorBidi"/>
          <w:color w:val="auto"/>
          <w:sz w:val="22"/>
          <w:lang w:eastAsia="zh-CN" w:bidi="ar-SA"/>
        </w:rPr>
      </w:pPr>
      <w:hyperlink w:anchor="_Toc474132639" w:history="1">
        <w:r w:rsidR="00F8292E" w:rsidRPr="00745C9A">
          <w:rPr>
            <w:rStyle w:val="Hyperlink"/>
            <w:highlight w:val="yellow"/>
          </w:rPr>
          <w:t>Figura 3. Nessi tra la RAA presentata nel 2017 e altri requisiti in materia di relazioni dell'UE nel 2017 e nel 2018.</w:t>
        </w:r>
        <w:r w:rsidR="00F8292E">
          <w:rPr>
            <w:webHidden/>
          </w:rPr>
          <w:tab/>
        </w:r>
        <w:r w:rsidR="00F8292E">
          <w:rPr>
            <w:webHidden/>
          </w:rPr>
          <w:fldChar w:fldCharType="begin"/>
        </w:r>
        <w:r w:rsidR="00F8292E">
          <w:rPr>
            <w:webHidden/>
          </w:rPr>
          <w:instrText xml:space="preserve"> PAGEREF _Toc474132639 \h </w:instrText>
        </w:r>
        <w:r w:rsidR="00F8292E">
          <w:rPr>
            <w:webHidden/>
          </w:rPr>
        </w:r>
        <w:r w:rsidR="00F8292E">
          <w:rPr>
            <w:webHidden/>
          </w:rPr>
          <w:fldChar w:fldCharType="separate"/>
        </w:r>
        <w:r w:rsidR="00F8292E">
          <w:rPr>
            <w:webHidden/>
          </w:rPr>
          <w:t>16</w:t>
        </w:r>
        <w:r w:rsidR="00F8292E">
          <w:rPr>
            <w:webHidden/>
          </w:rPr>
          <w:fldChar w:fldCharType="end"/>
        </w:r>
      </w:hyperlink>
    </w:p>
    <w:p w14:paraId="20A4EAB5" w14:textId="77777777" w:rsidR="00F8292E" w:rsidRDefault="00914903">
      <w:pPr>
        <w:pStyle w:val="TOC2"/>
        <w:rPr>
          <w:rFonts w:asciiTheme="minorHAnsi" w:eastAsiaTheme="minorEastAsia" w:hAnsiTheme="minorHAnsi" w:cstheme="minorBidi"/>
          <w:color w:val="auto"/>
          <w:sz w:val="22"/>
          <w:lang w:eastAsia="zh-CN" w:bidi="ar-SA"/>
        </w:rPr>
      </w:pPr>
      <w:hyperlink w:anchor="_Toc474132640" w:history="1">
        <w:r w:rsidR="00F8292E" w:rsidRPr="00745C9A">
          <w:rPr>
            <w:rStyle w:val="Hyperlink"/>
            <w:highlight w:val="yellow"/>
          </w:rPr>
          <w:t>Figura 4. Panoramica dei requisiti in materia di relazioni e dei nessi per il periodo 2016-2019</w:t>
        </w:r>
        <w:r w:rsidR="00F8292E">
          <w:rPr>
            <w:webHidden/>
          </w:rPr>
          <w:tab/>
        </w:r>
        <w:r w:rsidR="00F8292E">
          <w:rPr>
            <w:webHidden/>
          </w:rPr>
          <w:fldChar w:fldCharType="begin"/>
        </w:r>
        <w:r w:rsidR="00F8292E">
          <w:rPr>
            <w:webHidden/>
          </w:rPr>
          <w:instrText xml:space="preserve"> PAGEREF _Toc474132640 \h </w:instrText>
        </w:r>
        <w:r w:rsidR="00F8292E">
          <w:rPr>
            <w:webHidden/>
          </w:rPr>
        </w:r>
        <w:r w:rsidR="00F8292E">
          <w:rPr>
            <w:webHidden/>
          </w:rPr>
          <w:fldChar w:fldCharType="separate"/>
        </w:r>
        <w:r w:rsidR="00F8292E">
          <w:rPr>
            <w:webHidden/>
          </w:rPr>
          <w:t>17</w:t>
        </w:r>
        <w:r w:rsidR="00F8292E">
          <w:rPr>
            <w:webHidden/>
          </w:rPr>
          <w:fldChar w:fldCharType="end"/>
        </w:r>
      </w:hyperlink>
    </w:p>
    <w:p w14:paraId="71CCF37F" w14:textId="77777777" w:rsidR="00F8292E" w:rsidRDefault="00914903">
      <w:pPr>
        <w:pStyle w:val="TOC2"/>
        <w:rPr>
          <w:rFonts w:asciiTheme="minorHAnsi" w:eastAsiaTheme="minorEastAsia" w:hAnsiTheme="minorHAnsi" w:cstheme="minorBidi"/>
          <w:color w:val="auto"/>
          <w:sz w:val="22"/>
          <w:lang w:eastAsia="zh-CN" w:bidi="ar-SA"/>
        </w:rPr>
      </w:pPr>
      <w:hyperlink w:anchor="_Toc474132641" w:history="1">
        <w:r w:rsidR="00F8292E" w:rsidRPr="00745C9A">
          <w:rPr>
            <w:rStyle w:val="Hyperlink"/>
            <w:highlight w:val="yellow"/>
          </w:rPr>
          <w:t>Figura 5. Panoramica del processo di valutazione</w:t>
        </w:r>
        <w:r w:rsidR="00F8292E">
          <w:rPr>
            <w:webHidden/>
          </w:rPr>
          <w:tab/>
        </w:r>
        <w:r w:rsidR="00F8292E">
          <w:rPr>
            <w:webHidden/>
          </w:rPr>
          <w:fldChar w:fldCharType="begin"/>
        </w:r>
        <w:r w:rsidR="00F8292E">
          <w:rPr>
            <w:webHidden/>
          </w:rPr>
          <w:instrText xml:space="preserve"> PAGEREF _Toc474132641 \h </w:instrText>
        </w:r>
        <w:r w:rsidR="00F8292E">
          <w:rPr>
            <w:webHidden/>
          </w:rPr>
        </w:r>
        <w:r w:rsidR="00F8292E">
          <w:rPr>
            <w:webHidden/>
          </w:rPr>
          <w:fldChar w:fldCharType="separate"/>
        </w:r>
        <w:r w:rsidR="00F8292E">
          <w:rPr>
            <w:webHidden/>
          </w:rPr>
          <w:t>21</w:t>
        </w:r>
        <w:r w:rsidR="00F8292E">
          <w:rPr>
            <w:webHidden/>
          </w:rPr>
          <w:fldChar w:fldCharType="end"/>
        </w:r>
      </w:hyperlink>
    </w:p>
    <w:p w14:paraId="5EA655DB" w14:textId="77777777" w:rsidR="00F8292E" w:rsidRDefault="00914903">
      <w:pPr>
        <w:pStyle w:val="TOC2"/>
        <w:rPr>
          <w:rFonts w:asciiTheme="minorHAnsi" w:eastAsiaTheme="minorEastAsia" w:hAnsiTheme="minorHAnsi" w:cstheme="minorBidi"/>
          <w:color w:val="auto"/>
          <w:sz w:val="22"/>
          <w:lang w:eastAsia="zh-CN" w:bidi="ar-SA"/>
        </w:rPr>
      </w:pPr>
      <w:hyperlink w:anchor="_Toc474132642" w:history="1">
        <w:r w:rsidR="00F8292E" w:rsidRPr="00745C9A">
          <w:rPr>
            <w:rStyle w:val="Hyperlink"/>
          </w:rPr>
          <w:t>Figura 6. Major steps in setting up the system to answer evaluation questions</w:t>
        </w:r>
        <w:r w:rsidR="00F8292E">
          <w:rPr>
            <w:webHidden/>
          </w:rPr>
          <w:tab/>
        </w:r>
        <w:r w:rsidR="00F8292E">
          <w:rPr>
            <w:webHidden/>
          </w:rPr>
          <w:fldChar w:fldCharType="begin"/>
        </w:r>
        <w:r w:rsidR="00F8292E">
          <w:rPr>
            <w:webHidden/>
          </w:rPr>
          <w:instrText xml:space="preserve"> PAGEREF _Toc474132642 \h </w:instrText>
        </w:r>
        <w:r w:rsidR="00F8292E">
          <w:rPr>
            <w:webHidden/>
          </w:rPr>
        </w:r>
        <w:r w:rsidR="00F8292E">
          <w:rPr>
            <w:webHidden/>
          </w:rPr>
          <w:fldChar w:fldCharType="separate"/>
        </w:r>
        <w:r w:rsidR="00F8292E">
          <w:rPr>
            <w:webHidden/>
          </w:rPr>
          <w:t>27</w:t>
        </w:r>
        <w:r w:rsidR="00F8292E">
          <w:rPr>
            <w:webHidden/>
          </w:rPr>
          <w:fldChar w:fldCharType="end"/>
        </w:r>
      </w:hyperlink>
    </w:p>
    <w:p w14:paraId="2E38A32D" w14:textId="77777777" w:rsidR="00F8292E" w:rsidRDefault="00914903">
      <w:pPr>
        <w:pStyle w:val="TOC2"/>
        <w:rPr>
          <w:rFonts w:asciiTheme="minorHAnsi" w:eastAsiaTheme="minorEastAsia" w:hAnsiTheme="minorHAnsi" w:cstheme="minorBidi"/>
          <w:color w:val="auto"/>
          <w:sz w:val="22"/>
          <w:lang w:eastAsia="zh-CN" w:bidi="ar-SA"/>
        </w:rPr>
      </w:pPr>
      <w:hyperlink w:anchor="_Toc474132643" w:history="1">
        <w:r w:rsidR="00F8292E" w:rsidRPr="00745C9A">
          <w:rPr>
            <w:rStyle w:val="Hyperlink"/>
            <w:highlight w:val="yellow"/>
          </w:rPr>
          <w:t>Figura 7. Diversi tipi di effetti del programma</w:t>
        </w:r>
        <w:r w:rsidR="00F8292E">
          <w:rPr>
            <w:webHidden/>
          </w:rPr>
          <w:tab/>
        </w:r>
        <w:r w:rsidR="00F8292E">
          <w:rPr>
            <w:webHidden/>
          </w:rPr>
          <w:fldChar w:fldCharType="begin"/>
        </w:r>
        <w:r w:rsidR="00F8292E">
          <w:rPr>
            <w:webHidden/>
          </w:rPr>
          <w:instrText xml:space="preserve"> PAGEREF _Toc474132643 \h </w:instrText>
        </w:r>
        <w:r w:rsidR="00F8292E">
          <w:rPr>
            <w:webHidden/>
          </w:rPr>
        </w:r>
        <w:r w:rsidR="00F8292E">
          <w:rPr>
            <w:webHidden/>
          </w:rPr>
          <w:fldChar w:fldCharType="separate"/>
        </w:r>
        <w:r w:rsidR="00F8292E">
          <w:rPr>
            <w:webHidden/>
          </w:rPr>
          <w:t>32</w:t>
        </w:r>
        <w:r w:rsidR="00F8292E">
          <w:rPr>
            <w:webHidden/>
          </w:rPr>
          <w:fldChar w:fldCharType="end"/>
        </w:r>
      </w:hyperlink>
    </w:p>
    <w:p w14:paraId="4DD8CF69" w14:textId="77777777" w:rsidR="00F8292E" w:rsidRDefault="00914903">
      <w:pPr>
        <w:pStyle w:val="TOC2"/>
        <w:rPr>
          <w:rFonts w:asciiTheme="minorHAnsi" w:eastAsiaTheme="minorEastAsia" w:hAnsiTheme="minorHAnsi" w:cstheme="minorBidi"/>
          <w:color w:val="auto"/>
          <w:sz w:val="22"/>
          <w:lang w:eastAsia="zh-CN" w:bidi="ar-SA"/>
        </w:rPr>
      </w:pPr>
      <w:hyperlink w:anchor="_Toc474132644" w:history="1">
        <w:r w:rsidR="00F8292E" w:rsidRPr="00745C9A">
          <w:rPr>
            <w:rStyle w:val="Hyperlink"/>
            <w:highlight w:val="yellow"/>
          </w:rPr>
          <w:t>Figura 8. Relazione tra gli elementi di valutazione</w:t>
        </w:r>
        <w:r w:rsidR="00F8292E">
          <w:rPr>
            <w:webHidden/>
          </w:rPr>
          <w:tab/>
        </w:r>
        <w:r w:rsidR="00F8292E">
          <w:rPr>
            <w:webHidden/>
          </w:rPr>
          <w:fldChar w:fldCharType="begin"/>
        </w:r>
        <w:r w:rsidR="00F8292E">
          <w:rPr>
            <w:webHidden/>
          </w:rPr>
          <w:instrText xml:space="preserve"> PAGEREF _Toc474132644 \h </w:instrText>
        </w:r>
        <w:r w:rsidR="00F8292E">
          <w:rPr>
            <w:webHidden/>
          </w:rPr>
        </w:r>
        <w:r w:rsidR="00F8292E">
          <w:rPr>
            <w:webHidden/>
          </w:rPr>
          <w:fldChar w:fldCharType="separate"/>
        </w:r>
        <w:r w:rsidR="00F8292E">
          <w:rPr>
            <w:webHidden/>
          </w:rPr>
          <w:t>35</w:t>
        </w:r>
        <w:r w:rsidR="00F8292E">
          <w:rPr>
            <w:webHidden/>
          </w:rPr>
          <w:fldChar w:fldCharType="end"/>
        </w:r>
      </w:hyperlink>
    </w:p>
    <w:p w14:paraId="1199D5B9" w14:textId="77777777" w:rsidR="00F8292E" w:rsidRDefault="00914903">
      <w:pPr>
        <w:pStyle w:val="TOC2"/>
        <w:rPr>
          <w:rFonts w:asciiTheme="minorHAnsi" w:eastAsiaTheme="minorEastAsia" w:hAnsiTheme="minorHAnsi" w:cstheme="minorBidi"/>
          <w:color w:val="auto"/>
          <w:sz w:val="22"/>
          <w:lang w:eastAsia="zh-CN" w:bidi="ar-SA"/>
        </w:rPr>
      </w:pPr>
      <w:hyperlink w:anchor="_Toc474132645" w:history="1">
        <w:r w:rsidR="00F8292E" w:rsidRPr="00745C9A">
          <w:rPr>
            <w:rStyle w:val="Hyperlink"/>
            <w:highlight w:val="yellow"/>
          </w:rPr>
          <w:t>Figura 9. Coerenza orizzontale e verticale tra obiettivi, domande di valutazione e indicatori</w:t>
        </w:r>
        <w:r w:rsidR="00F8292E">
          <w:rPr>
            <w:webHidden/>
          </w:rPr>
          <w:tab/>
        </w:r>
        <w:r w:rsidR="00F8292E">
          <w:rPr>
            <w:webHidden/>
          </w:rPr>
          <w:fldChar w:fldCharType="begin"/>
        </w:r>
        <w:r w:rsidR="00F8292E">
          <w:rPr>
            <w:webHidden/>
          </w:rPr>
          <w:instrText xml:space="preserve"> PAGEREF _Toc474132645 \h </w:instrText>
        </w:r>
        <w:r w:rsidR="00F8292E">
          <w:rPr>
            <w:webHidden/>
          </w:rPr>
        </w:r>
        <w:r w:rsidR="00F8292E">
          <w:rPr>
            <w:webHidden/>
          </w:rPr>
          <w:fldChar w:fldCharType="separate"/>
        </w:r>
        <w:r w:rsidR="00F8292E">
          <w:rPr>
            <w:webHidden/>
          </w:rPr>
          <w:t>41</w:t>
        </w:r>
        <w:r w:rsidR="00F8292E">
          <w:rPr>
            <w:webHidden/>
          </w:rPr>
          <w:fldChar w:fldCharType="end"/>
        </w:r>
      </w:hyperlink>
    </w:p>
    <w:p w14:paraId="55A8E73B" w14:textId="77777777" w:rsidR="00F8292E" w:rsidRDefault="00914903">
      <w:pPr>
        <w:pStyle w:val="TOC2"/>
        <w:rPr>
          <w:rFonts w:asciiTheme="minorHAnsi" w:eastAsiaTheme="minorEastAsia" w:hAnsiTheme="minorHAnsi" w:cstheme="minorBidi"/>
          <w:color w:val="auto"/>
          <w:sz w:val="22"/>
          <w:lang w:eastAsia="zh-CN" w:bidi="ar-SA"/>
        </w:rPr>
      </w:pPr>
      <w:hyperlink w:anchor="_Toc474132646" w:history="1">
        <w:r w:rsidR="00F8292E" w:rsidRPr="00745C9A">
          <w:rPr>
            <w:rStyle w:val="Hyperlink"/>
            <w:highlight w:val="yellow"/>
          </w:rPr>
          <w:t>Figura 10. Logica di intervento ed elementi di valutazione per la comunicazione e lo scambio di informazioni.</w:t>
        </w:r>
        <w:r w:rsidR="00F8292E">
          <w:rPr>
            <w:webHidden/>
          </w:rPr>
          <w:tab/>
        </w:r>
        <w:r w:rsidR="00F8292E">
          <w:rPr>
            <w:webHidden/>
          </w:rPr>
          <w:fldChar w:fldCharType="begin"/>
        </w:r>
        <w:r w:rsidR="00F8292E">
          <w:rPr>
            <w:webHidden/>
          </w:rPr>
          <w:instrText xml:space="preserve"> PAGEREF _Toc474132646 \h </w:instrText>
        </w:r>
        <w:r w:rsidR="00F8292E">
          <w:rPr>
            <w:webHidden/>
          </w:rPr>
        </w:r>
        <w:r w:rsidR="00F8292E">
          <w:rPr>
            <w:webHidden/>
          </w:rPr>
          <w:fldChar w:fldCharType="separate"/>
        </w:r>
        <w:r w:rsidR="00F8292E">
          <w:rPr>
            <w:webHidden/>
          </w:rPr>
          <w:t>44</w:t>
        </w:r>
        <w:r w:rsidR="00F8292E">
          <w:rPr>
            <w:webHidden/>
          </w:rPr>
          <w:fldChar w:fldCharType="end"/>
        </w:r>
      </w:hyperlink>
    </w:p>
    <w:p w14:paraId="4BBBB825" w14:textId="77777777" w:rsidR="00F8292E" w:rsidRDefault="00914903">
      <w:pPr>
        <w:pStyle w:val="TOC2"/>
        <w:rPr>
          <w:rFonts w:asciiTheme="minorHAnsi" w:eastAsiaTheme="minorEastAsia" w:hAnsiTheme="minorHAnsi" w:cstheme="minorBidi"/>
          <w:color w:val="auto"/>
          <w:sz w:val="22"/>
          <w:lang w:eastAsia="zh-CN" w:bidi="ar-SA"/>
        </w:rPr>
      </w:pPr>
      <w:hyperlink w:anchor="_Toc474132647" w:history="1">
        <w:r w:rsidR="00F8292E" w:rsidRPr="00745C9A">
          <w:rPr>
            <w:rStyle w:val="Hyperlink"/>
          </w:rPr>
          <w:t>Figura 11. LEADER as an evaluation topic.</w:t>
        </w:r>
        <w:r w:rsidR="00F8292E">
          <w:rPr>
            <w:webHidden/>
          </w:rPr>
          <w:tab/>
        </w:r>
        <w:r w:rsidR="00F8292E">
          <w:rPr>
            <w:webHidden/>
          </w:rPr>
          <w:fldChar w:fldCharType="begin"/>
        </w:r>
        <w:r w:rsidR="00F8292E">
          <w:rPr>
            <w:webHidden/>
          </w:rPr>
          <w:instrText xml:space="preserve"> PAGEREF _Toc474132647 \h </w:instrText>
        </w:r>
        <w:r w:rsidR="00F8292E">
          <w:rPr>
            <w:webHidden/>
          </w:rPr>
        </w:r>
        <w:r w:rsidR="00F8292E">
          <w:rPr>
            <w:webHidden/>
          </w:rPr>
          <w:fldChar w:fldCharType="separate"/>
        </w:r>
        <w:r w:rsidR="00F8292E">
          <w:rPr>
            <w:webHidden/>
          </w:rPr>
          <w:t>58</w:t>
        </w:r>
        <w:r w:rsidR="00F8292E">
          <w:rPr>
            <w:webHidden/>
          </w:rPr>
          <w:fldChar w:fldCharType="end"/>
        </w:r>
      </w:hyperlink>
    </w:p>
    <w:p w14:paraId="7B944AFD" w14:textId="77777777" w:rsidR="00F8292E" w:rsidRDefault="00914903">
      <w:pPr>
        <w:pStyle w:val="TOC2"/>
        <w:rPr>
          <w:rFonts w:asciiTheme="minorHAnsi" w:eastAsiaTheme="minorEastAsia" w:hAnsiTheme="minorHAnsi" w:cstheme="minorBidi"/>
          <w:color w:val="auto"/>
          <w:sz w:val="22"/>
          <w:lang w:eastAsia="zh-CN" w:bidi="ar-SA"/>
        </w:rPr>
      </w:pPr>
      <w:hyperlink w:anchor="_Toc474132648" w:history="1">
        <w:r w:rsidR="00F8292E" w:rsidRPr="00745C9A">
          <w:rPr>
            <w:rStyle w:val="Hyperlink"/>
          </w:rPr>
          <w:t>Figura 12. Decision-making process for data requirements and data management.</w:t>
        </w:r>
        <w:r w:rsidR="00F8292E">
          <w:rPr>
            <w:webHidden/>
          </w:rPr>
          <w:tab/>
        </w:r>
        <w:r w:rsidR="00F8292E">
          <w:rPr>
            <w:webHidden/>
          </w:rPr>
          <w:fldChar w:fldCharType="begin"/>
        </w:r>
        <w:r w:rsidR="00F8292E">
          <w:rPr>
            <w:webHidden/>
          </w:rPr>
          <w:instrText xml:space="preserve"> PAGEREF _Toc474132648 \h </w:instrText>
        </w:r>
        <w:r w:rsidR="00F8292E">
          <w:rPr>
            <w:webHidden/>
          </w:rPr>
        </w:r>
        <w:r w:rsidR="00F8292E">
          <w:rPr>
            <w:webHidden/>
          </w:rPr>
          <w:fldChar w:fldCharType="separate"/>
        </w:r>
        <w:r w:rsidR="00F8292E">
          <w:rPr>
            <w:webHidden/>
          </w:rPr>
          <w:t>69</w:t>
        </w:r>
        <w:r w:rsidR="00F8292E">
          <w:rPr>
            <w:webHidden/>
          </w:rPr>
          <w:fldChar w:fldCharType="end"/>
        </w:r>
      </w:hyperlink>
    </w:p>
    <w:p w14:paraId="030DCD2A" w14:textId="77777777" w:rsidR="00D3649B" w:rsidRPr="003726BE" w:rsidRDefault="00F3350F">
      <w:pPr>
        <w:pStyle w:val="TOC2"/>
        <w:rPr>
          <w:rFonts w:asciiTheme="minorHAnsi" w:eastAsiaTheme="minorEastAsia" w:hAnsiTheme="minorHAnsi" w:cstheme="minorBidi"/>
          <w:color w:val="auto"/>
          <w:sz w:val="22"/>
        </w:rPr>
      </w:pPr>
      <w:r w:rsidRPr="003726BE">
        <w:rPr>
          <w:rFonts w:cs="Arial"/>
          <w:noProof w:val="0"/>
          <w:color w:val="373737" w:themeColor="background1" w:themeShade="40"/>
          <w:szCs w:val="20"/>
        </w:rPr>
        <w:fldChar w:fldCharType="end"/>
      </w:r>
    </w:p>
    <w:p w14:paraId="43848479" w14:textId="77777777" w:rsidR="00F8292E" w:rsidRDefault="00F8292E">
      <w:pPr>
        <w:pStyle w:val="TOC2"/>
        <w:tabs>
          <w:tab w:val="left" w:pos="1400"/>
        </w:tabs>
        <w:rPr>
          <w:rFonts w:asciiTheme="minorHAnsi" w:eastAsiaTheme="minorEastAsia" w:hAnsiTheme="minorHAnsi" w:cstheme="minorBidi"/>
          <w:color w:val="auto"/>
          <w:sz w:val="22"/>
          <w:lang w:eastAsia="zh-CN" w:bidi="ar-SA"/>
        </w:rPr>
      </w:pPr>
      <w:r w:rsidRPr="003726BE">
        <w:rPr>
          <w:rFonts w:cs="Arial"/>
          <w:color w:val="161616" w:themeColor="background1" w:themeShade="1A"/>
        </w:rPr>
        <w:fldChar w:fldCharType="begin"/>
      </w:r>
      <w:r w:rsidR="00C332EC" w:rsidRPr="003726BE">
        <w:rPr>
          <w:rFonts w:cs="Arial"/>
          <w:color w:val="161616" w:themeColor="background1" w:themeShade="1A"/>
        </w:rPr>
        <w:instrText xml:space="preserve"> TOC \h \z \t "H_Heading_maps;2" </w:instrText>
      </w:r>
      <w:r w:rsidRPr="003726BE">
        <w:rPr>
          <w:rFonts w:cs="Arial"/>
          <w:color w:val="161616" w:themeColor="background1" w:themeShade="1A"/>
        </w:rPr>
        <w:fldChar w:fldCharType="separate"/>
      </w:r>
      <w:hyperlink w:anchor="_Toc474132649" w:history="1">
        <w:r w:rsidRPr="00880BCD">
          <w:rPr>
            <w:rStyle w:val="Hyperlink"/>
            <w:rFonts w:cs="Arial"/>
            <w:highlight w:val="yellow"/>
          </w:rPr>
          <w:t>Strumento 1.</w:t>
        </w:r>
        <w:r>
          <w:rPr>
            <w:rFonts w:asciiTheme="minorHAnsi" w:eastAsiaTheme="minorEastAsia" w:hAnsiTheme="minorHAnsi" w:cstheme="minorBidi"/>
            <w:color w:val="auto"/>
            <w:sz w:val="22"/>
            <w:lang w:eastAsia="zh-CN" w:bidi="ar-SA"/>
          </w:rPr>
          <w:tab/>
        </w:r>
        <w:r w:rsidRPr="00880BCD">
          <w:rPr>
            <w:rStyle w:val="Hyperlink"/>
            <w:highlight w:val="yellow"/>
          </w:rPr>
          <w:t>Matrice per la verifica della coerenza orizzontale a livello di aspetti specifici (esempio)</w:t>
        </w:r>
        <w:r>
          <w:rPr>
            <w:webHidden/>
          </w:rPr>
          <w:tab/>
        </w:r>
        <w:r>
          <w:rPr>
            <w:webHidden/>
          </w:rPr>
          <w:fldChar w:fldCharType="begin"/>
        </w:r>
        <w:r>
          <w:rPr>
            <w:webHidden/>
          </w:rPr>
          <w:instrText xml:space="preserve"> PAGEREF _Toc474132649 \h </w:instrText>
        </w:r>
        <w:r>
          <w:rPr>
            <w:webHidden/>
          </w:rPr>
        </w:r>
        <w:r>
          <w:rPr>
            <w:webHidden/>
          </w:rPr>
          <w:fldChar w:fldCharType="separate"/>
        </w:r>
        <w:r>
          <w:rPr>
            <w:webHidden/>
          </w:rPr>
          <w:t>42</w:t>
        </w:r>
        <w:r>
          <w:rPr>
            <w:webHidden/>
          </w:rPr>
          <w:fldChar w:fldCharType="end"/>
        </w:r>
      </w:hyperlink>
    </w:p>
    <w:p w14:paraId="4DDAE2FC" w14:textId="77777777" w:rsidR="00F8292E" w:rsidRDefault="00914903">
      <w:pPr>
        <w:pStyle w:val="TOC2"/>
        <w:tabs>
          <w:tab w:val="left" w:pos="1400"/>
        </w:tabs>
        <w:rPr>
          <w:rFonts w:asciiTheme="minorHAnsi" w:eastAsiaTheme="minorEastAsia" w:hAnsiTheme="minorHAnsi" w:cstheme="minorBidi"/>
          <w:color w:val="auto"/>
          <w:sz w:val="22"/>
          <w:lang w:eastAsia="zh-CN" w:bidi="ar-SA"/>
        </w:rPr>
      </w:pPr>
      <w:hyperlink w:anchor="_Toc474132650" w:history="1">
        <w:r w:rsidR="00F8292E" w:rsidRPr="00880BCD">
          <w:rPr>
            <w:rStyle w:val="Hyperlink"/>
            <w:rFonts w:cs="Arial"/>
            <w:highlight w:val="yellow"/>
          </w:rPr>
          <w:t>Strumento 2.</w:t>
        </w:r>
        <w:r w:rsidR="00F8292E">
          <w:rPr>
            <w:rFonts w:asciiTheme="minorHAnsi" w:eastAsiaTheme="minorEastAsia" w:hAnsiTheme="minorHAnsi" w:cstheme="minorBidi"/>
            <w:color w:val="auto"/>
            <w:sz w:val="22"/>
            <w:lang w:eastAsia="zh-CN" w:bidi="ar-SA"/>
          </w:rPr>
          <w:tab/>
        </w:r>
        <w:r w:rsidR="00F8292E" w:rsidRPr="00880BCD">
          <w:rPr>
            <w:rStyle w:val="Hyperlink"/>
            <w:highlight w:val="yellow"/>
          </w:rPr>
          <w:t>Matrice per la verifica della coerenza verticale (esempio)</w:t>
        </w:r>
        <w:r w:rsidR="00F8292E">
          <w:rPr>
            <w:webHidden/>
          </w:rPr>
          <w:tab/>
        </w:r>
        <w:r w:rsidR="00F8292E">
          <w:rPr>
            <w:webHidden/>
          </w:rPr>
          <w:fldChar w:fldCharType="begin"/>
        </w:r>
        <w:r w:rsidR="00F8292E">
          <w:rPr>
            <w:webHidden/>
          </w:rPr>
          <w:instrText xml:space="preserve"> PAGEREF _Toc474132650 \h </w:instrText>
        </w:r>
        <w:r w:rsidR="00F8292E">
          <w:rPr>
            <w:webHidden/>
          </w:rPr>
        </w:r>
        <w:r w:rsidR="00F8292E">
          <w:rPr>
            <w:webHidden/>
          </w:rPr>
          <w:fldChar w:fldCharType="separate"/>
        </w:r>
        <w:r w:rsidR="00F8292E">
          <w:rPr>
            <w:webHidden/>
          </w:rPr>
          <w:t>43</w:t>
        </w:r>
        <w:r w:rsidR="00F8292E">
          <w:rPr>
            <w:webHidden/>
          </w:rPr>
          <w:fldChar w:fldCharType="end"/>
        </w:r>
      </w:hyperlink>
    </w:p>
    <w:p w14:paraId="6142C3E6" w14:textId="77777777" w:rsidR="00F8292E" w:rsidRDefault="00914903">
      <w:pPr>
        <w:pStyle w:val="TOC2"/>
        <w:tabs>
          <w:tab w:val="left" w:pos="1400"/>
        </w:tabs>
        <w:rPr>
          <w:rFonts w:asciiTheme="minorHAnsi" w:eastAsiaTheme="minorEastAsia" w:hAnsiTheme="minorHAnsi" w:cstheme="minorBidi"/>
          <w:color w:val="auto"/>
          <w:sz w:val="22"/>
          <w:lang w:eastAsia="zh-CN" w:bidi="ar-SA"/>
        </w:rPr>
      </w:pPr>
      <w:hyperlink w:anchor="_Toc474132651" w:history="1">
        <w:r w:rsidR="00F8292E" w:rsidRPr="00880BCD">
          <w:rPr>
            <w:rStyle w:val="Hyperlink"/>
            <w:rFonts w:cs="Arial"/>
            <w:highlight w:val="yellow"/>
          </w:rPr>
          <w:t>Strumento 3.</w:t>
        </w:r>
        <w:r w:rsidR="00F8292E">
          <w:rPr>
            <w:rFonts w:asciiTheme="minorHAnsi" w:eastAsiaTheme="minorEastAsia" w:hAnsiTheme="minorHAnsi" w:cstheme="minorBidi"/>
            <w:color w:val="auto"/>
            <w:sz w:val="22"/>
            <w:lang w:eastAsia="zh-CN" w:bidi="ar-SA"/>
          </w:rPr>
          <w:tab/>
        </w:r>
        <w:r w:rsidR="00F8292E" w:rsidRPr="00880BCD">
          <w:rPr>
            <w:rStyle w:val="Hyperlink"/>
            <w:highlight w:val="yellow"/>
          </w:rPr>
          <w:t>Procedura di lavoro per colmare le lacune negli elementi di valutazione attraverso l'analisi SWOT</w:t>
        </w:r>
        <w:r w:rsidR="00F8292E">
          <w:rPr>
            <w:webHidden/>
          </w:rPr>
          <w:tab/>
        </w:r>
        <w:r w:rsidR="00F8292E">
          <w:rPr>
            <w:webHidden/>
          </w:rPr>
          <w:fldChar w:fldCharType="begin"/>
        </w:r>
        <w:r w:rsidR="00F8292E">
          <w:rPr>
            <w:webHidden/>
          </w:rPr>
          <w:instrText xml:space="preserve"> PAGEREF _Toc474132651 \h </w:instrText>
        </w:r>
        <w:r w:rsidR="00F8292E">
          <w:rPr>
            <w:webHidden/>
          </w:rPr>
        </w:r>
        <w:r w:rsidR="00F8292E">
          <w:rPr>
            <w:webHidden/>
          </w:rPr>
          <w:fldChar w:fldCharType="separate"/>
        </w:r>
        <w:r w:rsidR="00F8292E">
          <w:rPr>
            <w:webHidden/>
          </w:rPr>
          <w:t>48</w:t>
        </w:r>
        <w:r w:rsidR="00F8292E">
          <w:rPr>
            <w:webHidden/>
          </w:rPr>
          <w:fldChar w:fldCharType="end"/>
        </w:r>
      </w:hyperlink>
    </w:p>
    <w:p w14:paraId="59622D0A" w14:textId="77777777" w:rsidR="00986613" w:rsidRPr="003726BE" w:rsidRDefault="00F8292E">
      <w:pPr>
        <w:pStyle w:val="HStandard"/>
        <w:rPr>
          <w:rFonts w:asciiTheme="minorHAnsi" w:eastAsiaTheme="minorEastAsia" w:hAnsiTheme="minorHAnsi" w:cs="Arial"/>
          <w:color w:val="auto"/>
          <w:sz w:val="22"/>
        </w:rPr>
        <w:sectPr w:rsidR="00986613" w:rsidRPr="003726BE" w:rsidSect="00972771">
          <w:headerReference w:type="even" r:id="rId16"/>
          <w:headerReference w:type="default" r:id="rId17"/>
          <w:footerReference w:type="even" r:id="rId18"/>
          <w:footerReference w:type="default" r:id="rId19"/>
          <w:headerReference w:type="first" r:id="rId20"/>
          <w:footerReference w:type="first" r:id="rId21"/>
          <w:pgSz w:w="11906" w:h="16838" w:code="9"/>
          <w:pgMar w:top="2495" w:right="1700" w:bottom="2381" w:left="2098" w:header="737" w:footer="1021" w:gutter="0"/>
          <w:pgNumType w:start="1"/>
          <w:cols w:space="708"/>
          <w:titlePg/>
          <w:docGrid w:linePitch="360"/>
        </w:sectPr>
      </w:pPr>
      <w:r w:rsidRPr="003726BE">
        <w:rPr>
          <w:rFonts w:cs="Arial"/>
        </w:rPr>
        <w:fldChar w:fldCharType="end"/>
      </w:r>
    </w:p>
    <w:p w14:paraId="2666B459" w14:textId="77777777" w:rsidR="00FD7022" w:rsidRPr="003726BE" w:rsidRDefault="00FD7022">
      <w:pPr>
        <w:spacing w:before="0" w:after="0" w:line="240" w:lineRule="auto"/>
        <w:jc w:val="left"/>
        <w:rPr>
          <w:rFonts w:cs="Arial"/>
          <w:b/>
          <w:noProof/>
          <w:color w:val="F07E31"/>
          <w:sz w:val="20"/>
          <w:szCs w:val="20"/>
        </w:rPr>
      </w:pPr>
      <w:bookmarkStart w:id="0" w:name="_Toc460936091"/>
      <w:r w:rsidRPr="003726BE">
        <w:lastRenderedPageBreak/>
        <w:br w:type="page"/>
      </w:r>
    </w:p>
    <w:p w14:paraId="4D217A65" w14:textId="77777777" w:rsidR="00174140" w:rsidRPr="00CB34A3" w:rsidRDefault="00174140" w:rsidP="008402F5">
      <w:pPr>
        <w:pStyle w:val="HHeading9"/>
        <w:tabs>
          <w:tab w:val="clear" w:pos="510"/>
        </w:tabs>
        <w:rPr>
          <w:rFonts w:cs="Arial"/>
          <w:caps w:val="0"/>
          <w:lang w:val="en-GB"/>
        </w:rPr>
      </w:pPr>
      <w:bookmarkStart w:id="1" w:name="_Toc474132131"/>
      <w:r w:rsidRPr="00CB34A3">
        <w:rPr>
          <w:caps w:val="0"/>
          <w:lang w:val="en-GB"/>
        </w:rPr>
        <w:lastRenderedPageBreak/>
        <w:t>INTRODUCTION</w:t>
      </w:r>
      <w:bookmarkEnd w:id="0"/>
      <w:bookmarkEnd w:id="1"/>
    </w:p>
    <w:p w14:paraId="18615A26" w14:textId="77777777" w:rsidR="00934C71" w:rsidRPr="00CB34A3" w:rsidRDefault="00934C71" w:rsidP="00934C71">
      <w:pPr>
        <w:pStyle w:val="HStandard"/>
        <w:rPr>
          <w:rFonts w:cs="Arial"/>
          <w:lang w:val="en-GB"/>
        </w:rPr>
      </w:pPr>
      <w:r w:rsidRPr="00CB34A3">
        <w:rPr>
          <w:lang w:val="en-GB"/>
        </w:rPr>
        <w:t xml:space="preserve">Starting in June 2016, and each year until 2024, Member States shall submit to the Commission an Annual Implementation Report (AIR). The AIR provides information about the implementation of the rural development programme (RDP), as well as the evaluation plan.  </w:t>
      </w:r>
    </w:p>
    <w:p w14:paraId="69CC1508" w14:textId="77777777" w:rsidR="00934C71" w:rsidRPr="00CB34A3" w:rsidRDefault="00934C71" w:rsidP="00934C71">
      <w:pPr>
        <w:pStyle w:val="HStandard"/>
        <w:rPr>
          <w:rFonts w:cs="Arial"/>
          <w:lang w:val="en-GB"/>
        </w:rPr>
      </w:pPr>
      <w:r w:rsidRPr="00CB34A3">
        <w:rPr>
          <w:lang w:val="en-GB"/>
        </w:rPr>
        <w:t xml:space="preserve">The AIR submitted in 2017 (hereinafter: AIR 2017) shall also include the quantification of programme achievements, in particular through the assessment of the result indicators (including complementary result indicators), and further provide answers to relevant evaluation questions. </w:t>
      </w:r>
    </w:p>
    <w:p w14:paraId="554FBAB5" w14:textId="77777777" w:rsidR="00934C71" w:rsidRPr="00CB34A3" w:rsidRDefault="00934C71" w:rsidP="00934C71">
      <w:pPr>
        <w:pStyle w:val="HStandard"/>
        <w:rPr>
          <w:rFonts w:cs="Arial"/>
          <w:lang w:val="en-GB"/>
        </w:rPr>
      </w:pPr>
      <w:r w:rsidRPr="00CB34A3">
        <w:rPr>
          <w:lang w:val="en-GB"/>
        </w:rPr>
        <w:t xml:space="preserve">The Technical Handbook of the Common Monitoring and Evaluation Framework (CMEF) of the CAP 2014 – 2020 and its annexes provides general guidance as well as detailed fiches for each result indicator to be reported on in the AIR 2017 and 2019. Each fiche contains the link to the RD priority and the focus area, the definition of the indicator, unit of measurement, the methodology for calculation, data requirements and sources, including those collected via the operations database, points and frequency of data collection, and the means of data transmission to the Commission. The definition and detailed description of common indicators are provided in the legal framework and the above-mentioned fiches. </w:t>
      </w:r>
    </w:p>
    <w:p w14:paraId="6EBA93AF" w14:textId="77777777" w:rsidR="00934C71" w:rsidRPr="00CB34A3" w:rsidRDefault="00FC66E8" w:rsidP="00934C71">
      <w:pPr>
        <w:pStyle w:val="HStandard"/>
        <w:rPr>
          <w:rFonts w:cs="Arial"/>
          <w:lang w:val="en-GB"/>
        </w:rPr>
      </w:pPr>
      <w:r w:rsidRPr="00CB34A3">
        <w:rPr>
          <w:lang w:val="en-GB"/>
        </w:rPr>
        <w:t xml:space="preserve">In order to support the Managing Authorities (MAs) and evaluators in using the indicators, and to ensure consistency across all Member States and RDPs, it was agreed that additional guidance would be provided. This guidance aims at addressing questions which are frequently asked by evaluation stakeholders in the Member States, such as: </w:t>
      </w:r>
    </w:p>
    <w:p w14:paraId="06C089ED" w14:textId="77777777" w:rsidR="00B219B0" w:rsidRPr="00CB34A3" w:rsidRDefault="00934C71" w:rsidP="006C54E2">
      <w:pPr>
        <w:pStyle w:val="Hlistbullet"/>
        <w:rPr>
          <w:lang w:val="en-GB"/>
        </w:rPr>
      </w:pPr>
      <w:r w:rsidRPr="00CB34A3">
        <w:rPr>
          <w:lang w:val="en-GB"/>
        </w:rPr>
        <w:t xml:space="preserve">How to use complementary result indicators in the assessment of RD interventions in the AIR 2017? </w:t>
      </w:r>
    </w:p>
    <w:p w14:paraId="23780B90" w14:textId="77777777" w:rsidR="00934C71" w:rsidRPr="00CB34A3" w:rsidRDefault="00934C71" w:rsidP="006C54E2">
      <w:pPr>
        <w:pStyle w:val="Hlistbullet"/>
        <w:rPr>
          <w:lang w:val="en-GB"/>
        </w:rPr>
      </w:pPr>
      <w:r w:rsidRPr="00CB34A3">
        <w:rPr>
          <w:lang w:val="en-GB"/>
        </w:rPr>
        <w:t>How to attribute results to the RDP interventions?</w:t>
      </w:r>
    </w:p>
    <w:p w14:paraId="4F604B35" w14:textId="77777777" w:rsidR="00934C71" w:rsidRPr="00CB34A3" w:rsidRDefault="00934C71" w:rsidP="006C54E2">
      <w:pPr>
        <w:pStyle w:val="Hlistbullet"/>
        <w:rPr>
          <w:lang w:val="en-GB"/>
        </w:rPr>
      </w:pPr>
      <w:r w:rsidRPr="00CB34A3">
        <w:rPr>
          <w:lang w:val="en-GB"/>
        </w:rPr>
        <w:t>How to address the assessment of secondary contributions of RD operations to focus areas under which they have not been programmed but to which they also make a contribution?</w:t>
      </w:r>
    </w:p>
    <w:p w14:paraId="3C321D6D" w14:textId="77777777" w:rsidR="00934C71" w:rsidRPr="00CB34A3" w:rsidRDefault="00934C71" w:rsidP="006C54E2">
      <w:pPr>
        <w:pStyle w:val="Hlistbullet"/>
        <w:rPr>
          <w:lang w:val="en-GB"/>
        </w:rPr>
      </w:pPr>
      <w:r w:rsidRPr="00CB34A3">
        <w:rPr>
          <w:lang w:val="en-GB"/>
        </w:rPr>
        <w:t xml:space="preserve">How to address challenges caused by the flexibility in programming of EAFRD interventions in the individual RDPs? </w:t>
      </w:r>
    </w:p>
    <w:p w14:paraId="699FAB06" w14:textId="77777777" w:rsidR="00934C71" w:rsidRPr="00CB34A3" w:rsidRDefault="00934C71" w:rsidP="006C54E2">
      <w:pPr>
        <w:pStyle w:val="Hlistbullet"/>
        <w:rPr>
          <w:lang w:val="en-GB"/>
        </w:rPr>
      </w:pPr>
      <w:r w:rsidRPr="00CB34A3">
        <w:rPr>
          <w:lang w:val="en-GB"/>
        </w:rPr>
        <w:t>How to deal with gaps in the monitoring and evaluation system linked to each individual RDP caused by a flexible programming approach?</w:t>
      </w:r>
    </w:p>
    <w:p w14:paraId="2D70E983" w14:textId="77777777" w:rsidR="00934C71" w:rsidRPr="00CB34A3" w:rsidRDefault="00934C71" w:rsidP="006C54E2">
      <w:pPr>
        <w:pStyle w:val="Hlistbullet"/>
        <w:rPr>
          <w:lang w:val="en-GB"/>
        </w:rPr>
      </w:pPr>
      <w:r w:rsidRPr="00CB34A3">
        <w:rPr>
          <w:lang w:val="en-GB"/>
        </w:rPr>
        <w:t>How to develop programme-specific result indicators and related evaluation questions?</w:t>
      </w:r>
    </w:p>
    <w:p w14:paraId="5FBB0262" w14:textId="77777777" w:rsidR="00934C71" w:rsidRPr="00CB34A3" w:rsidRDefault="00934C71" w:rsidP="006C54E2">
      <w:pPr>
        <w:pStyle w:val="Hlistbullet"/>
        <w:rPr>
          <w:lang w:val="en-GB"/>
        </w:rPr>
      </w:pPr>
      <w:r w:rsidRPr="00CB34A3">
        <w:rPr>
          <w:lang w:val="en-GB"/>
        </w:rPr>
        <w:t xml:space="preserve">How to report on the assessment of RDP achievements in 2017? </w:t>
      </w:r>
    </w:p>
    <w:p w14:paraId="2457417F" w14:textId="77777777" w:rsidR="00934C71" w:rsidRPr="00CB34A3" w:rsidRDefault="00934C71" w:rsidP="006C54E2">
      <w:pPr>
        <w:pStyle w:val="Hlistbullet"/>
        <w:rPr>
          <w:lang w:val="en-GB"/>
        </w:rPr>
      </w:pPr>
      <w:r w:rsidRPr="00CB34A3">
        <w:rPr>
          <w:lang w:val="en-GB"/>
        </w:rPr>
        <w:t>How to communicate and disseminate evaluation results?</w:t>
      </w:r>
    </w:p>
    <w:p w14:paraId="42785B16" w14:textId="77777777" w:rsidR="00934C71" w:rsidRPr="00CB34A3" w:rsidRDefault="00934C71" w:rsidP="00934C71">
      <w:pPr>
        <w:pStyle w:val="HStandard"/>
        <w:rPr>
          <w:rFonts w:cs="Arial"/>
          <w:lang w:val="en-GB"/>
        </w:rPr>
      </w:pPr>
      <w:r w:rsidRPr="00CB34A3">
        <w:rPr>
          <w:lang w:val="en-GB"/>
        </w:rPr>
        <w:t xml:space="preserve">With a view to comply with legal requirements and enable Member States to establish a robust monitoring and evaluation system, capable of generating the required information to be reported on in the AIR 2017, the above-mentioned questions should be answered at an early stage of programme implementation. </w:t>
      </w:r>
    </w:p>
    <w:p w14:paraId="1E4B2C71" w14:textId="77777777" w:rsidR="00934C71" w:rsidRPr="00CB34A3" w:rsidRDefault="00934C71" w:rsidP="00934C71">
      <w:pPr>
        <w:pStyle w:val="HStandard"/>
        <w:rPr>
          <w:rFonts w:cs="Arial"/>
          <w:lang w:val="en-GB"/>
        </w:rPr>
      </w:pPr>
      <w:r w:rsidRPr="00CB34A3">
        <w:rPr>
          <w:lang w:val="en-GB"/>
        </w:rPr>
        <w:t xml:space="preserve">Against this background the Annual Work Programme 2015 of the Evaluation Helpdesk anticipated building on existing legal frameworks and guidance, and developing further support for Managing Authorities (MA), Paying Agencies (PA) and evaluators in reporting on the RDP’s achievements in the enhanced AIR 2017, and beyond. </w:t>
      </w:r>
    </w:p>
    <w:p w14:paraId="44F4AF89" w14:textId="77777777" w:rsidR="00934C71" w:rsidRPr="00CB34A3" w:rsidRDefault="00934C71" w:rsidP="00934C71">
      <w:pPr>
        <w:pStyle w:val="HStandard"/>
        <w:rPr>
          <w:rFonts w:cs="Arial"/>
          <w:lang w:val="en-GB"/>
        </w:rPr>
      </w:pPr>
      <w:r w:rsidRPr="00CB34A3">
        <w:rPr>
          <w:lang w:val="en-GB"/>
        </w:rPr>
        <w:lastRenderedPageBreak/>
        <w:t>Under the guidance of DG AGRI Unit E.4 (evaluation and studies), a Thematic Working Group was established in order to:</w:t>
      </w:r>
    </w:p>
    <w:p w14:paraId="79FEF55B" w14:textId="77777777" w:rsidR="00934C71" w:rsidRPr="00CB34A3" w:rsidRDefault="00934C71" w:rsidP="006C54E2">
      <w:pPr>
        <w:pStyle w:val="Hlistbullet"/>
        <w:rPr>
          <w:lang w:val="en-GB"/>
        </w:rPr>
      </w:pPr>
      <w:r w:rsidRPr="00CB34A3">
        <w:rPr>
          <w:lang w:val="en-GB"/>
        </w:rPr>
        <w:t>Examine the challenges related to the reporting on the evaluation in the AIR 2017, in consultation with stakeholders;</w:t>
      </w:r>
    </w:p>
    <w:p w14:paraId="4517950D" w14:textId="77777777" w:rsidR="00934C71" w:rsidRPr="00CB34A3" w:rsidRDefault="00934C71" w:rsidP="006C54E2">
      <w:pPr>
        <w:pStyle w:val="Hlistbullet"/>
        <w:rPr>
          <w:lang w:val="en-GB"/>
        </w:rPr>
      </w:pPr>
      <w:r w:rsidRPr="00CB34A3">
        <w:rPr>
          <w:lang w:val="en-GB"/>
        </w:rPr>
        <w:t>Discuss possible solutions to overcome these challenges considering methodological and practical issues;</w:t>
      </w:r>
    </w:p>
    <w:p w14:paraId="34BDEA44" w14:textId="77777777" w:rsidR="00934C71" w:rsidRPr="00CB34A3" w:rsidRDefault="00934C71" w:rsidP="006C54E2">
      <w:pPr>
        <w:pStyle w:val="Hlistbullet"/>
        <w:rPr>
          <w:lang w:val="en-GB"/>
        </w:rPr>
      </w:pPr>
      <w:r w:rsidRPr="00CB34A3">
        <w:rPr>
          <w:lang w:val="en-GB"/>
        </w:rPr>
        <w:t>Identify effective approaches to assess the progress in achieving the objectives of the RDP, in particular through the assessment of result indicators, including complementary result indicators, secondary contributions and answering related evaluation questions;</w:t>
      </w:r>
    </w:p>
    <w:p w14:paraId="74D104AC" w14:textId="77777777" w:rsidR="00174140" w:rsidRPr="00CB34A3" w:rsidRDefault="00934C71" w:rsidP="006C54E2">
      <w:pPr>
        <w:pStyle w:val="Hlistbullet"/>
        <w:rPr>
          <w:lang w:val="en-GB"/>
        </w:rPr>
      </w:pPr>
      <w:r w:rsidRPr="00CB34A3">
        <w:rPr>
          <w:lang w:val="en-GB"/>
        </w:rPr>
        <w:t>Develop guidelines for preparing and drafting the evaluation component of the enhanced AIR 2017.</w:t>
      </w:r>
    </w:p>
    <w:p w14:paraId="11AD2FC0" w14:textId="77777777" w:rsidR="00E13BBE" w:rsidRPr="00CB34A3" w:rsidRDefault="00E13BBE" w:rsidP="00E13BBE">
      <w:pPr>
        <w:pStyle w:val="HStandard"/>
        <w:rPr>
          <w:rFonts w:cs="Arial"/>
          <w:lang w:val="en-GB"/>
        </w:rPr>
      </w:pPr>
      <w:r w:rsidRPr="00CB34A3">
        <w:rPr>
          <w:lang w:val="en-GB"/>
        </w:rPr>
        <w:t xml:space="preserve">The guidelines have been developed by a team of evaluation experts from the European Evaluation Helpdesk for Rural Development under the coordination of Jela Tvrdonova (SK): Andreas Resch (AT), Gerald Schwartz (DE), Sari Rannanpää (FI), Darko Znaor (HR), Jerzy Michalek (PL), Marili Parissaki (ES), Magda Porta (PT), Demetrios Psaltopoulos (GR), Bill Slee (UK), Hannes Wimmer (AT). </w:t>
      </w:r>
    </w:p>
    <w:p w14:paraId="3C0D9691" w14:textId="77777777" w:rsidR="00E13BBE" w:rsidRPr="00CB34A3" w:rsidRDefault="00225FEF" w:rsidP="00CB7E9D">
      <w:pPr>
        <w:pStyle w:val="HStandard"/>
        <w:rPr>
          <w:rFonts w:cs="Arial"/>
          <w:lang w:val="en-GB"/>
        </w:rPr>
      </w:pPr>
      <w:r w:rsidRPr="00CB34A3">
        <w:rPr>
          <w:lang w:val="en-GB"/>
        </w:rPr>
        <w:t>Work has been carried out through a series of thematic workshops and desk-research. The draft guidance document has been discussed with Member States’ representatives in the Expert Group on Monitoring and Evaluating the CAP (Common Agricultural Policy) in several stages:  during its 7th meeting on 25 June 2015 the Expert Group discussed the outline of the guidelines; a Sounding Board composed of Expert Group members discussed the 2</w:t>
      </w:r>
      <w:r w:rsidRPr="00CB34A3">
        <w:rPr>
          <w:vertAlign w:val="superscript"/>
          <w:lang w:val="en-GB"/>
        </w:rPr>
        <w:t>nd</w:t>
      </w:r>
      <w:r w:rsidRPr="00CB34A3">
        <w:rPr>
          <w:lang w:val="en-GB"/>
        </w:rPr>
        <w:t xml:space="preserve"> draft of the guidelines in September 2015; during its 8</w:t>
      </w:r>
      <w:r w:rsidRPr="00CB34A3">
        <w:rPr>
          <w:vertAlign w:val="superscript"/>
          <w:lang w:val="en-GB"/>
        </w:rPr>
        <w:t>th</w:t>
      </w:r>
      <w:r w:rsidRPr="00CB34A3">
        <w:rPr>
          <w:lang w:val="en-GB"/>
        </w:rPr>
        <w:t xml:space="preserve"> meeting on 12 November 2015 the Expert Group discussed the final draft of the document. In 2016 the content and structure of the guidelines has been aligned with the SFC-template for point 7 of the AIR 2017 (presented and discussed in the Rural Development Committee in July 2016). Commission services have ensured the coherence of the guidelines within the EU policy framework. </w:t>
      </w:r>
    </w:p>
    <w:p w14:paraId="70560CE4" w14:textId="77777777" w:rsidR="00CB7E9D" w:rsidRPr="00CB34A3" w:rsidRDefault="00CB7E9D" w:rsidP="00CB7E9D">
      <w:pPr>
        <w:pStyle w:val="HStandard"/>
        <w:rPr>
          <w:rFonts w:cs="Arial"/>
          <w:lang w:val="en-GB"/>
        </w:rPr>
      </w:pPr>
      <w:r w:rsidRPr="00CB34A3">
        <w:rPr>
          <w:lang w:val="en-GB"/>
        </w:rPr>
        <w:t>The present guidelines have been structured in the following parts:</w:t>
      </w:r>
    </w:p>
    <w:p w14:paraId="30398D53" w14:textId="77777777" w:rsidR="00CB7E9D" w:rsidRPr="00CB34A3" w:rsidRDefault="00CB7E9D" w:rsidP="006C54E2">
      <w:pPr>
        <w:pStyle w:val="Hlistbullet"/>
        <w:rPr>
          <w:lang w:val="en-GB"/>
        </w:rPr>
      </w:pPr>
      <w:r w:rsidRPr="00CB34A3">
        <w:rPr>
          <w:b/>
          <w:color w:val="F07E31" w:themeColor="background2"/>
          <w:lang w:val="en-GB"/>
        </w:rPr>
        <w:t xml:space="preserve">PART I </w:t>
      </w:r>
      <w:r w:rsidRPr="00CB34A3">
        <w:rPr>
          <w:lang w:val="en-GB"/>
        </w:rPr>
        <w:t>(mainly for Managing Authorities) provides information and recommendations on what needs to be reported in the AIR 2017. Specific attention is given to the governance and management of the evaluation, including the involvement of various actors and the communication of evaluation results.</w:t>
      </w:r>
    </w:p>
    <w:p w14:paraId="2AEF84CB" w14:textId="77777777" w:rsidR="00CB7E9D" w:rsidRPr="00CB34A3" w:rsidRDefault="00CB7E9D" w:rsidP="006C54E2">
      <w:pPr>
        <w:pStyle w:val="Hlistbullet"/>
        <w:rPr>
          <w:lang w:val="en-GB"/>
        </w:rPr>
      </w:pPr>
      <w:r w:rsidRPr="00CB34A3">
        <w:rPr>
          <w:b/>
          <w:color w:val="F07E31" w:themeColor="background2"/>
          <w:lang w:val="en-GB"/>
        </w:rPr>
        <w:t xml:space="preserve">PART II </w:t>
      </w:r>
      <w:r w:rsidRPr="00CB34A3">
        <w:rPr>
          <w:lang w:val="en-GB"/>
        </w:rPr>
        <w:t>(for Managing Authorities, Paying Agencies and evaluators) provides detailed guidance on the preparation, structuring and conducting phases of the evaluation, including methodological guidance and recommended practices.  This part leads the reader through the process of answering all common and programme-specific evaluation questions for the entire programming period (with a specific focus on the information to be reported in the AIR submitted in 2017).</w:t>
      </w:r>
    </w:p>
    <w:p w14:paraId="41C618D7" w14:textId="77777777" w:rsidR="00201021" w:rsidRPr="00CB34A3" w:rsidRDefault="00CB7E9D" w:rsidP="006C54E2">
      <w:pPr>
        <w:pStyle w:val="Hlistbullet"/>
        <w:rPr>
          <w:lang w:val="en-GB"/>
        </w:rPr>
      </w:pPr>
      <w:r w:rsidRPr="00CB34A3">
        <w:rPr>
          <w:b/>
          <w:color w:val="F07E31" w:themeColor="background2"/>
          <w:lang w:val="en-GB"/>
        </w:rPr>
        <w:t xml:space="preserve">Part III – Annexes </w:t>
      </w:r>
      <w:r w:rsidRPr="00CB34A3">
        <w:rPr>
          <w:lang w:val="en-GB"/>
        </w:rPr>
        <w:t>consists of several practical tools such as the SFC template for point 7 of the AIR 2017, an overview of reporting requirements, check-lists for assessing the quality of the evaluation report, Terms of Reference, etc.</w:t>
      </w:r>
    </w:p>
    <w:p w14:paraId="67B3D9AD" w14:textId="77777777" w:rsidR="004A0F0D" w:rsidRPr="00CB34A3" w:rsidRDefault="00201021" w:rsidP="006C54E2">
      <w:pPr>
        <w:pStyle w:val="Hlistbullet"/>
        <w:rPr>
          <w:lang w:val="en-GB"/>
        </w:rPr>
      </w:pPr>
      <w:r w:rsidRPr="00CB34A3">
        <w:rPr>
          <w:b/>
          <w:color w:val="F07E31" w:themeColor="background2"/>
          <w:lang w:val="en-GB"/>
        </w:rPr>
        <w:t xml:space="preserve">A separate annex 11 </w:t>
      </w:r>
      <w:r w:rsidRPr="00CB34A3">
        <w:rPr>
          <w:lang w:val="en-GB"/>
        </w:rPr>
        <w:t xml:space="preserve">provides fiches with detailed methodological guidance on how to address each Common Evaluation Question (CEQ) no. 1-21 to be answered in 2017. </w:t>
      </w:r>
    </w:p>
    <w:p w14:paraId="79B2BF6D" w14:textId="77777777" w:rsidR="00174140" w:rsidRPr="003726BE" w:rsidRDefault="00174140" w:rsidP="00D62F94">
      <w:pPr>
        <w:pStyle w:val="HHeading9"/>
        <w:rPr>
          <w:rFonts w:cs="Arial"/>
          <w:caps w:val="0"/>
          <w:highlight w:val="yellow"/>
        </w:rPr>
      </w:pPr>
      <w:bookmarkStart w:id="2" w:name="_Toc460936092"/>
      <w:bookmarkStart w:id="3" w:name="_Toc474132132"/>
      <w:r w:rsidRPr="003726BE">
        <w:rPr>
          <w:caps w:val="0"/>
          <w:highlight w:val="yellow"/>
        </w:rPr>
        <w:lastRenderedPageBreak/>
        <w:t>PARTE I - VALUTAZIONE: FOCALIZZAZIONE, GESTIONE E PREDISPOSIZIONE DI RELAZIONI</w:t>
      </w:r>
      <w:bookmarkEnd w:id="2"/>
      <w:bookmarkEnd w:id="3"/>
    </w:p>
    <w:p w14:paraId="5966A2EB" w14:textId="77777777" w:rsidR="00AC08B3" w:rsidRPr="003726BE" w:rsidRDefault="007969CB" w:rsidP="00A91774">
      <w:pPr>
        <w:pStyle w:val="HHeading5"/>
        <w:rPr>
          <w:highlight w:val="yellow"/>
        </w:rPr>
      </w:pPr>
      <w:r w:rsidRPr="003726BE">
        <w:rPr>
          <w:highlight w:val="yellow"/>
        </w:rPr>
        <w:t>Panoramica delle relazioni annuali sull'attuazione</w:t>
      </w:r>
    </w:p>
    <w:p w14:paraId="518507FB" w14:textId="77777777" w:rsidR="00174140" w:rsidRPr="003726BE" w:rsidRDefault="00AE66C1" w:rsidP="00673940">
      <w:pPr>
        <w:pStyle w:val="HStandard"/>
        <w:rPr>
          <w:rFonts w:cs="Arial"/>
          <w:highlight w:val="yellow"/>
        </w:rPr>
      </w:pPr>
      <w:r w:rsidRPr="003726BE">
        <w:rPr>
          <w:highlight w:val="yellow"/>
        </w:rPr>
        <w:t>Il periodo di programmazione 2014-2020 comprenderà due relazioni annuali sull'attuazione (RAA) ampliate che combinano elementi tanto di monitoraggio quanto di valutazione, e saranno presentate nel 2017 e nel 2019. Gli elementi di monitoraggio delle RAA ampliate per il 2017 e il 2019 sono identici a quelli delle precedenti RAA standard. Tuttavia, con l'avanzare del periodo di programmazione saranno inclusi ulteriori elementi.</w:t>
      </w:r>
    </w:p>
    <w:p w14:paraId="779016A0" w14:textId="77777777" w:rsidR="00174140" w:rsidRPr="003726BE" w:rsidRDefault="00174140" w:rsidP="003726BE">
      <w:pPr>
        <w:pStyle w:val="HHeadingfigures"/>
        <w:rPr>
          <w:highlight w:val="yellow"/>
        </w:rPr>
      </w:pPr>
      <w:bookmarkStart w:id="4" w:name="_Toc460936147"/>
      <w:bookmarkStart w:id="5" w:name="_Toc474132637"/>
      <w:r w:rsidRPr="003726BE">
        <w:rPr>
          <w:highlight w:val="yellow"/>
        </w:rPr>
        <w:t>Contenuto delle relazioni annuali sull'attuazione</w:t>
      </w:r>
      <w:r w:rsidRPr="003726BE">
        <w:rPr>
          <w:rStyle w:val="FootnoteReference"/>
          <w:highlight w:val="yellow"/>
        </w:rPr>
        <w:footnoteReference w:id="2"/>
      </w:r>
      <w:bookmarkEnd w:id="4"/>
      <w:bookmarkEnd w:id="5"/>
    </w:p>
    <w:p w14:paraId="6DC0EE49" w14:textId="77777777" w:rsidR="00174140" w:rsidRPr="003726BE" w:rsidRDefault="003726BE" w:rsidP="00D420BD">
      <w:pPr>
        <w:pStyle w:val="HStandard"/>
        <w:jc w:val="center"/>
        <w:rPr>
          <w:rFonts w:cs="Arial"/>
          <w:highlight w:val="yellow"/>
        </w:rPr>
      </w:pPr>
      <w:r>
        <w:rPr>
          <w:noProof/>
          <w:lang w:val="en-GB" w:eastAsia="en-GB" w:bidi="ar-SA"/>
        </w:rPr>
        <w:drawing>
          <wp:inline distT="0" distB="0" distL="0" distR="0" wp14:anchorId="178EAB6A" wp14:editId="5752C8EA">
            <wp:extent cx="5759450" cy="3210783"/>
            <wp:effectExtent l="0" t="0" r="0" b="889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1.emf"/>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59450" cy="3210783"/>
                    </a:xfrm>
                    <a:prstGeom prst="rect">
                      <a:avLst/>
                    </a:prstGeom>
                  </pic:spPr>
                </pic:pic>
              </a:graphicData>
            </a:graphic>
          </wp:inline>
        </w:drawing>
      </w:r>
    </w:p>
    <w:p w14:paraId="1D825198" w14:textId="77777777" w:rsidR="00174140" w:rsidRPr="003726BE" w:rsidRDefault="00174140" w:rsidP="00174140">
      <w:pPr>
        <w:pStyle w:val="HSource"/>
        <w:rPr>
          <w:rFonts w:cs="Arial"/>
          <w:highlight w:val="yellow"/>
        </w:rPr>
      </w:pPr>
      <w:r w:rsidRPr="003726BE">
        <w:rPr>
          <w:highlight w:val="yellow"/>
        </w:rPr>
        <w:t>Fonte: Helpdesk europeo della valutazione per lo sviluppo rurale, 2015.</w:t>
      </w:r>
    </w:p>
    <w:p w14:paraId="2B80FD6D" w14:textId="77777777" w:rsidR="00AC08B3" w:rsidRPr="003726BE" w:rsidRDefault="00115575" w:rsidP="008C0710">
      <w:pPr>
        <w:pStyle w:val="HHeading5"/>
        <w:rPr>
          <w:highlight w:val="yellow"/>
        </w:rPr>
      </w:pPr>
      <w:r w:rsidRPr="003726BE">
        <w:rPr>
          <w:highlight w:val="yellow"/>
        </w:rPr>
        <w:t>Il quadro comune di monitoraggio e valutazione come base per la predisposizione delle relazioni</w:t>
      </w:r>
    </w:p>
    <w:p w14:paraId="0E8703D6" w14:textId="77777777" w:rsidR="00AC08B3" w:rsidRPr="003726BE" w:rsidRDefault="00AC08B3" w:rsidP="00AC08B3">
      <w:pPr>
        <w:pStyle w:val="HStandard"/>
        <w:rPr>
          <w:rFonts w:cs="Arial"/>
          <w:highlight w:val="yellow"/>
        </w:rPr>
      </w:pPr>
      <w:r w:rsidRPr="003726BE">
        <w:rPr>
          <w:highlight w:val="yellow"/>
        </w:rPr>
        <w:t>Il quadro giuridico istituisce il sistema comune di monitoraggio e valutazione (CMES) per lo sviluppo rurale</w:t>
      </w:r>
      <w:r w:rsidRPr="003726BE">
        <w:rPr>
          <w:rStyle w:val="FootnoteReference"/>
          <w:highlight w:val="yellow"/>
        </w:rPr>
        <w:footnoteReference w:id="3"/>
      </w:r>
      <w:r w:rsidRPr="003726BE">
        <w:rPr>
          <w:highlight w:val="yellow"/>
        </w:rPr>
        <w:t xml:space="preserve"> </w:t>
      </w:r>
      <w:r w:rsidR="005922F9">
        <w:rPr>
          <w:highlight w:val="yellow"/>
        </w:rPr>
        <w:t>qual</w:t>
      </w:r>
      <w:r w:rsidRPr="003726BE">
        <w:rPr>
          <w:highlight w:val="yellow"/>
        </w:rPr>
        <w:t>e parte del quadro comune di monitoraggio e valutazione (CMEF) per l'intera politica agricola comune (PAC). Il CMES assicura l'applicazione di un approccio di valutazione comune in tutta l'UE, nel contesto dell'</w:t>
      </w:r>
      <w:r w:rsidRPr="003726BE">
        <w:rPr>
          <w:b/>
          <w:highlight w:val="yellow"/>
        </w:rPr>
        <w:t xml:space="preserve">esecuzione </w:t>
      </w:r>
      <w:r w:rsidRPr="003726BE">
        <w:rPr>
          <w:highlight w:val="yellow"/>
        </w:rPr>
        <w:t xml:space="preserve">della valutazione dei programmi di sviluppo rurale </w:t>
      </w:r>
      <w:r w:rsidRPr="003726BE">
        <w:rPr>
          <w:b/>
          <w:highlight w:val="yellow"/>
        </w:rPr>
        <w:t xml:space="preserve">e della predisposizione delle relazioni </w:t>
      </w:r>
      <w:r w:rsidRPr="003726BE">
        <w:rPr>
          <w:highlight w:val="yellow"/>
        </w:rPr>
        <w:t xml:space="preserve">in merito alla stessa, vale a dire: </w:t>
      </w:r>
    </w:p>
    <w:p w14:paraId="6CAAD5EC" w14:textId="77777777" w:rsidR="00AC08B3" w:rsidRPr="003726BE" w:rsidRDefault="00AC08B3" w:rsidP="00AC08B3">
      <w:pPr>
        <w:pStyle w:val="Hlistbullet"/>
        <w:numPr>
          <w:ilvl w:val="0"/>
          <w:numId w:val="2"/>
        </w:numPr>
        <w:spacing w:before="0" w:after="120" w:line="280" w:lineRule="atLeast"/>
        <w:rPr>
          <w:rFonts w:cs="Arial"/>
          <w:highlight w:val="yellow"/>
        </w:rPr>
      </w:pPr>
      <w:r w:rsidRPr="003726BE">
        <w:rPr>
          <w:highlight w:val="yellow"/>
        </w:rPr>
        <w:t xml:space="preserve">dimostrando i progressi e le realizzazioni delle politiche di sviluppo rurale dell'UE e dei suoi Stati membri, attraverso la valutazione degli impatti, dell'efficacia, dell'efficienza e della pertinenza di dette politiche; </w:t>
      </w:r>
    </w:p>
    <w:p w14:paraId="70DDACE0" w14:textId="77777777" w:rsidR="00AC08B3" w:rsidRPr="003726BE" w:rsidRDefault="00AC08B3" w:rsidP="00AC08B3">
      <w:pPr>
        <w:pStyle w:val="Hlistbullet"/>
        <w:numPr>
          <w:ilvl w:val="0"/>
          <w:numId w:val="2"/>
        </w:numPr>
        <w:spacing w:before="0" w:after="120" w:line="280" w:lineRule="atLeast"/>
        <w:rPr>
          <w:rFonts w:cs="Arial"/>
          <w:highlight w:val="yellow"/>
        </w:rPr>
      </w:pPr>
      <w:r w:rsidRPr="003726BE">
        <w:rPr>
          <w:highlight w:val="yellow"/>
        </w:rPr>
        <w:t>favorendo un processo di apprendimento comune su come preparare e attuare meglio la politica di sviluppo rurale;</w:t>
      </w:r>
    </w:p>
    <w:p w14:paraId="033E0E2E" w14:textId="77777777" w:rsidR="00AC08B3" w:rsidRPr="003726BE" w:rsidRDefault="00AC08B3" w:rsidP="00AC08B3">
      <w:pPr>
        <w:pStyle w:val="Hlistbullet"/>
        <w:numPr>
          <w:ilvl w:val="0"/>
          <w:numId w:val="2"/>
        </w:numPr>
        <w:spacing w:before="0" w:after="120" w:line="280" w:lineRule="atLeast"/>
        <w:rPr>
          <w:rFonts w:cs="Arial"/>
          <w:highlight w:val="yellow"/>
        </w:rPr>
      </w:pPr>
      <w:r w:rsidRPr="003726BE">
        <w:rPr>
          <w:highlight w:val="yellow"/>
        </w:rPr>
        <w:t>contribuendo ad un sostegno pi</w:t>
      </w:r>
      <w:r w:rsidR="00E7404C">
        <w:rPr>
          <w:highlight w:val="yellow"/>
        </w:rPr>
        <w:t>ù mirato dello sviluppo rurale.</w:t>
      </w:r>
      <w:r w:rsidRPr="003726BE">
        <w:rPr>
          <w:highlight w:val="yellow"/>
        </w:rPr>
        <w:t xml:space="preserve"> </w:t>
      </w:r>
    </w:p>
    <w:p w14:paraId="7EB2B779" w14:textId="77777777" w:rsidR="00AC08B3" w:rsidRPr="003726BE" w:rsidRDefault="00AC08B3" w:rsidP="00AC08B3">
      <w:pPr>
        <w:pStyle w:val="HStandard"/>
        <w:rPr>
          <w:rFonts w:cs="Arial"/>
          <w:highlight w:val="yellow"/>
        </w:rPr>
      </w:pPr>
      <w:r w:rsidRPr="003726BE">
        <w:rPr>
          <w:highlight w:val="yellow"/>
        </w:rPr>
        <w:lastRenderedPageBreak/>
        <w:t xml:space="preserve">Il CMES è progettato per migliorare l'assunzione di responsabilità e la trasparenza della politica rurale dell'UE, nonché per facilitare la </w:t>
      </w:r>
      <w:r w:rsidRPr="003726BE">
        <w:rPr>
          <w:b/>
          <w:highlight w:val="yellow"/>
        </w:rPr>
        <w:t>predisposizione di relazioni sui risultati della valutazione,</w:t>
      </w:r>
      <w:r w:rsidRPr="003726BE">
        <w:rPr>
          <w:highlight w:val="yellow"/>
        </w:rPr>
        <w:t xml:space="preserve"> così come la loro sintesi a livello di Unione europea. Gli elementi del CMES sono descritti nell'allegato 2 degli orientamenti.</w:t>
      </w:r>
    </w:p>
    <w:p w14:paraId="2935A914" w14:textId="77777777" w:rsidR="00AC08B3" w:rsidRPr="003726BE" w:rsidRDefault="00AC08B3" w:rsidP="000172A2">
      <w:pPr>
        <w:pStyle w:val="HStandard"/>
        <w:rPr>
          <w:highlight w:val="yellow"/>
        </w:rPr>
      </w:pPr>
    </w:p>
    <w:p w14:paraId="0AA42216" w14:textId="77777777" w:rsidR="00174140" w:rsidRPr="003726BE" w:rsidRDefault="00174140" w:rsidP="00D62F94">
      <w:pPr>
        <w:pStyle w:val="HHeading1"/>
        <w:rPr>
          <w:rFonts w:cs="Arial"/>
          <w:caps w:val="0"/>
          <w:highlight w:val="yellow"/>
        </w:rPr>
      </w:pPr>
      <w:bookmarkStart w:id="6" w:name="_Toc460936093"/>
      <w:bookmarkStart w:id="7" w:name="_Toc474132133"/>
      <w:r w:rsidRPr="003726BE">
        <w:rPr>
          <w:caps w:val="0"/>
          <w:highlight w:val="yellow"/>
        </w:rPr>
        <w:lastRenderedPageBreak/>
        <w:t>Requisiti in materia di relazioni nel 2017</w:t>
      </w:r>
      <w:bookmarkEnd w:id="6"/>
      <w:bookmarkEnd w:id="7"/>
    </w:p>
    <w:p w14:paraId="55BC53D9" w14:textId="77777777" w:rsidR="00174140" w:rsidRPr="003726BE" w:rsidRDefault="00606478" w:rsidP="00DC63BF">
      <w:pPr>
        <w:pStyle w:val="HHeading2"/>
        <w:rPr>
          <w:highlight w:val="yellow"/>
        </w:rPr>
      </w:pPr>
      <w:bookmarkStart w:id="8" w:name="_Toc460936094"/>
      <w:bookmarkStart w:id="9" w:name="_Toc474132134"/>
      <w:r w:rsidRPr="003726BE">
        <w:rPr>
          <w:highlight w:val="yellow"/>
        </w:rPr>
        <w:t>Requisiti di monitoraggio e valutazione nella RAA 2017</w:t>
      </w:r>
      <w:bookmarkEnd w:id="8"/>
      <w:bookmarkEnd w:id="9"/>
    </w:p>
    <w:p w14:paraId="34E98BF7" w14:textId="77777777" w:rsidR="006B78B3" w:rsidRPr="003726BE" w:rsidRDefault="00174140" w:rsidP="00673940">
      <w:pPr>
        <w:pStyle w:val="HStandard"/>
        <w:rPr>
          <w:rFonts w:cs="Arial"/>
          <w:highlight w:val="yellow"/>
        </w:rPr>
      </w:pPr>
      <w:r w:rsidRPr="003726BE">
        <w:rPr>
          <w:highlight w:val="yellow"/>
        </w:rPr>
        <w:t xml:space="preserve">I requisiti generali in materia di relazioni per quanto concerne la RAA 2017 combinano elementi di monitoraggio e di valutazione. </w:t>
      </w:r>
    </w:p>
    <w:p w14:paraId="7EAB5E4A" w14:textId="77777777" w:rsidR="006B78B3" w:rsidRPr="003726BE" w:rsidRDefault="00400399" w:rsidP="000A34BC">
      <w:pPr>
        <w:pStyle w:val="Hlistbullet"/>
        <w:rPr>
          <w:highlight w:val="yellow"/>
        </w:rPr>
      </w:pPr>
      <w:r w:rsidRPr="003726BE">
        <w:rPr>
          <w:b/>
          <w:highlight w:val="yellow"/>
        </w:rPr>
        <w:t>Monitoraggio:</w:t>
      </w:r>
      <w:r w:rsidRPr="003726BE">
        <w:rPr>
          <w:highlight w:val="yellow"/>
        </w:rPr>
        <w:t xml:space="preserve"> l'autorità di gestione (AG) raccoglierà e comunicherà informazioni su varie questioni, come ad esempio i progressi nell'attuazione del piano di valutazione</w:t>
      </w:r>
      <w:r w:rsidRPr="003726BE">
        <w:rPr>
          <w:highlight w:val="yellow"/>
          <w:vertAlign w:val="superscript"/>
        </w:rPr>
        <w:footnoteReference w:id="4"/>
      </w:r>
      <w:r w:rsidRPr="003726BE">
        <w:rPr>
          <w:highlight w:val="yellow"/>
        </w:rPr>
        <w:t>, le spese e gli impegni finanziari</w:t>
      </w:r>
      <w:r w:rsidRPr="003726BE">
        <w:rPr>
          <w:highlight w:val="yellow"/>
          <w:vertAlign w:val="superscript"/>
        </w:rPr>
        <w:footnoteReference w:id="5"/>
      </w:r>
      <w:r w:rsidRPr="003726BE">
        <w:rPr>
          <w:highlight w:val="yellow"/>
        </w:rPr>
        <w:t>, i dati sugli indicatori</w:t>
      </w:r>
      <w:r w:rsidRPr="003726BE">
        <w:rPr>
          <w:highlight w:val="yellow"/>
          <w:vertAlign w:val="superscript"/>
        </w:rPr>
        <w:footnoteReference w:id="6"/>
      </w:r>
      <w:r w:rsidRPr="003726BE">
        <w:rPr>
          <w:highlight w:val="yellow"/>
        </w:rPr>
        <w:t xml:space="preserve"> e i progressi verso gli obiettivi, come nel caso della RAA standard. L'AG assicurerà inoltre che le informazioni relative al monitoraggio e gli altri dati disponibili saranno utilizzati come contributi alla valutazione. </w:t>
      </w:r>
    </w:p>
    <w:p w14:paraId="0F4D3BBD" w14:textId="77777777" w:rsidR="00F3350F" w:rsidRPr="003726BE" w:rsidRDefault="00400399" w:rsidP="000A34BC">
      <w:pPr>
        <w:pStyle w:val="Hlistbullet"/>
        <w:rPr>
          <w:highlight w:val="yellow"/>
        </w:rPr>
      </w:pPr>
      <w:r w:rsidRPr="003726BE">
        <w:rPr>
          <w:b/>
          <w:highlight w:val="yellow"/>
        </w:rPr>
        <w:t>Valutazione:</w:t>
      </w:r>
      <w:r w:rsidRPr="003726BE">
        <w:rPr>
          <w:highlight w:val="yellow"/>
        </w:rPr>
        <w:t xml:space="preserve"> nella RAA 2017 l'autorità di gestione comunicherà informazioni derivanti dal lavoro del valutatore, vale a dire in merito alla valutazione dei risultati del programma attraverso la quantificazione di indicatori di risultato comuni, aggiuntivi e specifici per programma, nonché derivanti dalle risposte fornite alle domande di valutazione. </w:t>
      </w:r>
    </w:p>
    <w:p w14:paraId="20F98912" w14:textId="77777777" w:rsidR="00EC5954" w:rsidRPr="003726BE" w:rsidRDefault="00686A26" w:rsidP="008C0710">
      <w:pPr>
        <w:pStyle w:val="HHeading5"/>
        <w:rPr>
          <w:highlight w:val="yellow"/>
        </w:rPr>
      </w:pPr>
      <w:r w:rsidRPr="003726BE">
        <w:rPr>
          <w:highlight w:val="yellow"/>
        </w:rPr>
        <w:t xml:space="preserve">Chi è coinvolto? </w:t>
      </w:r>
    </w:p>
    <w:p w14:paraId="200C2EFD" w14:textId="77777777" w:rsidR="007F6937" w:rsidRPr="003726BE" w:rsidRDefault="003C18CC" w:rsidP="00673940">
      <w:pPr>
        <w:pStyle w:val="HStandard"/>
        <w:rPr>
          <w:rFonts w:cs="Arial"/>
          <w:highlight w:val="yellow"/>
        </w:rPr>
      </w:pPr>
      <w:r w:rsidRPr="003726BE">
        <w:rPr>
          <w:highlight w:val="yellow"/>
        </w:rPr>
        <w:t>La RAA 2017 deve includere i risultati derivanti dalle valutazioni del PSR</w:t>
      </w:r>
      <w:r w:rsidRPr="003726BE">
        <w:rPr>
          <w:rStyle w:val="FootnoteReference"/>
          <w:highlight w:val="yellow"/>
        </w:rPr>
        <w:footnoteReference w:id="7"/>
      </w:r>
      <w:r w:rsidRPr="003726BE">
        <w:rPr>
          <w:highlight w:val="yellow"/>
        </w:rPr>
        <w:t xml:space="preserve"> realizzate da esperti interni o esterni, funzionalmente indipendenti dall'autorità di gestione</w:t>
      </w:r>
      <w:r w:rsidRPr="003726BE">
        <w:rPr>
          <w:rStyle w:val="FootnoteReference"/>
          <w:highlight w:val="yellow"/>
        </w:rPr>
        <w:footnoteReference w:id="8"/>
      </w:r>
      <w:r w:rsidRPr="003726BE">
        <w:rPr>
          <w:highlight w:val="yellow"/>
        </w:rPr>
        <w:t xml:space="preserve">. La rendicontazione </w:t>
      </w:r>
      <w:r w:rsidR="0080686B">
        <w:rPr>
          <w:highlight w:val="yellow"/>
        </w:rPr>
        <w:t>stessa</w:t>
      </w:r>
      <w:r w:rsidRPr="003726BE">
        <w:rPr>
          <w:highlight w:val="yellow"/>
        </w:rPr>
        <w:t>, ossia la sintesi dei risultati e delle raccomandazioni principali, dovrebbe essere realizzata dall'AG, nella sua veste di "</w:t>
      </w:r>
      <w:r w:rsidR="0080686B">
        <w:rPr>
          <w:highlight w:val="yellow"/>
        </w:rPr>
        <w:t>titolare</w:t>
      </w:r>
      <w:r w:rsidRPr="003726BE">
        <w:rPr>
          <w:highlight w:val="yellow"/>
        </w:rPr>
        <w:t xml:space="preserve">" della RAA. </w:t>
      </w:r>
    </w:p>
    <w:p w14:paraId="0E736346" w14:textId="77777777" w:rsidR="00686A26" w:rsidRPr="003726BE" w:rsidRDefault="00686A26" w:rsidP="00686A26">
      <w:pPr>
        <w:pStyle w:val="HHeading5"/>
        <w:rPr>
          <w:highlight w:val="yellow"/>
        </w:rPr>
      </w:pPr>
      <w:r w:rsidRPr="003726BE">
        <w:rPr>
          <w:highlight w:val="yellow"/>
        </w:rPr>
        <w:t>Cosa deve essere comunicato nella valutazione per la RAA 2017?</w:t>
      </w:r>
    </w:p>
    <w:p w14:paraId="7BB43337" w14:textId="77777777" w:rsidR="007F6937" w:rsidRPr="003726BE" w:rsidRDefault="007F6937" w:rsidP="00673940">
      <w:pPr>
        <w:pStyle w:val="HStandard"/>
        <w:rPr>
          <w:rFonts w:cs="Arial"/>
          <w:highlight w:val="yellow"/>
        </w:rPr>
      </w:pPr>
      <w:r w:rsidRPr="003726BE">
        <w:rPr>
          <w:highlight w:val="yellow"/>
        </w:rPr>
        <w:t xml:space="preserve">La </w:t>
      </w:r>
      <w:r w:rsidRPr="003726BE">
        <w:rPr>
          <w:b/>
          <w:highlight w:val="yellow"/>
        </w:rPr>
        <w:t xml:space="preserve">valutazione in merito alla quale si deve effettuare la comunicazione nel 2017 deve essere incentrata principalmente </w:t>
      </w:r>
      <w:r w:rsidRPr="003726BE">
        <w:rPr>
          <w:highlight w:val="yellow"/>
        </w:rPr>
        <w:t>sui risultati realizzati fino a quel momento. A questo proposito, la RAA 2017 dovrebbe includere le seguenti informazioni derivanti dalle attività di valutazione:</w:t>
      </w:r>
    </w:p>
    <w:p w14:paraId="4B1DCD6D" w14:textId="77777777" w:rsidR="00CA566E" w:rsidRPr="003726BE" w:rsidRDefault="007F6937" w:rsidP="00673940">
      <w:pPr>
        <w:pStyle w:val="Hlistbullet"/>
        <w:ind w:left="426" w:hanging="426"/>
        <w:rPr>
          <w:rFonts w:cs="Arial"/>
          <w:highlight w:val="yellow"/>
        </w:rPr>
      </w:pPr>
      <w:r w:rsidRPr="003726BE">
        <w:rPr>
          <w:highlight w:val="yellow"/>
        </w:rPr>
        <w:t>sintesi della valutazione attraverso la quantificazione e la valutazione dei risultati del programma individuati tramite indicatori di risultato (ivi compresi indicatori di risultato complementari</w:t>
      </w:r>
      <w:r w:rsidRPr="003726BE">
        <w:rPr>
          <w:rStyle w:val="FootnoteReference"/>
          <w:highlight w:val="yellow"/>
        </w:rPr>
        <w:footnoteReference w:id="9"/>
      </w:r>
      <w:r w:rsidRPr="003726BE">
        <w:rPr>
          <w:highlight w:val="yellow"/>
        </w:rPr>
        <w:t>, indicatori specifici per programma e indicatori aggiuntivi). La quantificazione e la valutazione degli indicatori saranno basate su contributi primari e secondari delle operazioni del PSR, tra cui quelli attuati tramite LEADER/CLLD</w:t>
      </w:r>
      <w:r w:rsidRPr="003726BE">
        <w:rPr>
          <w:rStyle w:val="FootnoteReference"/>
          <w:highlight w:val="yellow"/>
        </w:rPr>
        <w:footnoteReference w:id="10"/>
      </w:r>
      <w:r w:rsidRPr="003726BE">
        <w:rPr>
          <w:highlight w:val="yellow"/>
        </w:rPr>
        <w:t>. I valori di indicatori di risultato dovrebbero essere correlati a operazioni completate. Qualora non vi siano operazioni completate, potrebbe essere necessario, a seconda della fase di attuazione, valutare selezionate operazioni in corso;</w:t>
      </w:r>
    </w:p>
    <w:p w14:paraId="515E9F98" w14:textId="77777777" w:rsidR="00862344" w:rsidRPr="003726BE" w:rsidRDefault="00862344" w:rsidP="00862344">
      <w:pPr>
        <w:pStyle w:val="Hlistbullet"/>
        <w:ind w:left="426" w:hanging="426"/>
        <w:rPr>
          <w:rFonts w:cs="Arial"/>
          <w:highlight w:val="yellow"/>
        </w:rPr>
      </w:pPr>
      <w:r w:rsidRPr="003726BE">
        <w:rPr>
          <w:highlight w:val="yellow"/>
        </w:rPr>
        <w:t xml:space="preserve">validazione dei valori degli indicatori di obiettivo, che sono stati istituiti al momento della progettazione del programma; </w:t>
      </w:r>
    </w:p>
    <w:p w14:paraId="361D719F" w14:textId="77777777" w:rsidR="00D420BD" w:rsidRPr="003726BE" w:rsidRDefault="007F6937" w:rsidP="009903D0">
      <w:pPr>
        <w:pStyle w:val="Hlistbullet"/>
        <w:ind w:left="426" w:hanging="426"/>
        <w:rPr>
          <w:rFonts w:cs="Arial"/>
          <w:highlight w:val="yellow"/>
        </w:rPr>
      </w:pPr>
      <w:r w:rsidRPr="003726BE">
        <w:rPr>
          <w:highlight w:val="yellow"/>
        </w:rPr>
        <w:t>risposta alle domande di valutazione</w:t>
      </w:r>
      <w:r w:rsidRPr="003726BE">
        <w:rPr>
          <w:rStyle w:val="FootnoteReference"/>
          <w:highlight w:val="yellow"/>
        </w:rPr>
        <w:footnoteReference w:id="11"/>
      </w:r>
      <w:r w:rsidRPr="003726BE">
        <w:rPr>
          <w:highlight w:val="yellow"/>
        </w:rPr>
        <w:t xml:space="preserve"> pertinenti (relative agli aspetti specifici e relative ad altri aspetti del PSR) sulla base della valutazione degli indicatori menzionati in precedenza.</w:t>
      </w:r>
    </w:p>
    <w:p w14:paraId="229CADB7" w14:textId="77777777" w:rsidR="003726BE" w:rsidRDefault="003726BE" w:rsidP="00E1240A">
      <w:pPr>
        <w:pStyle w:val="HHeading5"/>
        <w:rPr>
          <w:highlight w:val="yellow"/>
        </w:rPr>
      </w:pPr>
    </w:p>
    <w:p w14:paraId="6FC10DDC" w14:textId="77777777" w:rsidR="00E1240A" w:rsidRPr="003726BE" w:rsidRDefault="00E1240A" w:rsidP="00E1240A">
      <w:pPr>
        <w:pStyle w:val="HHeading5"/>
        <w:rPr>
          <w:rFonts w:cs="Arial"/>
          <w:highlight w:val="yellow"/>
        </w:rPr>
      </w:pPr>
      <w:r w:rsidRPr="003726BE">
        <w:rPr>
          <w:highlight w:val="yellow"/>
        </w:rPr>
        <w:lastRenderedPageBreak/>
        <w:t xml:space="preserve">Pratiche raccomandate: </w:t>
      </w:r>
    </w:p>
    <w:p w14:paraId="5C3D9C98" w14:textId="77777777" w:rsidR="00E1240A" w:rsidRPr="003726BE" w:rsidRDefault="00E1240A" w:rsidP="00E1240A">
      <w:pPr>
        <w:pStyle w:val="Hlistbullet"/>
        <w:rPr>
          <w:rFonts w:cs="Arial"/>
          <w:highlight w:val="yellow"/>
        </w:rPr>
      </w:pPr>
      <w:r w:rsidRPr="003726BE">
        <w:rPr>
          <w:highlight w:val="yellow"/>
        </w:rPr>
        <w:t xml:space="preserve">anche </w:t>
      </w:r>
      <w:r w:rsidR="00CB34A3">
        <w:rPr>
          <w:highlight w:val="yellow"/>
        </w:rPr>
        <w:t xml:space="preserve">le </w:t>
      </w:r>
      <w:r w:rsidRPr="003726BE">
        <w:rPr>
          <w:highlight w:val="yellow"/>
        </w:rPr>
        <w:t xml:space="preserve">diverse forme di sostegno (strumenti finanziari) applicate nell'attuazione delle misure del PSR possono influenzare i risultati del programma e i valori netti degli indicatori di risultato. Di conseguenza, il </w:t>
      </w:r>
      <w:r w:rsidRPr="003726BE">
        <w:rPr>
          <w:b/>
          <w:highlight w:val="yellow"/>
        </w:rPr>
        <w:t>confronto degli effetti dei vari strumenti finanziari</w:t>
      </w:r>
      <w:r w:rsidRPr="003726BE">
        <w:rPr>
          <w:highlight w:val="yellow"/>
        </w:rPr>
        <w:t xml:space="preserve"> (nei casi in cui vengono applicati) può essere parte della valutazione; </w:t>
      </w:r>
    </w:p>
    <w:p w14:paraId="42AD4DCF" w14:textId="77777777" w:rsidR="00E1240A" w:rsidRPr="003726BE" w:rsidRDefault="00E1240A" w:rsidP="00E1240A">
      <w:pPr>
        <w:pStyle w:val="Hlistbullet"/>
        <w:rPr>
          <w:highlight w:val="yellow"/>
        </w:rPr>
      </w:pPr>
      <w:r w:rsidRPr="003726BE">
        <w:rPr>
          <w:highlight w:val="yellow"/>
        </w:rPr>
        <w:t xml:space="preserve">la </w:t>
      </w:r>
      <w:r w:rsidRPr="003726BE">
        <w:rPr>
          <w:b/>
          <w:highlight w:val="yellow"/>
        </w:rPr>
        <w:t xml:space="preserve">valutazione dei meccanismi di attuazione </w:t>
      </w:r>
      <w:r w:rsidRPr="003726BE">
        <w:rPr>
          <w:highlight w:val="yellow"/>
        </w:rPr>
        <w:t>(</w:t>
      </w:r>
      <w:r w:rsidR="000B31E0">
        <w:rPr>
          <w:highlight w:val="yellow"/>
        </w:rPr>
        <w:t>qual</w:t>
      </w:r>
      <w:r w:rsidRPr="003726BE">
        <w:rPr>
          <w:highlight w:val="yellow"/>
        </w:rPr>
        <w:t>e parte della valutazione dell'efficacia dell'esecuzione del programma) è considerata una buona pratica. I meccanismi di attuazione, vale a dire l'insieme di processi e procedure che assicurino la trasformazione degli obiettivi delle politiche in azioni concrete</w:t>
      </w:r>
      <w:r w:rsidRPr="003726BE">
        <w:rPr>
          <w:rStyle w:val="FootnoteReference"/>
          <w:highlight w:val="yellow"/>
        </w:rPr>
        <w:footnoteReference w:id="12"/>
      </w:r>
      <w:r w:rsidRPr="003726BE">
        <w:rPr>
          <w:highlight w:val="yellow"/>
        </w:rPr>
        <w:t xml:space="preserve">, sono considerati </w:t>
      </w:r>
      <w:r w:rsidR="0080686B">
        <w:rPr>
          <w:highlight w:val="yellow"/>
        </w:rPr>
        <w:t xml:space="preserve">come </w:t>
      </w:r>
      <w:r w:rsidRPr="003726BE">
        <w:rPr>
          <w:highlight w:val="yellow"/>
        </w:rPr>
        <w:t>uno dei fattori che influenzano l'efficacia dell'esecuzione del programma e delle misure adottate</w:t>
      </w:r>
      <w:r w:rsidRPr="003726BE">
        <w:rPr>
          <w:rStyle w:val="FootnoteReference"/>
          <w:highlight w:val="yellow"/>
        </w:rPr>
        <w:footnoteReference w:id="13"/>
      </w:r>
      <w:r w:rsidRPr="003726BE">
        <w:rPr>
          <w:highlight w:val="yellow"/>
        </w:rPr>
        <w:t>. Tra le questioni da analizzare in relazione al meccanismo di attuazione del PSR e alla sua efficacia ed efficienza, si annoverano:</w:t>
      </w:r>
    </w:p>
    <w:p w14:paraId="0D8EC8D5" w14:textId="77777777" w:rsidR="00E1240A" w:rsidRPr="003726BE" w:rsidRDefault="00E1240A" w:rsidP="006506FD">
      <w:pPr>
        <w:pStyle w:val="Hlistbullet2"/>
        <w:rPr>
          <w:highlight w:val="yellow"/>
        </w:rPr>
      </w:pPr>
      <w:r w:rsidRPr="003726BE">
        <w:rPr>
          <w:highlight w:val="yellow"/>
        </w:rPr>
        <w:t>focalizzazione del sostegno del FEASR a favore di gruppi selezionati di beneficiari;</w:t>
      </w:r>
    </w:p>
    <w:p w14:paraId="39BB438F" w14:textId="77777777" w:rsidR="00E1240A" w:rsidRPr="003726BE" w:rsidRDefault="00E1240A" w:rsidP="006506FD">
      <w:pPr>
        <w:pStyle w:val="Hlistbullet2"/>
        <w:rPr>
          <w:highlight w:val="yellow"/>
        </w:rPr>
      </w:pPr>
      <w:r w:rsidRPr="003726BE">
        <w:rPr>
          <w:highlight w:val="yellow"/>
        </w:rPr>
        <w:t>selezione dei tipi di sostegno (strumenti finanziari, opzioni semplificate in materia di costi) per quanto riguarda le misure;</w:t>
      </w:r>
    </w:p>
    <w:p w14:paraId="601B96EB" w14:textId="77777777" w:rsidR="00E1240A" w:rsidRPr="003726BE" w:rsidRDefault="00E1240A" w:rsidP="006506FD">
      <w:pPr>
        <w:pStyle w:val="Hlistbullet2"/>
        <w:rPr>
          <w:highlight w:val="yellow"/>
        </w:rPr>
      </w:pPr>
      <w:r w:rsidRPr="003726BE">
        <w:rPr>
          <w:highlight w:val="yellow"/>
        </w:rPr>
        <w:t xml:space="preserve">diffusione di informazioni in merito al sostegno del FEASR ai beneficiari; </w:t>
      </w:r>
    </w:p>
    <w:p w14:paraId="1D79AAA3" w14:textId="77777777" w:rsidR="00E1240A" w:rsidRPr="003726BE" w:rsidRDefault="00E1240A" w:rsidP="006506FD">
      <w:pPr>
        <w:pStyle w:val="Hlistbullet2"/>
        <w:rPr>
          <w:highlight w:val="yellow"/>
        </w:rPr>
      </w:pPr>
      <w:r w:rsidRPr="003726BE">
        <w:rPr>
          <w:highlight w:val="yellow"/>
        </w:rPr>
        <w:t>procedure di presentazione delle domande, selezione, stipula di contratti e pagamento;</w:t>
      </w:r>
    </w:p>
    <w:p w14:paraId="5F93ECF4" w14:textId="77777777" w:rsidR="00E1240A" w:rsidRPr="003726BE" w:rsidRDefault="00E1240A" w:rsidP="006506FD">
      <w:pPr>
        <w:pStyle w:val="Hlistbullet2"/>
        <w:rPr>
          <w:highlight w:val="yellow"/>
        </w:rPr>
      </w:pPr>
      <w:r w:rsidRPr="003726BE">
        <w:rPr>
          <w:highlight w:val="yellow"/>
        </w:rPr>
        <w:t>meccanismi di monitoraggio e riscontro da parte dei beneficiari sulla presentazione di domande per misure selezionate, ecc.</w:t>
      </w:r>
    </w:p>
    <w:p w14:paraId="48F64041" w14:textId="77777777" w:rsidR="00686A26" w:rsidRPr="003726BE" w:rsidRDefault="00686A26" w:rsidP="008C0710">
      <w:pPr>
        <w:pStyle w:val="HHeading5"/>
        <w:rPr>
          <w:b w:val="0"/>
          <w:highlight w:val="yellow"/>
        </w:rPr>
      </w:pPr>
      <w:r w:rsidRPr="003726BE">
        <w:rPr>
          <w:highlight w:val="yellow"/>
        </w:rPr>
        <w:t>Qual è il periodo di riferimento per la RAA 2017?</w:t>
      </w:r>
    </w:p>
    <w:p w14:paraId="2A0BE1DE" w14:textId="77777777" w:rsidR="000248FD" w:rsidRPr="003726BE" w:rsidRDefault="00686A26" w:rsidP="008C0710">
      <w:pPr>
        <w:pStyle w:val="HStandard"/>
        <w:rPr>
          <w:rFonts w:cs="Arial"/>
          <w:highlight w:val="yellow"/>
        </w:rPr>
      </w:pPr>
      <w:r w:rsidRPr="003726BE">
        <w:rPr>
          <w:highlight w:val="yellow"/>
        </w:rPr>
        <w:t>Le informazioni in merito alle quali si deve relazionare nel 2017 devono coprire gli anni dal 2014 al 2016. La compilazione della relazione e dei compiti di valutazione (qui di seguito: valutazione nel 2017) avrà luogo nella prima metà del 2017.</w:t>
      </w:r>
    </w:p>
    <w:p w14:paraId="24E4DCD7" w14:textId="77777777" w:rsidR="004C139D" w:rsidRPr="003726BE" w:rsidRDefault="004C139D" w:rsidP="000A34BC">
      <w:pPr>
        <w:pStyle w:val="HStandard"/>
        <w:rPr>
          <w:highlight w:val="yellow"/>
        </w:rPr>
      </w:pPr>
      <w:r w:rsidRPr="003726BE">
        <w:rPr>
          <w:highlight w:val="yellow"/>
        </w:rPr>
        <w:t xml:space="preserve">Le disposizioni transitorie rendono labile la linea di demarcazione tra i due quadri strategici (2007-2013 e 2014-2020), offrendo la possibilità di </w:t>
      </w:r>
      <w:r w:rsidR="0080686B">
        <w:rPr>
          <w:highlight w:val="yellow"/>
        </w:rPr>
        <w:t>esegui</w:t>
      </w:r>
      <w:r w:rsidRPr="003726BE">
        <w:rPr>
          <w:highlight w:val="yellow"/>
        </w:rPr>
        <w:t>re il bilancio 2014-2020 secondo le norme della politica 2007-2013 ("nuovo bilancio/vecchie norme"). Di conseguenza, si deve tenere tutto questo in debito conto nella valutazione dei risultati da comunicare nel contesto della RAA 2017 e, di conseguenza, nelle risposte al questionario valutativo.</w:t>
      </w:r>
    </w:p>
    <w:p w14:paraId="7AF8D9C0" w14:textId="77777777" w:rsidR="004C139D" w:rsidRPr="003726BE" w:rsidRDefault="004C139D" w:rsidP="000A34BC">
      <w:pPr>
        <w:pStyle w:val="HStandard"/>
        <w:rPr>
          <w:color w:val="212121"/>
          <w:highlight w:val="yellow"/>
        </w:rPr>
      </w:pPr>
      <w:r w:rsidRPr="003726BE">
        <w:rPr>
          <w:highlight w:val="yellow"/>
        </w:rPr>
        <w:t>Per la RAA 2017, è quindi necessario mostrare separatamente i risultati conseguiti con la parte del bilancio 2014-2020 eseguito secondo le norme 2007-2013 e i risultati conseguiti, invece, con il nuovo bilancio 2014-2020 eseguito secondo i programmi/la politica 2014-2020; in entrambi i casi la valutazione dei risultati deve avvenire utilizzando l'approccio concettuale per il periodo 2014-2020. Ciò consente di ottimizzare la comprensione del quadro strategico 2014-2020, fornendo al contempo un quadro globale dei risultati/delle realizzazioni della politica in relazione alle spese del quadro finanziario pluriennale per il periodo 2014-2020.</w:t>
      </w:r>
    </w:p>
    <w:p w14:paraId="37C69D0D" w14:textId="77777777" w:rsidR="000248FD" w:rsidRPr="003726BE" w:rsidRDefault="000248FD" w:rsidP="00E1240A">
      <w:pPr>
        <w:pStyle w:val="HHeading5"/>
        <w:rPr>
          <w:highlight w:val="yellow"/>
        </w:rPr>
      </w:pPr>
      <w:r w:rsidRPr="003726BE">
        <w:rPr>
          <w:highlight w:val="yellow"/>
        </w:rPr>
        <w:t>Come devono predisporre le relazioni sulla valutazione nel 2017 gli Stati membri?</w:t>
      </w:r>
    </w:p>
    <w:p w14:paraId="5983D0C4" w14:textId="77777777" w:rsidR="0091798A" w:rsidRPr="003726BE" w:rsidRDefault="000248FD" w:rsidP="00673940">
      <w:pPr>
        <w:pStyle w:val="HStandard"/>
        <w:rPr>
          <w:rFonts w:cs="Arial"/>
          <w:highlight w:val="yellow"/>
        </w:rPr>
      </w:pPr>
      <w:r w:rsidRPr="003726BE">
        <w:rPr>
          <w:highlight w:val="yellow"/>
        </w:rPr>
        <w:t>L'attività di comunicazione sulla valutazione realizzata nella RAA 2017 avverrà utilizzando il modello SFC RAA (punto 7), che sarà costituito da tabelle predisposte separatamente, relative a:</w:t>
      </w:r>
    </w:p>
    <w:p w14:paraId="30ECCF43" w14:textId="77777777" w:rsidR="0091798A" w:rsidRPr="003726BE" w:rsidRDefault="000248FD" w:rsidP="000172A2">
      <w:pPr>
        <w:pStyle w:val="Hlistabc"/>
        <w:rPr>
          <w:highlight w:val="yellow"/>
        </w:rPr>
      </w:pPr>
      <w:r w:rsidRPr="003726BE">
        <w:rPr>
          <w:highlight w:val="yellow"/>
        </w:rPr>
        <w:t xml:space="preserve">ogni domanda relativa alla valutazione degli aspetti specifici del questionario valutativo comune (QVC) - domande numero 1-18; </w:t>
      </w:r>
    </w:p>
    <w:p w14:paraId="07D811F0" w14:textId="77777777" w:rsidR="00A82135" w:rsidRPr="003726BE" w:rsidRDefault="0091798A" w:rsidP="000172A2">
      <w:pPr>
        <w:pStyle w:val="Hlistabc"/>
        <w:rPr>
          <w:highlight w:val="yellow"/>
        </w:rPr>
      </w:pPr>
      <w:r w:rsidRPr="003726BE">
        <w:rPr>
          <w:highlight w:val="yellow"/>
        </w:rPr>
        <w:t xml:space="preserve">domande del QVC relative alla valutazione di altri aspetti del PSR: </w:t>
      </w:r>
    </w:p>
    <w:p w14:paraId="0734DA70" w14:textId="77777777" w:rsidR="0091798A" w:rsidRPr="003726BE" w:rsidRDefault="00A82135" w:rsidP="001A31FB">
      <w:pPr>
        <w:pStyle w:val="Hlistline3"/>
        <w:numPr>
          <w:ilvl w:val="0"/>
          <w:numId w:val="32"/>
        </w:numPr>
        <w:rPr>
          <w:highlight w:val="yellow"/>
        </w:rPr>
      </w:pPr>
      <w:r w:rsidRPr="003726BE">
        <w:rPr>
          <w:highlight w:val="yellow"/>
        </w:rPr>
        <w:t xml:space="preserve">assistenza tecnica e RRN, domande del questionario valutativo comune numero 20 e 21; </w:t>
      </w:r>
    </w:p>
    <w:p w14:paraId="11ACC1A6" w14:textId="77777777" w:rsidR="00A82135" w:rsidRPr="003726BE" w:rsidRDefault="00B7655F" w:rsidP="001A31FB">
      <w:pPr>
        <w:pStyle w:val="Hlistline3"/>
        <w:numPr>
          <w:ilvl w:val="0"/>
          <w:numId w:val="32"/>
        </w:numPr>
        <w:rPr>
          <w:highlight w:val="yellow"/>
        </w:rPr>
      </w:pPr>
      <w:r w:rsidRPr="003726BE">
        <w:rPr>
          <w:highlight w:val="yellow"/>
        </w:rPr>
        <w:t>sinergie del programma, domanda del questionario valutativo comune numero 19;</w:t>
      </w:r>
    </w:p>
    <w:p w14:paraId="2B8DB14E" w14:textId="77777777" w:rsidR="00A82135" w:rsidRPr="003726BE" w:rsidRDefault="000248FD" w:rsidP="000172A2">
      <w:pPr>
        <w:pStyle w:val="Hlistabc"/>
        <w:rPr>
          <w:highlight w:val="yellow"/>
        </w:rPr>
      </w:pPr>
      <w:r w:rsidRPr="003726BE">
        <w:rPr>
          <w:highlight w:val="yellow"/>
        </w:rPr>
        <w:lastRenderedPageBreak/>
        <w:t>domande di valutazione specifiche del programma (DVSP), legate alla valutazione di:</w:t>
      </w:r>
    </w:p>
    <w:p w14:paraId="75D7D96B" w14:textId="77777777" w:rsidR="00BC050C" w:rsidRPr="003726BE" w:rsidRDefault="00A82135" w:rsidP="001A31FB">
      <w:pPr>
        <w:pStyle w:val="Hlistline3"/>
        <w:numPr>
          <w:ilvl w:val="0"/>
          <w:numId w:val="33"/>
        </w:numPr>
        <w:rPr>
          <w:highlight w:val="yellow"/>
        </w:rPr>
      </w:pPr>
      <w:r w:rsidRPr="003726BE">
        <w:rPr>
          <w:highlight w:val="yellow"/>
        </w:rPr>
        <w:t>aspetti specifici per il programma (da moltiplicare a seconda del numero di aspetti specifici inclusi nel PSR);</w:t>
      </w:r>
    </w:p>
    <w:p w14:paraId="74BCE723" w14:textId="77777777" w:rsidR="000248FD" w:rsidRPr="003726BE" w:rsidRDefault="00BC050C" w:rsidP="001A31FB">
      <w:pPr>
        <w:pStyle w:val="Hlistline3"/>
        <w:numPr>
          <w:ilvl w:val="0"/>
          <w:numId w:val="33"/>
        </w:numPr>
        <w:spacing w:after="120"/>
        <w:rPr>
          <w:highlight w:val="yellow"/>
        </w:rPr>
      </w:pPr>
      <w:r w:rsidRPr="003726BE">
        <w:rPr>
          <w:highlight w:val="yellow"/>
        </w:rPr>
        <w:t>temi specifici del PSR (ad esempio, la valutazione d</w:t>
      </w:r>
      <w:r w:rsidR="00E7404C">
        <w:rPr>
          <w:highlight w:val="yellow"/>
        </w:rPr>
        <w:t>el meccanismo di attuazione).</w:t>
      </w:r>
    </w:p>
    <w:p w14:paraId="0DFC20EE" w14:textId="77777777" w:rsidR="00436DCF" w:rsidRPr="003726BE" w:rsidRDefault="00BC050C" w:rsidP="00673940">
      <w:pPr>
        <w:pStyle w:val="HStandard"/>
        <w:rPr>
          <w:rFonts w:cs="Arial"/>
          <w:highlight w:val="yellow"/>
        </w:rPr>
      </w:pPr>
      <w:r w:rsidRPr="003726BE">
        <w:rPr>
          <w:highlight w:val="yellow"/>
        </w:rPr>
        <w:t xml:space="preserve">Le informazioni raccolte tramite le tabelle contenute nel modello SFC relativo al punto 7 riassumono aspetti chiave importanti per l'UE e gli Stati membri. Tuttavia, queste informazioni sulla valutazione presentate attraverso il modello SFC di cui al punto 7 non includono la relazione di valutazione completa degli Stati membri, la quale, diversamente dall'ultimo periodo di programmazione, non viene più presentata alla Commissione europea. </w:t>
      </w:r>
    </w:p>
    <w:p w14:paraId="1C87FDA4" w14:textId="77777777" w:rsidR="004427DD" w:rsidRPr="003726BE" w:rsidRDefault="004427DD" w:rsidP="00AA71F1">
      <w:pPr>
        <w:pStyle w:val="HStandard"/>
        <w:rPr>
          <w:rFonts w:cs="Arial"/>
          <w:highlight w:val="yellow"/>
        </w:rPr>
      </w:pPr>
      <w:r w:rsidRPr="003726BE">
        <w:rPr>
          <w:highlight w:val="yellow"/>
        </w:rPr>
        <w:t>Il modello contiene</w:t>
      </w:r>
      <w:r w:rsidR="00E7404C">
        <w:rPr>
          <w:highlight w:val="yellow"/>
        </w:rPr>
        <w:t xml:space="preserve"> le parti obbligatorie, ossia: </w:t>
      </w:r>
    </w:p>
    <w:p w14:paraId="281A3261" w14:textId="77777777" w:rsidR="00557A9F" w:rsidRPr="003726BE" w:rsidRDefault="00F3350F" w:rsidP="00AA71F1">
      <w:pPr>
        <w:pStyle w:val="Hlistbullet"/>
        <w:ind w:left="426" w:hanging="426"/>
        <w:rPr>
          <w:rFonts w:cs="Arial"/>
          <w:highlight w:val="yellow"/>
        </w:rPr>
      </w:pPr>
      <w:r w:rsidRPr="003726BE">
        <w:rPr>
          <w:b/>
          <w:highlight w:val="yellow"/>
        </w:rPr>
        <w:t xml:space="preserve">titolo della domanda di valutazione </w:t>
      </w:r>
      <w:r w:rsidRPr="003726BE">
        <w:rPr>
          <w:highlight w:val="yellow"/>
        </w:rPr>
        <w:t>(voce applicabile a tutti i tipi di domande di valutazione);</w:t>
      </w:r>
    </w:p>
    <w:p w14:paraId="100B76C0" w14:textId="77777777" w:rsidR="006C00E6" w:rsidRPr="003726BE" w:rsidRDefault="006C00E6" w:rsidP="00AA71F1">
      <w:pPr>
        <w:pStyle w:val="Hlistbullet"/>
        <w:ind w:left="426" w:hanging="426"/>
        <w:rPr>
          <w:rFonts w:cs="Arial"/>
          <w:highlight w:val="yellow"/>
        </w:rPr>
      </w:pPr>
      <w:r w:rsidRPr="003726BE">
        <w:rPr>
          <w:b/>
          <w:highlight w:val="yellow"/>
        </w:rPr>
        <w:t>logica</w:t>
      </w:r>
      <w:r w:rsidRPr="003726BE">
        <w:rPr>
          <w:highlight w:val="yellow"/>
        </w:rPr>
        <w:t xml:space="preserve"> che spiega il motivo per cui la domanda di valutazione specifica del programma è stata impiegata nella valutazione del PSR (voce applicabile alle domande di valutazione di cui alla lettera c) punto i) e punto ii));</w:t>
      </w:r>
    </w:p>
    <w:p w14:paraId="22D7707B" w14:textId="77777777" w:rsidR="00B5331E" w:rsidRPr="003726BE" w:rsidRDefault="00EB4871" w:rsidP="00AA71F1">
      <w:pPr>
        <w:pStyle w:val="Hlistbullet"/>
        <w:ind w:left="426" w:hanging="426"/>
        <w:rPr>
          <w:rFonts w:cs="Arial"/>
          <w:highlight w:val="yellow"/>
        </w:rPr>
      </w:pPr>
      <w:r w:rsidRPr="003726BE">
        <w:rPr>
          <w:b/>
          <w:highlight w:val="yellow"/>
        </w:rPr>
        <w:t>elenco delle misure che contribuiscono all'aspetto specifico (FA)</w:t>
      </w:r>
      <w:r w:rsidRPr="003726BE">
        <w:rPr>
          <w:highlight w:val="yellow"/>
        </w:rPr>
        <w:t xml:space="preserve"> al quale è collegata la domanda di valutazione.</w:t>
      </w:r>
      <w:r w:rsidRPr="003726BE">
        <w:rPr>
          <w:b/>
          <w:highlight w:val="yellow"/>
        </w:rPr>
        <w:t xml:space="preserve"> </w:t>
      </w:r>
      <w:r w:rsidRPr="003726BE">
        <w:rPr>
          <w:highlight w:val="yellow"/>
        </w:rPr>
        <w:t>Misure/sottomisure programmate in via primaria e misure/sottomisure programmate ai sensi di un altro aspetto specifico, ma che mostrano un contributo secondario all'aspetto specifico in questione (voce applicabile alle domande di valutazione di cui alla lettera a) e alla lettera c), punto i));</w:t>
      </w:r>
    </w:p>
    <w:p w14:paraId="3E02D229" w14:textId="77777777" w:rsidR="000A34BC" w:rsidRPr="003726BE" w:rsidRDefault="00B5331E" w:rsidP="00AA71F1">
      <w:pPr>
        <w:pStyle w:val="Hlistbullet"/>
        <w:ind w:left="426" w:hanging="426"/>
        <w:rPr>
          <w:rFonts w:cs="Arial"/>
          <w:highlight w:val="yellow"/>
        </w:rPr>
      </w:pPr>
      <w:r w:rsidRPr="003726BE">
        <w:rPr>
          <w:b/>
          <w:highlight w:val="yellow"/>
        </w:rPr>
        <w:t xml:space="preserve">nessi tra i criteri di giudizio e gli indicatori utilizzati per rispondere alla domanda di valutazione </w:t>
      </w:r>
      <w:r w:rsidRPr="003726BE">
        <w:rPr>
          <w:highlight w:val="yellow"/>
        </w:rPr>
        <w:t xml:space="preserve">(voce applicabile alle domande di valutazione di cui alla lettera a), nel qual caso vengono mostrati i legami tra i criteri di giudizio e gli indicatori comuni e aggiuntivi; nonché alle domande di valutazione di cui alla lettera c), punto i), dove vengono mostrati i collegamenti tra i criteri di giudizio e gli indicatori specifici per programma); </w:t>
      </w:r>
    </w:p>
    <w:tbl>
      <w:tblPr>
        <w:tblStyle w:val="TableGrid"/>
        <w:tblW w:w="0" w:type="auto"/>
        <w:jc w:val="center"/>
        <w:tblBorders>
          <w:top w:val="none" w:sz="0" w:space="0" w:color="auto"/>
          <w:left w:val="single" w:sz="4" w:space="0" w:color="F07E31" w:themeColor="background2"/>
          <w:bottom w:val="single" w:sz="4" w:space="0" w:color="F07E31" w:themeColor="background2"/>
          <w:right w:val="single" w:sz="4" w:space="0" w:color="F07E31" w:themeColor="background2"/>
          <w:insideH w:val="single" w:sz="4" w:space="0" w:color="F07E31" w:themeColor="background2"/>
          <w:insideV w:val="single" w:sz="4" w:space="0" w:color="F07E31" w:themeColor="background2"/>
        </w:tblBorders>
        <w:tblLook w:val="04A0" w:firstRow="1" w:lastRow="0" w:firstColumn="1" w:lastColumn="0" w:noHBand="0" w:noVBand="1"/>
      </w:tblPr>
      <w:tblGrid>
        <w:gridCol w:w="7274"/>
      </w:tblGrid>
      <w:tr w:rsidR="00A57152" w:rsidRPr="003726BE" w14:paraId="192CA0F7" w14:textId="77777777" w:rsidTr="00DC1A09">
        <w:trPr>
          <w:jc w:val="center"/>
        </w:trPr>
        <w:tc>
          <w:tcPr>
            <w:tcW w:w="7274" w:type="dxa"/>
          </w:tcPr>
          <w:p w14:paraId="0D454092" w14:textId="77777777" w:rsidR="00A57152" w:rsidRPr="003726BE" w:rsidRDefault="00A57152" w:rsidP="006C54E2">
            <w:pPr>
              <w:pStyle w:val="HBox"/>
              <w:pBdr>
                <w:bottom w:val="none" w:sz="0" w:space="0" w:color="auto"/>
              </w:pBdr>
              <w:shd w:val="clear" w:color="auto" w:fill="auto"/>
              <w:rPr>
                <w:highlight w:val="yellow"/>
              </w:rPr>
            </w:pPr>
            <w:r w:rsidRPr="003726BE">
              <w:rPr>
                <w:highlight w:val="yellow"/>
              </w:rPr>
              <w:t>Indicatori:</w:t>
            </w:r>
          </w:p>
          <w:p w14:paraId="34CAD411" w14:textId="77777777" w:rsidR="00A57152" w:rsidRPr="003726BE" w:rsidRDefault="00A57152" w:rsidP="006C54E2">
            <w:pPr>
              <w:pStyle w:val="HBox"/>
              <w:pBdr>
                <w:bottom w:val="none" w:sz="0" w:space="0" w:color="auto"/>
              </w:pBdr>
              <w:shd w:val="clear" w:color="auto" w:fill="auto"/>
              <w:rPr>
                <w:highlight w:val="yellow"/>
              </w:rPr>
            </w:pPr>
            <w:r w:rsidRPr="003726BE">
              <w:rPr>
                <w:highlight w:val="yellow"/>
              </w:rPr>
              <w:t>gli indicatori comuni del CMES</w:t>
            </w:r>
            <w:r w:rsidRPr="003726BE">
              <w:rPr>
                <w:rStyle w:val="FootnoteReference"/>
                <w:highlight w:val="yellow"/>
              </w:rPr>
              <w:footnoteReference w:id="14"/>
            </w:r>
            <w:r w:rsidRPr="003726BE">
              <w:rPr>
                <w:highlight w:val="yellow"/>
              </w:rPr>
              <w:t>, utilizzati per rispondere alle domande del questionario valutativo comune n. 1-18 riguardano indicatori di risultato/obiettivo comuni e indicatori di risultato complementari. Se pertinente, si possono utilizzare anche indicatori comuni di contesto per rispondere al q</w:t>
            </w:r>
            <w:r w:rsidR="00E7404C">
              <w:rPr>
                <w:highlight w:val="yellow"/>
              </w:rPr>
              <w:t xml:space="preserve">uestionario valutativo comune; </w:t>
            </w:r>
          </w:p>
          <w:p w14:paraId="64365E66" w14:textId="77777777" w:rsidR="00A57152" w:rsidRPr="003726BE" w:rsidRDefault="00A57152" w:rsidP="006C54E2">
            <w:pPr>
              <w:pStyle w:val="HBox"/>
              <w:pBdr>
                <w:bottom w:val="none" w:sz="0" w:space="0" w:color="auto"/>
              </w:pBdr>
              <w:shd w:val="clear" w:color="auto" w:fill="auto"/>
              <w:rPr>
                <w:highlight w:val="yellow"/>
              </w:rPr>
            </w:pPr>
            <w:r w:rsidRPr="003726BE">
              <w:rPr>
                <w:highlight w:val="yellow"/>
              </w:rPr>
              <w:t xml:space="preserve">ulteriori indicatori (sviluppati dagli Stati membri) vengono utilizzati nel caso in cui gli indicatori comuni non siano sufficienti a fornire risposte fondate alle domande del questionario valutativo comune specificate con i criteri di giudizio comunemente definiti. </w:t>
            </w:r>
            <w:r w:rsidR="0080686B">
              <w:rPr>
                <w:highlight w:val="yellow"/>
              </w:rPr>
              <w:t>U</w:t>
            </w:r>
            <w:r w:rsidRPr="003726BE">
              <w:rPr>
                <w:highlight w:val="yellow"/>
              </w:rPr>
              <w:t>lteriori indicatori possono essere sviluppati anche se gli Stati membri impiegano loro propri criteri di giudizio;</w:t>
            </w:r>
          </w:p>
          <w:p w14:paraId="14D0612C" w14:textId="77777777" w:rsidR="00A57152" w:rsidRPr="003726BE" w:rsidRDefault="00A57152" w:rsidP="006C54E2">
            <w:pPr>
              <w:pStyle w:val="HBox"/>
              <w:pBdr>
                <w:bottom w:val="none" w:sz="0" w:space="0" w:color="auto"/>
              </w:pBdr>
              <w:shd w:val="clear" w:color="auto" w:fill="auto"/>
              <w:rPr>
                <w:highlight w:val="yellow"/>
              </w:rPr>
            </w:pPr>
            <w:r w:rsidRPr="003726BE">
              <w:rPr>
                <w:highlight w:val="yellow"/>
              </w:rPr>
              <w:t xml:space="preserve">indicatori specifici per programma (sviluppati dagli Stati membri) sono utilizzati per rispondere alle domande di valutazione specifiche del programma, nei casi in cui non sia possibile utilizzare gli indicatori comuni e aggiuntivi a tale fine. </w:t>
            </w:r>
          </w:p>
        </w:tc>
      </w:tr>
    </w:tbl>
    <w:p w14:paraId="6027DE3F" w14:textId="77777777" w:rsidR="00701D89" w:rsidRPr="003726BE" w:rsidRDefault="000248FD" w:rsidP="00AA71F1">
      <w:pPr>
        <w:pStyle w:val="Hlistbullet"/>
        <w:ind w:left="426" w:hanging="426"/>
        <w:rPr>
          <w:rFonts w:cs="Arial"/>
          <w:highlight w:val="yellow"/>
        </w:rPr>
      </w:pPr>
      <w:r w:rsidRPr="003726BE">
        <w:rPr>
          <w:b/>
          <w:highlight w:val="yellow"/>
        </w:rPr>
        <w:t xml:space="preserve">descrizione dei metodi quantitativi e qualitativi </w:t>
      </w:r>
      <w:r w:rsidRPr="003726BE">
        <w:rPr>
          <w:highlight w:val="yellow"/>
        </w:rPr>
        <w:t>applicati per valutare gli indicatori di risultato, includendo una spiegazione del motivo per cui è stato utilizzato un dato metodo, la descrizione dei vari passaggi, nonché mettendo in evidenza le sfide dell'utilizzo di tale metodo e le soluzioni adottate per vincerle (voce applicabile a tutti i t</w:t>
      </w:r>
      <w:r w:rsidR="00E7404C">
        <w:rPr>
          <w:highlight w:val="yellow"/>
        </w:rPr>
        <w:t>ipi di domande di valutazione);</w:t>
      </w:r>
      <w:r w:rsidRPr="003726BE">
        <w:rPr>
          <w:highlight w:val="yellow"/>
        </w:rPr>
        <w:t xml:space="preserve"> </w:t>
      </w:r>
    </w:p>
    <w:p w14:paraId="748611C4" w14:textId="77777777" w:rsidR="003E000D" w:rsidRPr="003726BE" w:rsidRDefault="003E000D" w:rsidP="00AA71F1">
      <w:pPr>
        <w:pStyle w:val="Hlistbullet"/>
        <w:ind w:left="426" w:hanging="426"/>
        <w:rPr>
          <w:rFonts w:cs="Arial"/>
          <w:highlight w:val="yellow"/>
        </w:rPr>
      </w:pPr>
      <w:r w:rsidRPr="003726BE">
        <w:rPr>
          <w:b/>
          <w:highlight w:val="yellow"/>
        </w:rPr>
        <w:lastRenderedPageBreak/>
        <w:t xml:space="preserve">risultati quantitativi </w:t>
      </w:r>
      <w:r w:rsidRPr="003726BE">
        <w:rPr>
          <w:highlight w:val="yellow"/>
        </w:rPr>
        <w:t xml:space="preserve">per i valori di tutti gli indicatori come esito dell'analisi quantitativa, utilizzati nel rispondere alle domande di valutazione e in relazione alle fonti di dati (voce applicabile alle domande di valutazione di cui alla lettera a), alla lettera b) punto i) e alla lettera c) punto i)); </w:t>
      </w:r>
    </w:p>
    <w:p w14:paraId="56648835" w14:textId="77777777" w:rsidR="0091798A" w:rsidRPr="003726BE" w:rsidRDefault="003A3C4A" w:rsidP="00AA71F1">
      <w:pPr>
        <w:pStyle w:val="Hlistbullet"/>
        <w:ind w:left="426" w:hanging="426"/>
        <w:rPr>
          <w:rFonts w:cs="Arial"/>
          <w:highlight w:val="yellow"/>
        </w:rPr>
      </w:pPr>
      <w:r w:rsidRPr="003726BE">
        <w:rPr>
          <w:b/>
          <w:highlight w:val="yellow"/>
        </w:rPr>
        <w:t>risposte a</w:t>
      </w:r>
      <w:r w:rsidRPr="003726BE">
        <w:rPr>
          <w:highlight w:val="yellow"/>
        </w:rPr>
        <w:t>l</w:t>
      </w:r>
      <w:r w:rsidRPr="003726BE">
        <w:rPr>
          <w:b/>
          <w:highlight w:val="yellow"/>
        </w:rPr>
        <w:t xml:space="preserve">le domande di valutazione </w:t>
      </w:r>
      <w:r w:rsidRPr="003726BE">
        <w:rPr>
          <w:highlight w:val="yellow"/>
        </w:rPr>
        <w:t>(voce applicabile a tutti i tipi di domande di valutazione);</w:t>
      </w:r>
    </w:p>
    <w:p w14:paraId="69CA4AC5" w14:textId="77777777" w:rsidR="000248FD" w:rsidRPr="003726BE" w:rsidRDefault="00CD06F5" w:rsidP="00AA71F1">
      <w:pPr>
        <w:pStyle w:val="Hlistbullet"/>
        <w:ind w:left="426" w:hanging="426"/>
        <w:rPr>
          <w:rFonts w:cs="Arial"/>
          <w:highlight w:val="yellow"/>
        </w:rPr>
      </w:pPr>
      <w:r w:rsidRPr="003726BE">
        <w:rPr>
          <w:b/>
          <w:highlight w:val="yellow"/>
        </w:rPr>
        <w:t>conclusioni,</w:t>
      </w:r>
      <w:r w:rsidRPr="003726BE">
        <w:rPr>
          <w:highlight w:val="yellow"/>
        </w:rPr>
        <w:t xml:space="preserve"> basate sui risultati della valutazione (voce applicabile a tutti i tipi di domande di valutazione).</w:t>
      </w:r>
    </w:p>
    <w:p w14:paraId="10A34887" w14:textId="77777777" w:rsidR="000F0C5E" w:rsidRPr="003726BE" w:rsidRDefault="00513079" w:rsidP="00AA71F1">
      <w:pPr>
        <w:pStyle w:val="HStandard"/>
        <w:rPr>
          <w:rFonts w:cs="Arial"/>
          <w:highlight w:val="yellow"/>
        </w:rPr>
      </w:pPr>
      <w:r w:rsidRPr="003726BE">
        <w:rPr>
          <w:highlight w:val="yellow"/>
        </w:rPr>
        <w:t>Il modello SFC contiene anche parti non obbligatorie, ossia:</w:t>
      </w:r>
    </w:p>
    <w:p w14:paraId="6322182A" w14:textId="77777777" w:rsidR="005545BF" w:rsidRPr="003726BE" w:rsidRDefault="005545BF" w:rsidP="00AA71F1">
      <w:pPr>
        <w:pStyle w:val="Hlistbullet"/>
        <w:ind w:left="426" w:hanging="426"/>
        <w:rPr>
          <w:rFonts w:cs="Arial"/>
          <w:highlight w:val="yellow"/>
        </w:rPr>
      </w:pPr>
      <w:r w:rsidRPr="003726BE">
        <w:rPr>
          <w:b/>
          <w:highlight w:val="yellow"/>
        </w:rPr>
        <w:t xml:space="preserve">problemi incontrati che influenzano la validità e la solidità dei risultati della valutazione </w:t>
      </w:r>
      <w:r w:rsidRPr="003726BE">
        <w:rPr>
          <w:highlight w:val="yellow"/>
        </w:rPr>
        <w:t>- questa voce comprende la spiegazione dei problemi che i valutatori hanno dovuto affrontare durante la valutazione (voce applicabile a tutti i tipi di domande di valutazione);</w:t>
      </w:r>
    </w:p>
    <w:p w14:paraId="2E05FB25" w14:textId="77777777" w:rsidR="005545BF" w:rsidRPr="003726BE" w:rsidRDefault="00CD06F5" w:rsidP="00673940">
      <w:pPr>
        <w:pStyle w:val="Hlistbullet"/>
        <w:ind w:left="426" w:hanging="426"/>
        <w:rPr>
          <w:rFonts w:cs="Arial"/>
          <w:highlight w:val="yellow"/>
        </w:rPr>
      </w:pPr>
      <w:r w:rsidRPr="003726BE">
        <w:rPr>
          <w:b/>
          <w:highlight w:val="yellow"/>
        </w:rPr>
        <w:t>raccomandazioni</w:t>
      </w:r>
      <w:r w:rsidRPr="003726BE">
        <w:rPr>
          <w:highlight w:val="yellow"/>
        </w:rPr>
        <w:t xml:space="preserve">, </w:t>
      </w:r>
      <w:r w:rsidR="0080686B">
        <w:rPr>
          <w:highlight w:val="yellow"/>
        </w:rPr>
        <w:t xml:space="preserve">qualora </w:t>
      </w:r>
      <w:r w:rsidRPr="003726BE">
        <w:rPr>
          <w:highlight w:val="yellow"/>
        </w:rPr>
        <w:t xml:space="preserve">il valutatore le abbia proposte e siano collegate a conclusioni specifiche. </w:t>
      </w:r>
    </w:p>
    <w:p w14:paraId="368085E5" w14:textId="77777777" w:rsidR="000248FD" w:rsidRPr="003726BE" w:rsidRDefault="009D2ADC" w:rsidP="00673940">
      <w:pPr>
        <w:pStyle w:val="HStandard"/>
        <w:rPr>
          <w:rFonts w:cs="Arial"/>
          <w:i/>
          <w:highlight w:val="yellow"/>
        </w:rPr>
      </w:pPr>
      <w:r w:rsidRPr="003726BE">
        <w:rPr>
          <w:i/>
          <w:highlight w:val="yellow"/>
        </w:rPr>
        <w:t>Un esempio di un modello SFC vuoto e compilato per la domanda 4 del QVC e di domande di valutazione specifiche del programma legate all'aspetto specifico del programma stesso è riportato nell'allegato 1 della parte III delle Linee guida.</w:t>
      </w:r>
    </w:p>
    <w:p w14:paraId="7B9D78A8" w14:textId="77777777" w:rsidR="000248FD" w:rsidRPr="003726BE" w:rsidRDefault="00326B8F" w:rsidP="0079615D">
      <w:pPr>
        <w:pStyle w:val="HHeading2"/>
        <w:rPr>
          <w:highlight w:val="yellow"/>
        </w:rPr>
      </w:pPr>
      <w:bookmarkStart w:id="10" w:name="_Toc460936095"/>
      <w:bookmarkStart w:id="11" w:name="_Toc474132135"/>
      <w:r w:rsidRPr="003726BE">
        <w:rPr>
          <w:highlight w:val="yellow"/>
        </w:rPr>
        <w:t>Prove utilizzate nell'ambito della valutazione nel 2017?</w:t>
      </w:r>
      <w:bookmarkEnd w:id="10"/>
      <w:bookmarkEnd w:id="11"/>
    </w:p>
    <w:p w14:paraId="632AB665" w14:textId="77777777" w:rsidR="006D17BA" w:rsidRPr="003726BE" w:rsidRDefault="006D17BA" w:rsidP="0079615D">
      <w:pPr>
        <w:pStyle w:val="HStandard"/>
        <w:rPr>
          <w:highlight w:val="yellow"/>
        </w:rPr>
      </w:pPr>
      <w:r w:rsidRPr="003726BE">
        <w:rPr>
          <w:highlight w:val="yellow"/>
        </w:rPr>
        <w:t>La valutazione oggetto di comunicazione nel 2017 si baserà su una serie di informazioni, che comprendono:</w:t>
      </w:r>
    </w:p>
    <w:p w14:paraId="78A43A26" w14:textId="77777777" w:rsidR="000248FD" w:rsidRPr="003726BE" w:rsidRDefault="000248FD" w:rsidP="001B67C1">
      <w:pPr>
        <w:pStyle w:val="Hlistbullet"/>
        <w:rPr>
          <w:highlight w:val="yellow"/>
        </w:rPr>
      </w:pPr>
      <w:r w:rsidRPr="003726BE">
        <w:rPr>
          <w:highlight w:val="yellow"/>
        </w:rPr>
        <w:t>dati di monitoraggio sui beneficiari;</w:t>
      </w:r>
    </w:p>
    <w:p w14:paraId="4F57AE81" w14:textId="77777777" w:rsidR="000B56D1" w:rsidRPr="003726BE" w:rsidRDefault="000B56D1" w:rsidP="001B67C1">
      <w:pPr>
        <w:pStyle w:val="Hlistbullet"/>
        <w:rPr>
          <w:highlight w:val="yellow"/>
        </w:rPr>
      </w:pPr>
      <w:r w:rsidRPr="003726BE">
        <w:rPr>
          <w:highlight w:val="yellow"/>
        </w:rPr>
        <w:t>dati aggiuntivi raccolti dai valutatori da un campione di beneficiari;</w:t>
      </w:r>
    </w:p>
    <w:p w14:paraId="71CE5783" w14:textId="77777777" w:rsidR="000248FD" w:rsidRPr="003726BE" w:rsidRDefault="000248FD" w:rsidP="001B67C1">
      <w:pPr>
        <w:pStyle w:val="Hlistbullet"/>
        <w:rPr>
          <w:highlight w:val="yellow"/>
        </w:rPr>
      </w:pPr>
      <w:r w:rsidRPr="003726BE">
        <w:rPr>
          <w:highlight w:val="yellow"/>
        </w:rPr>
        <w:t xml:space="preserve">dati relativi a non-beneficiari risultanti da statistiche nazionali/regionali, dalla RICA, dai conti annuali, ecc.; </w:t>
      </w:r>
    </w:p>
    <w:p w14:paraId="140035D4" w14:textId="77777777" w:rsidR="006D17BA" w:rsidRPr="003726BE" w:rsidRDefault="000248FD" w:rsidP="001B67C1">
      <w:pPr>
        <w:pStyle w:val="Hlistbullet"/>
        <w:rPr>
          <w:highlight w:val="yellow"/>
        </w:rPr>
      </w:pPr>
      <w:r w:rsidRPr="003726BE">
        <w:rPr>
          <w:highlight w:val="yellow"/>
        </w:rPr>
        <w:t xml:space="preserve">informazioni di natura qualitativa che integrano dati quantitativi insufficienti, </w:t>
      </w:r>
    </w:p>
    <w:p w14:paraId="671DB598" w14:textId="77777777" w:rsidR="000248FD" w:rsidRPr="003726BE" w:rsidRDefault="000248FD" w:rsidP="000A34BC">
      <w:pPr>
        <w:pStyle w:val="Hlistbullet2"/>
        <w:rPr>
          <w:highlight w:val="yellow"/>
        </w:rPr>
      </w:pPr>
      <w:r w:rsidRPr="003726BE">
        <w:rPr>
          <w:highlight w:val="yellow"/>
        </w:rPr>
        <w:t>ad esempio per rispondere alle domande di valutazione relative all'assistenza tecnica, alle RRN, ai meccanismi di attuazione, ecc.; oppure</w:t>
      </w:r>
    </w:p>
    <w:p w14:paraId="79CC6F2B" w14:textId="77777777" w:rsidR="000248FD" w:rsidRPr="003726BE" w:rsidRDefault="006D17BA" w:rsidP="000A34BC">
      <w:pPr>
        <w:pStyle w:val="Hlistbullet2"/>
        <w:rPr>
          <w:highlight w:val="yellow"/>
        </w:rPr>
      </w:pPr>
      <w:r w:rsidRPr="003726BE">
        <w:rPr>
          <w:highlight w:val="yellow"/>
        </w:rPr>
        <w:t>per rispondere alle domande di valutazione in caso di utilizzo ridotto o assenza di utilizzo.</w:t>
      </w:r>
    </w:p>
    <w:p w14:paraId="32D1B47D" w14:textId="77777777" w:rsidR="00E1240A" w:rsidRPr="003726BE" w:rsidRDefault="00E1240A" w:rsidP="000A34BC">
      <w:pPr>
        <w:pStyle w:val="HStandard"/>
        <w:rPr>
          <w:highlight w:val="yellow"/>
        </w:rPr>
      </w:pPr>
      <w:r w:rsidRPr="003726BE">
        <w:rPr>
          <w:highlight w:val="yellow"/>
        </w:rPr>
        <w:t xml:space="preserve">Utilizzare i dati provenienti da sistemi di monitoraggio (moduli di domanda prima dell'inizio del progetto e pagamenti richiesti dopo la finalizzazione del progetto) per </w:t>
      </w:r>
      <w:r w:rsidRPr="003726BE">
        <w:rPr>
          <w:b/>
          <w:highlight w:val="yellow"/>
        </w:rPr>
        <w:t>selezionare popolazioni campione di beneficiari per la valutazione dei contributi secondari</w:t>
      </w:r>
      <w:r w:rsidRPr="003726BE">
        <w:rPr>
          <w:highlight w:val="yellow"/>
        </w:rPr>
        <w:t xml:space="preserve"> di operazioni su altri aspetti specifici. La decisione in merito ai campioni</w:t>
      </w:r>
      <w:r w:rsidRPr="003726BE">
        <w:rPr>
          <w:rStyle w:val="FootnoteReference"/>
          <w:highlight w:val="yellow"/>
        </w:rPr>
        <w:footnoteReference w:id="15"/>
      </w:r>
      <w:r w:rsidRPr="003726BE">
        <w:rPr>
          <w:highlight w:val="yellow"/>
        </w:rPr>
        <w:t xml:space="preserve"> (scelta di un campionamento casuale, sistematico, stratificato; dimensione dei campioni; ecc.) dipende dai contributi secondari che si vogliono valutare (significativ</w:t>
      </w:r>
      <w:r w:rsidR="0080686B">
        <w:rPr>
          <w:highlight w:val="yellow"/>
        </w:rPr>
        <w:t>i</w:t>
      </w:r>
      <w:r w:rsidRPr="003726BE">
        <w:rPr>
          <w:highlight w:val="yellow"/>
        </w:rPr>
        <w:t xml:space="preserve">, marginali, ecc.) e si tratta di un aspetto che dovrebbe essere preso in considerazione dai valutatori. </w:t>
      </w:r>
    </w:p>
    <w:p w14:paraId="32060098" w14:textId="77777777" w:rsidR="000248FD" w:rsidRPr="003726BE" w:rsidRDefault="00326B8F" w:rsidP="00326B8F">
      <w:pPr>
        <w:pStyle w:val="HHeading2"/>
        <w:rPr>
          <w:highlight w:val="yellow"/>
        </w:rPr>
      </w:pPr>
      <w:bookmarkStart w:id="12" w:name="_Toc460936096"/>
      <w:bookmarkStart w:id="13" w:name="_Toc474132136"/>
      <w:r w:rsidRPr="003726BE">
        <w:rPr>
          <w:highlight w:val="yellow"/>
        </w:rPr>
        <w:t>Comunicazione nei casi di esiguo utilizzo e programmi di piccole dimensioni.</w:t>
      </w:r>
      <w:bookmarkEnd w:id="12"/>
      <w:bookmarkEnd w:id="13"/>
    </w:p>
    <w:p w14:paraId="2B519140" w14:textId="77777777" w:rsidR="00B27085" w:rsidRPr="003726BE" w:rsidRDefault="00225D89" w:rsidP="000A34BC">
      <w:pPr>
        <w:pStyle w:val="HStandard"/>
        <w:rPr>
          <w:highlight w:val="yellow"/>
        </w:rPr>
      </w:pPr>
      <w:r w:rsidRPr="003726BE">
        <w:rPr>
          <w:highlight w:val="yellow"/>
        </w:rPr>
        <w:t xml:space="preserve">I pertinenti indicatori di risultato comuni e specifici per programma dovrebbero essere calcolati per tutte le misure del PSR e gli aspetti specifici che hanno dimostrato un utilizzo sufficiente. </w:t>
      </w:r>
    </w:p>
    <w:p w14:paraId="733E0968" w14:textId="77777777" w:rsidR="00B27085" w:rsidRPr="003726BE" w:rsidRDefault="00225D89" w:rsidP="00EF410C">
      <w:pPr>
        <w:pStyle w:val="HStandard"/>
        <w:rPr>
          <w:highlight w:val="yellow"/>
        </w:rPr>
      </w:pPr>
      <w:r w:rsidRPr="003726BE">
        <w:rPr>
          <w:highlight w:val="yellow"/>
        </w:rPr>
        <w:t xml:space="preserve">Tuttavia, se l'approvazione o l'avvio del programma </w:t>
      </w:r>
      <w:r w:rsidR="0080686B">
        <w:rPr>
          <w:highlight w:val="yellow"/>
        </w:rPr>
        <w:t>subiscono ritardi</w:t>
      </w:r>
      <w:r w:rsidRPr="003726BE">
        <w:rPr>
          <w:highlight w:val="yellow"/>
        </w:rPr>
        <w:t xml:space="preserve"> significativ</w:t>
      </w:r>
      <w:r w:rsidR="0080686B">
        <w:rPr>
          <w:highlight w:val="yellow"/>
        </w:rPr>
        <w:t>i</w:t>
      </w:r>
      <w:r w:rsidRPr="003726BE">
        <w:rPr>
          <w:highlight w:val="yellow"/>
        </w:rPr>
        <w:t xml:space="preserve">, saranno </w:t>
      </w:r>
      <w:r w:rsidR="0080686B">
        <w:rPr>
          <w:highlight w:val="yellow"/>
        </w:rPr>
        <w:t xml:space="preserve">disponibili </w:t>
      </w:r>
      <w:r w:rsidRPr="003726BE">
        <w:rPr>
          <w:highlight w:val="yellow"/>
        </w:rPr>
        <w:t xml:space="preserve">pochi dati di monitoraggio o nessun dato di monitoraggio in merito alle operazioni completate per valutare gli indicatori di risultato. In caso di </w:t>
      </w:r>
      <w:r w:rsidR="00C836F5">
        <w:rPr>
          <w:b/>
          <w:highlight w:val="yellow"/>
        </w:rPr>
        <w:t>scars</w:t>
      </w:r>
      <w:r w:rsidR="00200735">
        <w:rPr>
          <w:b/>
          <w:highlight w:val="yellow"/>
        </w:rPr>
        <w:t>o</w:t>
      </w:r>
      <w:r w:rsidRPr="003726BE">
        <w:rPr>
          <w:b/>
          <w:highlight w:val="yellow"/>
        </w:rPr>
        <w:t xml:space="preserve"> utilizz</w:t>
      </w:r>
      <w:r w:rsidR="00200735">
        <w:rPr>
          <w:b/>
          <w:highlight w:val="yellow"/>
        </w:rPr>
        <w:t>o</w:t>
      </w:r>
      <w:r w:rsidRPr="003726BE">
        <w:rPr>
          <w:highlight w:val="yellow"/>
        </w:rPr>
        <w:t xml:space="preserve">, </w:t>
      </w:r>
      <w:r w:rsidR="00200735">
        <w:rPr>
          <w:highlight w:val="yellow"/>
        </w:rPr>
        <w:t>occorre</w:t>
      </w:r>
      <w:r w:rsidRPr="003726BE">
        <w:rPr>
          <w:highlight w:val="yellow"/>
        </w:rPr>
        <w:t xml:space="preserve"> prendere in considerazione tutte </w:t>
      </w:r>
      <w:r w:rsidRPr="003726BE">
        <w:rPr>
          <w:highlight w:val="yellow"/>
        </w:rPr>
        <w:lastRenderedPageBreak/>
        <w:t>le informazioni disponibili sui potenziali beneficiari (ad esempio</w:t>
      </w:r>
      <w:r w:rsidR="00200735">
        <w:rPr>
          <w:highlight w:val="yellow"/>
        </w:rPr>
        <w:t>,</w:t>
      </w:r>
      <w:r w:rsidRPr="003726BE">
        <w:rPr>
          <w:highlight w:val="yellow"/>
        </w:rPr>
        <w:t xml:space="preserve"> valutare la popolazione totale disponibile di beneficiari: domande di sostegno, contratti esistenti/in corso) e spiegare la situazione per la quale non è stato possibile calcolare gli indicatori di risultato come richiesto. </w:t>
      </w:r>
    </w:p>
    <w:p w14:paraId="2DFBCDB9" w14:textId="77777777" w:rsidR="005075FE" w:rsidRPr="003726BE" w:rsidRDefault="005075FE" w:rsidP="00EF410C">
      <w:pPr>
        <w:pStyle w:val="HStandard"/>
        <w:rPr>
          <w:rFonts w:cs="Arial"/>
          <w:highlight w:val="yellow"/>
        </w:rPr>
      </w:pPr>
      <w:r w:rsidRPr="003726BE">
        <w:rPr>
          <w:highlight w:val="yellow"/>
        </w:rPr>
        <w:t xml:space="preserve">Nei casi in cui si verifichi un </w:t>
      </w:r>
      <w:r w:rsidR="00C836F5" w:rsidRPr="00C836F5">
        <w:rPr>
          <w:b/>
          <w:highlight w:val="yellow"/>
        </w:rPr>
        <w:t>mancato</w:t>
      </w:r>
      <w:r w:rsidRPr="00C836F5">
        <w:rPr>
          <w:b/>
          <w:highlight w:val="yellow"/>
        </w:rPr>
        <w:t xml:space="preserve"> </w:t>
      </w:r>
      <w:r w:rsidRPr="003726BE">
        <w:rPr>
          <w:b/>
          <w:highlight w:val="yellow"/>
        </w:rPr>
        <w:t xml:space="preserve">utilizzo </w:t>
      </w:r>
      <w:r w:rsidRPr="003726BE">
        <w:rPr>
          <w:highlight w:val="yellow"/>
        </w:rPr>
        <w:t>nel contesto di un dato aspetto specifico entro la fine del 2016, è ovvio che detto aspetto specifico non richiede alcuna valutazione, i relativi indicatori non devono essere calcolati e non è necessario rispondere al relativo questionario valutativo comu</w:t>
      </w:r>
      <w:r w:rsidR="00200735">
        <w:rPr>
          <w:highlight w:val="yellow"/>
        </w:rPr>
        <w:t>ne. Tuttavia, se lo si desidera, quando non v</w:t>
      </w:r>
      <w:r w:rsidRPr="003726BE">
        <w:rPr>
          <w:highlight w:val="yellow"/>
        </w:rPr>
        <w:t>i sono operazioni completate, si possono utilizzare metodi basati sulla teoria del cambiamento oppure valutazioni qualitative al fine di ottenere prove in merito ai potenziali risultati del PSR.</w:t>
      </w:r>
    </w:p>
    <w:p w14:paraId="300FFE43" w14:textId="77777777" w:rsidR="00B27085" w:rsidRPr="003726BE" w:rsidRDefault="00225D89" w:rsidP="000A34BC">
      <w:pPr>
        <w:pStyle w:val="HStandard"/>
        <w:rPr>
          <w:highlight w:val="yellow"/>
        </w:rPr>
      </w:pPr>
      <w:r w:rsidRPr="003726BE">
        <w:rPr>
          <w:highlight w:val="yellow"/>
        </w:rPr>
        <w:t xml:space="preserve">Anche gli atti giuridici </w:t>
      </w:r>
      <w:r w:rsidR="00200735">
        <w:rPr>
          <w:highlight w:val="yellow"/>
        </w:rPr>
        <w:t>richiedono una rendicontazione</w:t>
      </w:r>
      <w:r w:rsidRPr="003726BE">
        <w:rPr>
          <w:highlight w:val="yellow"/>
        </w:rPr>
        <w:t xml:space="preserve"> nella RAA in relazione alle valutazioni che sono state effettuate nella zona interessata dal programma nel corso degli anni precedenti. Ciò riguarda tutti gli studi rilevanti per una data zona del PSR. Ad esempio, potrebbero esser</w:t>
      </w:r>
      <w:r w:rsidR="00200735">
        <w:rPr>
          <w:highlight w:val="yellow"/>
        </w:rPr>
        <w:t>vi</w:t>
      </w:r>
      <w:r w:rsidRPr="003726BE">
        <w:rPr>
          <w:highlight w:val="yellow"/>
        </w:rPr>
        <w:t xml:space="preserve"> studi condotti da istituti di ricerca o università nel settore dei cambiamenti climatici, della biodiversità, dello sviluppo locale o dello sviluppo delle imprese, che forniscono informazioni utili in merito ai territori e ai beneficiari del PSR. I risultati di detti studi devono essere riassunti nella RAA e possono essere ulteriormente utilizzati per scopi di valutazione in caso di ridotto utilizzo/assenza di utilizzo.</w:t>
      </w:r>
    </w:p>
    <w:p w14:paraId="709A11D3" w14:textId="77777777" w:rsidR="000248FD" w:rsidRPr="003726BE" w:rsidRDefault="00C836F5" w:rsidP="000A34BC">
      <w:pPr>
        <w:pStyle w:val="HStandard"/>
        <w:rPr>
          <w:highlight w:val="yellow"/>
        </w:rPr>
      </w:pPr>
      <w:r>
        <w:rPr>
          <w:b/>
          <w:highlight w:val="yellow"/>
        </w:rPr>
        <w:t>I p</w:t>
      </w:r>
      <w:r w:rsidR="000248FD" w:rsidRPr="003726BE">
        <w:rPr>
          <w:b/>
          <w:highlight w:val="yellow"/>
        </w:rPr>
        <w:t>rogrammi di piccole dimensioni</w:t>
      </w:r>
      <w:r w:rsidR="000248FD" w:rsidRPr="003726BE">
        <w:rPr>
          <w:highlight w:val="yellow"/>
        </w:rPr>
        <w:t>, che presentano un</w:t>
      </w:r>
      <w:r w:rsidR="00200735">
        <w:rPr>
          <w:highlight w:val="yellow"/>
        </w:rPr>
        <w:t>’</w:t>
      </w:r>
      <w:r w:rsidR="000248FD" w:rsidRPr="003726BE">
        <w:rPr>
          <w:highlight w:val="yellow"/>
        </w:rPr>
        <w:t>esigua popolazione di beneficiari (solitamente è il caso dei PSR di Stati membri multiregionali), possono incontrare difficoltà nel quantificare gli indicatori di risultato e nel rispondere alle relative domande di valutazione utilizzando metodi quantitativi, a causa della mancanza di dati. Tuttavia, gli obblighi stabiliti dal CMES sono minimali e devono essere applicati anche nella valutazione di programmi di piccole dimensioni. In detta situazione, l'intera popolazione dei beneficiari deve essere presa in considerazione per il calcolo degli indicatori e per rispondere alla domanda di valutazione. Al fine di soddisfare detti obblighi è possibile altresì condurre ricerche qualitative per rispondere alle domande di valutazione. Inoltre, la valutazione del PSR dovrebbe in ogni caso concentrarsi sulla valutazione del livello di realizzazione delle tappe e degli obiettivi del PSR.</w:t>
      </w:r>
    </w:p>
    <w:p w14:paraId="61AAC269" w14:textId="77777777" w:rsidR="000248FD" w:rsidRPr="003726BE" w:rsidRDefault="00EF37DC" w:rsidP="00C147EB">
      <w:pPr>
        <w:pStyle w:val="HHeading5"/>
        <w:rPr>
          <w:rFonts w:cs="Arial"/>
          <w:highlight w:val="yellow"/>
        </w:rPr>
      </w:pPr>
      <w:r w:rsidRPr="003726BE">
        <w:rPr>
          <w:highlight w:val="yellow"/>
        </w:rPr>
        <w:t>Per saperne di più</w:t>
      </w:r>
    </w:p>
    <w:p w14:paraId="6EF13299" w14:textId="77777777" w:rsidR="00EF37DC" w:rsidRPr="003726BE" w:rsidRDefault="00EF37DC" w:rsidP="00EF37DC">
      <w:pPr>
        <w:pStyle w:val="HBox"/>
        <w:rPr>
          <w:rFonts w:cs="Arial"/>
          <w:color w:val="546393" w:themeColor="accent3"/>
          <w:highlight w:val="yellow"/>
        </w:rPr>
      </w:pPr>
      <w:r w:rsidRPr="003726BE">
        <w:rPr>
          <w:i/>
          <w:highlight w:val="yellow"/>
        </w:rPr>
        <w:t>Guidelines: Establishing and implementing the evaluation plan of 2014-2020 RDPs</w:t>
      </w:r>
      <w:r w:rsidRPr="003726BE">
        <w:rPr>
          <w:highlight w:val="yellow"/>
        </w:rPr>
        <w:t xml:space="preserve"> [Linee guida: definizione e attuazione del piano di valutazione dei PSR 2014-2020] (in inglese; esiste un estratto in italiano), Helpdesk della valutazione 2014-2020, PARTE I, capitolo 3.4 e PARTE II, capitolo 6.4, Bruxelles, 2015, </w:t>
      </w:r>
      <w:r w:rsidRPr="003726BE">
        <w:rPr>
          <w:rStyle w:val="Hyperlink"/>
          <w:highlight w:val="yellow"/>
        </w:rPr>
        <w:t>http://enrd.ec.europa.eu/en/evaluation-helpdesks-publications</w:t>
      </w:r>
    </w:p>
    <w:p w14:paraId="362F0C79" w14:textId="77777777" w:rsidR="00EF37DC" w:rsidRPr="003726BE" w:rsidRDefault="00EF37DC" w:rsidP="00EF37DC">
      <w:pPr>
        <w:pStyle w:val="HBox"/>
        <w:rPr>
          <w:rFonts w:cs="Arial"/>
          <w:highlight w:val="yellow"/>
        </w:rPr>
      </w:pPr>
      <w:r w:rsidRPr="003726BE">
        <w:rPr>
          <w:i/>
          <w:highlight w:val="yellow"/>
        </w:rPr>
        <w:t>Capturing the success of your RDP: Guidelines for the ex post evaluation of 2007-2013 RDPs</w:t>
      </w:r>
      <w:r w:rsidRPr="003726BE">
        <w:rPr>
          <w:highlight w:val="yellow"/>
        </w:rPr>
        <w:t xml:space="preserve"> [Rilevamento del successo del proprio PSR: linee guida per la valutazione </w:t>
      </w:r>
      <w:r w:rsidRPr="003726BE">
        <w:rPr>
          <w:i/>
          <w:highlight w:val="yellow"/>
        </w:rPr>
        <w:t>ex post</w:t>
      </w:r>
      <w:r w:rsidRPr="003726BE">
        <w:rPr>
          <w:highlight w:val="yellow"/>
        </w:rPr>
        <w:t xml:space="preserve"> dei PSR per il periodo 2007-2013] (in inglese), PARTE II, capitolo 1, 4 e 5 e PARTE III, allegati 5 e 6, Helpdesk della valutazione 2007-2013, Bruxelles 2015,</w:t>
      </w:r>
    </w:p>
    <w:p w14:paraId="45FE3F38" w14:textId="77777777" w:rsidR="00EF37DC" w:rsidRPr="003726BE" w:rsidRDefault="00EF37DC" w:rsidP="00EF37DC">
      <w:pPr>
        <w:pStyle w:val="HBox"/>
        <w:rPr>
          <w:rStyle w:val="Hyperlink"/>
          <w:highlight w:val="yellow"/>
        </w:rPr>
      </w:pPr>
      <w:r w:rsidRPr="003726BE">
        <w:rPr>
          <w:rStyle w:val="Hyperlink"/>
          <w:highlight w:val="yellow"/>
        </w:rPr>
        <w:t>http://enrd.ec.europa.eu/enrd-static/evaluation/library/evaluation-helpdesk-publications/en/evaluation-helpdesk-publications_en.html</w:t>
      </w:r>
    </w:p>
    <w:p w14:paraId="45CC2933" w14:textId="77777777" w:rsidR="00EF37DC" w:rsidRPr="003726BE" w:rsidRDefault="00E82DE1" w:rsidP="001B67C1">
      <w:pPr>
        <w:pStyle w:val="HHeading2"/>
        <w:numPr>
          <w:ilvl w:val="0"/>
          <w:numId w:val="0"/>
        </w:numPr>
        <w:ind w:left="510" w:hanging="510"/>
        <w:rPr>
          <w:rFonts w:cs="Arial"/>
          <w:highlight w:val="yellow"/>
        </w:rPr>
      </w:pPr>
      <w:bookmarkStart w:id="14" w:name="_Toc460936097"/>
      <w:bookmarkStart w:id="15" w:name="_Toc474132137"/>
      <w:r w:rsidRPr="003726BE">
        <w:rPr>
          <w:highlight w:val="yellow"/>
        </w:rPr>
        <w:t>1.4 Comunicazione sulla valutazione di elementi specifici del PSR</w:t>
      </w:r>
      <w:bookmarkEnd w:id="14"/>
      <w:bookmarkEnd w:id="15"/>
    </w:p>
    <w:p w14:paraId="44556BE9" w14:textId="77777777" w:rsidR="00EF37DC" w:rsidRPr="003726BE" w:rsidRDefault="00EF37DC" w:rsidP="00C147EB">
      <w:pPr>
        <w:pStyle w:val="HHeading5"/>
        <w:rPr>
          <w:rFonts w:cs="Arial"/>
          <w:highlight w:val="yellow"/>
        </w:rPr>
      </w:pPr>
      <w:r w:rsidRPr="003726BE">
        <w:rPr>
          <w:highlight w:val="yellow"/>
        </w:rPr>
        <w:t>Flessibilità nella programmazione e sue implicazioni sulla valutazione</w:t>
      </w:r>
    </w:p>
    <w:p w14:paraId="1C199014" w14:textId="77777777" w:rsidR="00EF37DC" w:rsidRPr="003726BE" w:rsidRDefault="00EF37DC" w:rsidP="00673940">
      <w:pPr>
        <w:pStyle w:val="HStandard"/>
        <w:rPr>
          <w:rFonts w:cs="Arial"/>
          <w:highlight w:val="yellow"/>
        </w:rPr>
      </w:pPr>
      <w:r w:rsidRPr="003726BE">
        <w:rPr>
          <w:highlight w:val="yellow"/>
        </w:rPr>
        <w:t xml:space="preserve">La flessibilità nel contesto della programmazione è una delle nuove caratteristiche del periodo di programmazione 2014-2020 e ha lo scopo di rafforzare l'approccio strategico e di aumentare l'efficacia, l'efficienza e il livello di esecuzione della politica di sviluppo rurale. </w:t>
      </w:r>
      <w:r w:rsidR="00200735">
        <w:rPr>
          <w:highlight w:val="yellow"/>
        </w:rPr>
        <w:t>Concretamente</w:t>
      </w:r>
      <w:r w:rsidRPr="003726BE">
        <w:rPr>
          <w:highlight w:val="yellow"/>
        </w:rPr>
        <w:t xml:space="preserve">, gli Stati membri dispongono di flessibilità nel progettare la logica di intervento specifica per il PSR, costituita da obiettivi comuni e specifici del programma, e nell'adattare la combinazione di misure. Le misure </w:t>
      </w:r>
      <w:r w:rsidRPr="003726BE">
        <w:rPr>
          <w:highlight w:val="yellow"/>
        </w:rPr>
        <w:lastRenderedPageBreak/>
        <w:t xml:space="preserve">non sono più attribuite a specifici "assi", come in passato, </w:t>
      </w:r>
      <w:r w:rsidR="00C836F5">
        <w:rPr>
          <w:highlight w:val="yellow"/>
        </w:rPr>
        <w:t>ma</w:t>
      </w:r>
      <w:r w:rsidRPr="003726BE">
        <w:rPr>
          <w:highlight w:val="yellow"/>
        </w:rPr>
        <w:t xml:space="preserve"> possono essere programmate e combinate in maniera flessibile nel rispetto delle priorità dell'UE/degli aspetti specifici e degli obiettivi specifici del programma. La logica di fondo prevede che gli Stati membri abbiano la possibilità di mescolare e combinare le misure nel contesto di aspetti specifici nel modo che meglio riflette le loro specifiche esigenze di sviluppo rurale.</w:t>
      </w:r>
    </w:p>
    <w:p w14:paraId="1BB91F37" w14:textId="77777777" w:rsidR="00EF37DC" w:rsidRPr="003726BE" w:rsidRDefault="00EF37DC" w:rsidP="00673940">
      <w:pPr>
        <w:pStyle w:val="HStandard"/>
        <w:rPr>
          <w:rFonts w:cs="Arial"/>
          <w:highlight w:val="yellow"/>
        </w:rPr>
      </w:pPr>
      <w:r w:rsidRPr="003726BE">
        <w:rPr>
          <w:highlight w:val="yellow"/>
        </w:rPr>
        <w:t xml:space="preserve">La flessibilità in termini di programmazione rispecchia la flessibilità del sistema di monitoraggio e valutazione. A questo proposito, il CMES offre un insieme minimo di elementi di valutazione comuni (ad esempio domande di valutazione comuni, indicatori comuni, requisiti minimi per il piano di valutazione, ecc.), e consente alle parti interessate negli Stati membri di disporre della flessibilità di sviluppare elementi di valutazione specifici del programma legati allo specifico PSR (ad esempio, indicatori e domande di valutazione specifici del programma, documenti di pianificazione della valutazione interna, ecc.). </w:t>
      </w:r>
    </w:p>
    <w:p w14:paraId="27EF538E" w14:textId="77777777" w:rsidR="00EF37DC" w:rsidRPr="003726BE" w:rsidRDefault="00EF37DC" w:rsidP="00673940">
      <w:pPr>
        <w:pStyle w:val="HStandard"/>
        <w:rPr>
          <w:rFonts w:cs="Arial"/>
          <w:highlight w:val="yellow"/>
        </w:rPr>
      </w:pPr>
      <w:r w:rsidRPr="003726BE">
        <w:rPr>
          <w:highlight w:val="yellow"/>
        </w:rPr>
        <w:t>La figura che segue illustra i legami tra gli obiettivi e gli elementi di valutazione comuni e specifici del programma connessi con la logica di intervento del programma.</w:t>
      </w:r>
    </w:p>
    <w:p w14:paraId="23652882" w14:textId="77777777" w:rsidR="004C0D64" w:rsidRPr="003726BE" w:rsidRDefault="004C0D64">
      <w:pPr>
        <w:spacing w:before="0" w:after="0" w:line="240" w:lineRule="auto"/>
        <w:jc w:val="left"/>
        <w:rPr>
          <w:rFonts w:cs="Arial"/>
          <w:b/>
          <w:color w:val="373737" w:themeColor="background1" w:themeShade="40"/>
          <w:sz w:val="16"/>
          <w:szCs w:val="20"/>
          <w:highlight w:val="yellow"/>
        </w:rPr>
      </w:pPr>
      <w:bookmarkStart w:id="16" w:name="_Toc460936148"/>
      <w:r w:rsidRPr="003726BE">
        <w:br w:type="page"/>
      </w:r>
    </w:p>
    <w:p w14:paraId="7ACFC65C" w14:textId="77777777" w:rsidR="00EF37DC" w:rsidRPr="003726BE" w:rsidRDefault="00EF37DC" w:rsidP="0010223F">
      <w:pPr>
        <w:pStyle w:val="HHeadingfigures"/>
        <w:rPr>
          <w:highlight w:val="yellow"/>
        </w:rPr>
      </w:pPr>
      <w:bookmarkStart w:id="17" w:name="_Toc474132638"/>
      <w:r w:rsidRPr="003726BE">
        <w:rPr>
          <w:highlight w:val="yellow"/>
        </w:rPr>
        <w:lastRenderedPageBreak/>
        <w:t>Il sistema di monitoraggio e valutazione comune e specifico del programma.</w:t>
      </w:r>
      <w:bookmarkEnd w:id="16"/>
      <w:bookmarkEnd w:id="17"/>
    </w:p>
    <w:p w14:paraId="0FF9AE09" w14:textId="77777777" w:rsidR="00EF37DC" w:rsidRPr="003726BE" w:rsidRDefault="003726BE" w:rsidP="000A34BC">
      <w:pPr>
        <w:pStyle w:val="HStandard"/>
        <w:jc w:val="center"/>
        <w:rPr>
          <w:rFonts w:cs="Arial"/>
          <w:highlight w:val="yellow"/>
        </w:rPr>
      </w:pPr>
      <w:r>
        <w:rPr>
          <w:noProof/>
          <w:lang w:val="en-GB" w:eastAsia="en-GB" w:bidi="ar-SA"/>
        </w:rPr>
        <w:drawing>
          <wp:inline distT="0" distB="0" distL="0" distR="0" wp14:anchorId="1DF296D2" wp14:editId="7E90B9A5">
            <wp:extent cx="5759450" cy="3024936"/>
            <wp:effectExtent l="0" t="0" r="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2.emf"/>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59450" cy="3024936"/>
                    </a:xfrm>
                    <a:prstGeom prst="rect">
                      <a:avLst/>
                    </a:prstGeom>
                  </pic:spPr>
                </pic:pic>
              </a:graphicData>
            </a:graphic>
          </wp:inline>
        </w:drawing>
      </w:r>
    </w:p>
    <w:p w14:paraId="7896576C" w14:textId="77777777" w:rsidR="00EF37DC" w:rsidRPr="003726BE" w:rsidRDefault="00EF37DC" w:rsidP="00EF37DC">
      <w:pPr>
        <w:pStyle w:val="HSource"/>
        <w:rPr>
          <w:rFonts w:cs="Arial"/>
          <w:highlight w:val="yellow"/>
        </w:rPr>
      </w:pPr>
      <w:r w:rsidRPr="003726BE">
        <w:rPr>
          <w:highlight w:val="yellow"/>
        </w:rPr>
        <w:t>Fonte: Helpdesk europeo della valutazione per lo sviluppo rurale, 2015.</w:t>
      </w:r>
    </w:p>
    <w:p w14:paraId="3AA4C75E" w14:textId="77777777" w:rsidR="003339A7" w:rsidRPr="003726BE" w:rsidRDefault="00EF37DC" w:rsidP="00673940">
      <w:pPr>
        <w:pStyle w:val="HStandard"/>
        <w:rPr>
          <w:rFonts w:cs="Arial"/>
          <w:highlight w:val="yellow"/>
        </w:rPr>
      </w:pPr>
      <w:r w:rsidRPr="003726BE">
        <w:rPr>
          <w:highlight w:val="yellow"/>
        </w:rPr>
        <w:t>L'AG può avere bisogno di sviluppare elementi di valutazione specifici del programma al fine di valutare aspetti di particolare interesse per la stessa. Detti aspetti potrebbero includere la valutazione di aspetti specifici per il programma, la RRN, meccanismi di attuazione del PSR, questioni supportate tramite l'assistenza tecnica, quali l'amministrazione e la gestione, la comunicazione, ecc. Anche i temi specifici di valutazione impongono lo sviluppo di domande di valutazione specifiche del programma, criteri di giudizio e indicatori al fine di raccogliere le prove per rispondere al questionario valutativo.</w:t>
      </w:r>
    </w:p>
    <w:p w14:paraId="5E8121CF" w14:textId="77777777" w:rsidR="006C54E2" w:rsidRPr="003726BE" w:rsidRDefault="006C54E2" w:rsidP="006C54E2">
      <w:pPr>
        <w:pStyle w:val="HBox"/>
        <w:rPr>
          <w:highlight w:val="yellow"/>
        </w:rPr>
      </w:pPr>
      <w:r w:rsidRPr="003726BE">
        <w:rPr>
          <w:highlight w:val="yellow"/>
        </w:rPr>
        <w:t>Gli indicatori specifici per programma non dovrebbero essere confusi con altri indicatori, sviluppati negli Stati membri in aggiunta agli indicatori comuni utilizzati per rispondere ai questionari valutativi comuni legati agli aspetti specifici. Si possono sviluppare anche degli indicatori aggiuntivi nel caso in cui le autorità del programma definiscano propri criteri di giudizio per specificare le risposte al questionario valutativo comune.</w:t>
      </w:r>
    </w:p>
    <w:p w14:paraId="1AFAF90A" w14:textId="77777777" w:rsidR="00EF37DC" w:rsidRPr="003726BE" w:rsidRDefault="00EF37DC" w:rsidP="00673940">
      <w:pPr>
        <w:pStyle w:val="HStandard"/>
        <w:rPr>
          <w:rFonts w:cs="Arial"/>
          <w:highlight w:val="yellow"/>
        </w:rPr>
      </w:pPr>
      <w:r w:rsidRPr="003726BE">
        <w:rPr>
          <w:highlight w:val="yellow"/>
        </w:rPr>
        <w:t xml:space="preserve">È preferibile definire gli elementi di valutazione specifici del programma già in fase di progettazione del programma stesso e includerli nel piano di valutazione. In alternativa, gli elementi specifici del programma possono essere progettati in </w:t>
      </w:r>
      <w:r w:rsidR="00200735">
        <w:rPr>
          <w:highlight w:val="yellow"/>
        </w:rPr>
        <w:t>una fase successiva</w:t>
      </w:r>
      <w:r w:rsidRPr="003726BE">
        <w:rPr>
          <w:highlight w:val="yellow"/>
        </w:rPr>
        <w:t>, ad esempio prima o in una fase iniziale dell'attuazione del programma, al fine di garantire che</w:t>
      </w:r>
      <w:r w:rsidR="00200735">
        <w:rPr>
          <w:highlight w:val="yellow"/>
        </w:rPr>
        <w:t xml:space="preserve"> già nelle prime fasi siano disponibili </w:t>
      </w:r>
      <w:r w:rsidRPr="003726BE">
        <w:rPr>
          <w:highlight w:val="yellow"/>
        </w:rPr>
        <w:t xml:space="preserve">dati </w:t>
      </w:r>
      <w:r w:rsidR="00200735">
        <w:rPr>
          <w:highlight w:val="yellow"/>
        </w:rPr>
        <w:t>adeguat</w:t>
      </w:r>
      <w:r w:rsidRPr="003726BE">
        <w:rPr>
          <w:highlight w:val="yellow"/>
        </w:rPr>
        <w:t xml:space="preserve">i. Si possono sviluppare anche ulteriori elementi specifici del programma quando si svolgono le valutazioni effettive, nel caso in cui i valutatori rilevino ancora delle lacune. </w:t>
      </w:r>
    </w:p>
    <w:p w14:paraId="2930AB42" w14:textId="77777777" w:rsidR="00EF37DC" w:rsidRPr="003726BE" w:rsidRDefault="00EF37DC" w:rsidP="00673940">
      <w:pPr>
        <w:pStyle w:val="HStandard"/>
        <w:rPr>
          <w:rFonts w:cs="Arial"/>
          <w:highlight w:val="yellow"/>
        </w:rPr>
      </w:pPr>
      <w:r w:rsidRPr="003726BE">
        <w:rPr>
          <w:highlight w:val="yellow"/>
        </w:rPr>
        <w:t>Il principio di proporzionalità dovrebbe essere rispettato durante lo sviluppo e la comunicazione di elementi di monitoraggio e valutazione specifici del programma. Ciò implica che l'utilità delle informazioni supplementari comunicate dovrebbe essere equilibrata rispetto alle risorse necessarie per fornire tali informazioni supplementari.</w:t>
      </w:r>
    </w:p>
    <w:p w14:paraId="4B26C669" w14:textId="77777777" w:rsidR="00EF37DC" w:rsidRPr="003726BE" w:rsidRDefault="00C836F5" w:rsidP="00673940">
      <w:pPr>
        <w:pStyle w:val="HStandard"/>
        <w:rPr>
          <w:rFonts w:cs="Arial"/>
          <w:highlight w:val="yellow"/>
        </w:rPr>
      </w:pPr>
      <w:r>
        <w:rPr>
          <w:highlight w:val="yellow"/>
        </w:rPr>
        <w:t xml:space="preserve">Nella </w:t>
      </w:r>
      <w:r w:rsidR="00EF37DC" w:rsidRPr="003726BE">
        <w:rPr>
          <w:highlight w:val="yellow"/>
        </w:rPr>
        <w:t xml:space="preserve">PARTE II, </w:t>
      </w:r>
      <w:r>
        <w:rPr>
          <w:highlight w:val="yellow"/>
        </w:rPr>
        <w:t>i</w:t>
      </w:r>
      <w:r w:rsidR="00EF37DC" w:rsidRPr="003726BE">
        <w:rPr>
          <w:highlight w:val="yellow"/>
        </w:rPr>
        <w:t>l capitolo 5 fornisce orientamenti dettagliati su come sviluppare indicatori e domande di valutazione specifiche del programma.</w:t>
      </w:r>
    </w:p>
    <w:p w14:paraId="29969645" w14:textId="77777777" w:rsidR="003726BE" w:rsidRDefault="003726BE" w:rsidP="00C147EB">
      <w:pPr>
        <w:pStyle w:val="HHeading5"/>
        <w:rPr>
          <w:highlight w:val="yellow"/>
        </w:rPr>
      </w:pPr>
    </w:p>
    <w:p w14:paraId="110F8CAB" w14:textId="77777777" w:rsidR="003726BE" w:rsidRDefault="003726BE" w:rsidP="00C147EB">
      <w:pPr>
        <w:pStyle w:val="HHeading5"/>
        <w:rPr>
          <w:highlight w:val="yellow"/>
        </w:rPr>
      </w:pPr>
    </w:p>
    <w:p w14:paraId="1C94270F" w14:textId="77777777" w:rsidR="003726BE" w:rsidRDefault="003726BE" w:rsidP="00C147EB">
      <w:pPr>
        <w:pStyle w:val="HHeading5"/>
        <w:rPr>
          <w:highlight w:val="yellow"/>
        </w:rPr>
      </w:pPr>
    </w:p>
    <w:p w14:paraId="7AAB20FE" w14:textId="77777777" w:rsidR="00EF37DC" w:rsidRPr="003726BE" w:rsidRDefault="00EF37DC" w:rsidP="00C147EB">
      <w:pPr>
        <w:pStyle w:val="HHeading5"/>
        <w:rPr>
          <w:rFonts w:cs="Arial"/>
          <w:highlight w:val="yellow"/>
        </w:rPr>
      </w:pPr>
      <w:r w:rsidRPr="003726BE">
        <w:rPr>
          <w:highlight w:val="yellow"/>
        </w:rPr>
        <w:lastRenderedPageBreak/>
        <w:t xml:space="preserve">Comunicazione in merito a elementi specifici del programma </w:t>
      </w:r>
    </w:p>
    <w:p w14:paraId="121DB978" w14:textId="77777777" w:rsidR="00EF37DC" w:rsidRPr="003726BE" w:rsidRDefault="00EF37DC" w:rsidP="00673940">
      <w:pPr>
        <w:pStyle w:val="HStandard"/>
        <w:rPr>
          <w:rFonts w:cs="Arial"/>
          <w:highlight w:val="yellow"/>
        </w:rPr>
      </w:pPr>
      <w:r w:rsidRPr="003726BE">
        <w:rPr>
          <w:highlight w:val="yellow"/>
        </w:rPr>
        <w:t>La comunicazione in merito alla valutazione impone l'uso tanto di domande di valutazione comuni e specifiche del programma, quanto di indicatori comuni, aggiuntivi e specifici per programma</w:t>
      </w:r>
      <w:r w:rsidRPr="003726BE">
        <w:rPr>
          <w:rStyle w:val="FootnoteReference"/>
          <w:highlight w:val="yellow"/>
        </w:rPr>
        <w:footnoteReference w:id="16"/>
      </w:r>
      <w:r w:rsidRPr="003726BE">
        <w:rPr>
          <w:highlight w:val="yellow"/>
        </w:rPr>
        <w:t>. Le RAA standard rappresentano il canale principale tramite il quale l'AG riferisce in merito alle realizzazioni del PSR facendo riferimento a dati finanziari, valori quantificati di indicatori, inclusi gli indicatori di obiettivo. Nella RAA 2017, le realizzazioni del PSR dovrebbero essere quantificate attraverso la valutazione di indicatori di risultato comuni, aggiuntivi e specifici per programma</w:t>
      </w:r>
      <w:r w:rsidRPr="003726BE">
        <w:rPr>
          <w:rStyle w:val="FootnoteReference"/>
          <w:highlight w:val="yellow"/>
        </w:rPr>
        <w:footnoteReference w:id="17"/>
      </w:r>
      <w:r w:rsidRPr="003726BE">
        <w:rPr>
          <w:highlight w:val="yellow"/>
        </w:rPr>
        <w:t>. Le prove raccolte mediante indicatori di risultato contribuiscono a rispondere a domande comuni e specifiche del programma relative agli aspetti specifici.</w:t>
      </w:r>
    </w:p>
    <w:p w14:paraId="1960FA8D" w14:textId="77777777" w:rsidR="000A1B36" w:rsidRPr="003726BE" w:rsidRDefault="000A1B36" w:rsidP="00D62F94">
      <w:pPr>
        <w:pStyle w:val="HHeading1"/>
        <w:rPr>
          <w:rFonts w:cs="Arial"/>
          <w:caps w:val="0"/>
          <w:highlight w:val="yellow"/>
        </w:rPr>
      </w:pPr>
      <w:bookmarkStart w:id="18" w:name="_Toc460936098"/>
      <w:bookmarkStart w:id="19" w:name="_Toc474132138"/>
      <w:r w:rsidRPr="003726BE">
        <w:rPr>
          <w:caps w:val="0"/>
          <w:highlight w:val="yellow"/>
        </w:rPr>
        <w:lastRenderedPageBreak/>
        <w:t>Nessi con altri requisiti in materia di relazioni dell'UE ed altri requisiti in materia di relazioni che vanno oltre il 2017</w:t>
      </w:r>
      <w:bookmarkEnd w:id="18"/>
      <w:bookmarkEnd w:id="19"/>
    </w:p>
    <w:p w14:paraId="3878B16A" w14:textId="77777777" w:rsidR="000A1B36" w:rsidRPr="003726BE" w:rsidRDefault="000A1B36" w:rsidP="00D62F94">
      <w:pPr>
        <w:pStyle w:val="HHeading2"/>
        <w:rPr>
          <w:rFonts w:cs="Arial"/>
          <w:highlight w:val="yellow"/>
        </w:rPr>
      </w:pPr>
      <w:bookmarkStart w:id="20" w:name="_Toc460936099"/>
      <w:bookmarkStart w:id="21" w:name="_Toc474132139"/>
      <w:r w:rsidRPr="003726BE">
        <w:rPr>
          <w:highlight w:val="yellow"/>
        </w:rPr>
        <w:t>Nessi e sinergie tra la RAA 2017 e altri requisiti in materia di relazioni dell'UE</w:t>
      </w:r>
      <w:bookmarkEnd w:id="20"/>
      <w:bookmarkEnd w:id="21"/>
    </w:p>
    <w:p w14:paraId="093B0036" w14:textId="77777777" w:rsidR="000A1B36" w:rsidRPr="003726BE" w:rsidRDefault="000A1B36" w:rsidP="00673940">
      <w:pPr>
        <w:pStyle w:val="HStandard"/>
        <w:rPr>
          <w:rFonts w:cs="Arial"/>
          <w:highlight w:val="yellow"/>
        </w:rPr>
      </w:pPr>
      <w:r w:rsidRPr="003726BE">
        <w:rPr>
          <w:highlight w:val="yellow"/>
        </w:rPr>
        <w:t xml:space="preserve">La RAA 2017 presenta diversi nessi con altre relazioni a livello di Stati membri e Unione europea, da presentare nel 2017 e nel 2018. Congiuntamente queste relazioni forniscono informazioni in merito all'attuazione e allo stato di avanzamento di programmi finanziati dai fondi SIE e la PAC (cfr. </w:t>
      </w:r>
      <w:r w:rsidR="00F3350F" w:rsidRPr="003726BE">
        <w:rPr>
          <w:rFonts w:cs="Arial"/>
          <w:highlight w:val="yellow"/>
        </w:rPr>
        <w:fldChar w:fldCharType="begin"/>
      </w:r>
      <w:r w:rsidRPr="003726BE">
        <w:rPr>
          <w:rFonts w:cs="Arial"/>
          <w:highlight w:val="yellow"/>
        </w:rPr>
        <w:instrText xml:space="preserve"> REF _Ref433791318 \r \h </w:instrText>
      </w:r>
      <w:r w:rsidR="007B459A" w:rsidRPr="003726BE">
        <w:rPr>
          <w:rFonts w:cs="Arial"/>
          <w:highlight w:val="yellow"/>
        </w:rPr>
        <w:instrText xml:space="preserve"> \* MERGEFORMAT </w:instrText>
      </w:r>
      <w:r w:rsidR="00F3350F" w:rsidRPr="003726BE">
        <w:rPr>
          <w:rFonts w:cs="Arial"/>
          <w:highlight w:val="yellow"/>
        </w:rPr>
      </w:r>
      <w:r w:rsidR="00F3350F" w:rsidRPr="003726BE">
        <w:rPr>
          <w:rFonts w:cs="Arial"/>
          <w:highlight w:val="yellow"/>
        </w:rPr>
        <w:fldChar w:fldCharType="separate"/>
      </w:r>
      <w:r w:rsidR="00F8292E">
        <w:rPr>
          <w:rFonts w:cs="Arial"/>
          <w:highlight w:val="yellow"/>
          <w:cs/>
        </w:rPr>
        <w:t>‎</w:t>
      </w:r>
      <w:r w:rsidR="00F8292E">
        <w:rPr>
          <w:rFonts w:cs="Arial"/>
          <w:highlight w:val="yellow"/>
        </w:rPr>
        <w:t>Figura 3</w:t>
      </w:r>
      <w:r w:rsidR="00F3350F" w:rsidRPr="003726BE">
        <w:rPr>
          <w:rFonts w:cs="Arial"/>
          <w:highlight w:val="yellow"/>
        </w:rPr>
        <w:fldChar w:fldCharType="end"/>
      </w:r>
      <w:r w:rsidRPr="003726BE">
        <w:rPr>
          <w:highlight w:val="yellow"/>
        </w:rPr>
        <w:t>).</w:t>
      </w:r>
    </w:p>
    <w:p w14:paraId="3783BCC8" w14:textId="77777777" w:rsidR="000A1B36" w:rsidRPr="003726BE" w:rsidRDefault="000A1B36" w:rsidP="0010223F">
      <w:pPr>
        <w:pStyle w:val="HHeadingfigures"/>
        <w:rPr>
          <w:highlight w:val="yellow"/>
        </w:rPr>
      </w:pPr>
      <w:bookmarkStart w:id="22" w:name="_Ref433791318"/>
      <w:bookmarkStart w:id="23" w:name="_Toc460936149"/>
      <w:bookmarkStart w:id="24" w:name="_Toc474132639"/>
      <w:r w:rsidRPr="003726BE">
        <w:rPr>
          <w:highlight w:val="yellow"/>
        </w:rPr>
        <w:t>Nessi tra la RAA presentata nel 2017 e altri requisiti in materia di relazioni dell'UE nel 2017</w:t>
      </w:r>
      <w:bookmarkEnd w:id="22"/>
      <w:r w:rsidRPr="003726BE">
        <w:rPr>
          <w:highlight w:val="yellow"/>
        </w:rPr>
        <w:t xml:space="preserve"> e nel 2018.</w:t>
      </w:r>
      <w:bookmarkEnd w:id="23"/>
      <w:bookmarkEnd w:id="24"/>
    </w:p>
    <w:p w14:paraId="53EE2217" w14:textId="77777777" w:rsidR="00D113D5" w:rsidRPr="003726BE" w:rsidRDefault="003726BE" w:rsidP="00706AC9">
      <w:pPr>
        <w:pStyle w:val="HStandard"/>
        <w:jc w:val="center"/>
        <w:rPr>
          <w:rFonts w:cs="Arial"/>
          <w:highlight w:val="yellow"/>
        </w:rPr>
      </w:pPr>
      <w:r>
        <w:rPr>
          <w:noProof/>
          <w:lang w:val="en-GB" w:eastAsia="en-GB" w:bidi="ar-SA"/>
        </w:rPr>
        <w:drawing>
          <wp:inline distT="0" distB="0" distL="0" distR="0" wp14:anchorId="112EFA76" wp14:editId="524B3CBC">
            <wp:extent cx="5759450" cy="5690131"/>
            <wp:effectExtent l="0" t="0" r="0" b="635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3.emf"/>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59450" cy="5690131"/>
                    </a:xfrm>
                    <a:prstGeom prst="rect">
                      <a:avLst/>
                    </a:prstGeom>
                  </pic:spPr>
                </pic:pic>
              </a:graphicData>
            </a:graphic>
          </wp:inline>
        </w:drawing>
      </w:r>
    </w:p>
    <w:p w14:paraId="719EB999" w14:textId="77777777" w:rsidR="000A1B36" w:rsidRPr="003726BE" w:rsidRDefault="000A1B36" w:rsidP="000A1B36">
      <w:pPr>
        <w:pStyle w:val="HSource"/>
        <w:rPr>
          <w:rFonts w:cs="Arial"/>
          <w:highlight w:val="yellow"/>
        </w:rPr>
      </w:pPr>
      <w:r w:rsidRPr="003726BE">
        <w:rPr>
          <w:highlight w:val="yellow"/>
        </w:rPr>
        <w:t>Fonte: Helpdesk europeo della valutazione per lo sviluppo rurale, 2015.</w:t>
      </w:r>
    </w:p>
    <w:p w14:paraId="71431C56" w14:textId="77777777" w:rsidR="00D62F94" w:rsidRPr="003726BE" w:rsidRDefault="00282498" w:rsidP="00673940">
      <w:pPr>
        <w:pStyle w:val="HStandard"/>
        <w:rPr>
          <w:rFonts w:cs="Arial"/>
          <w:highlight w:val="yellow"/>
        </w:rPr>
      </w:pPr>
      <w:r w:rsidRPr="003726BE">
        <w:rPr>
          <w:highlight w:val="yellow"/>
        </w:rPr>
        <w:t>I nessi tra le RAA e gli altri requisiti in materia di relazioni nel periodo 2016-2019 sono illustrati nella figura 4 e riassunti nella tabella 2.</w:t>
      </w:r>
    </w:p>
    <w:p w14:paraId="36A315E4" w14:textId="77777777" w:rsidR="00282498" w:rsidRPr="003726BE" w:rsidRDefault="00BF7F3C" w:rsidP="0010223F">
      <w:pPr>
        <w:pStyle w:val="HHeadingfigures"/>
        <w:rPr>
          <w:highlight w:val="yellow"/>
        </w:rPr>
      </w:pPr>
      <w:bookmarkStart w:id="25" w:name="_Toc460936150"/>
      <w:bookmarkStart w:id="26" w:name="_Toc474132640"/>
      <w:r w:rsidRPr="003726BE">
        <w:rPr>
          <w:highlight w:val="yellow"/>
        </w:rPr>
        <w:lastRenderedPageBreak/>
        <w:t>Panoramica dei requisiti in materia di relazioni e dei nessi per il periodo 2016-2019</w:t>
      </w:r>
      <w:bookmarkEnd w:id="25"/>
      <w:bookmarkEnd w:id="26"/>
    </w:p>
    <w:p w14:paraId="298B8F0A" w14:textId="77777777" w:rsidR="00282498" w:rsidRPr="003726BE" w:rsidRDefault="003726BE" w:rsidP="00D420BD">
      <w:pPr>
        <w:pStyle w:val="HStandard"/>
        <w:jc w:val="center"/>
        <w:rPr>
          <w:rFonts w:cs="Arial"/>
          <w:highlight w:val="yellow"/>
        </w:rPr>
      </w:pPr>
      <w:r>
        <w:rPr>
          <w:noProof/>
          <w:lang w:val="en-GB" w:eastAsia="en-GB" w:bidi="ar-SA"/>
        </w:rPr>
        <w:drawing>
          <wp:inline distT="0" distB="0" distL="0" distR="0" wp14:anchorId="2B65D728" wp14:editId="7CFBF1B8">
            <wp:extent cx="5759450" cy="3693028"/>
            <wp:effectExtent l="0" t="0" r="0" b="3175"/>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4.emf"/>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59450" cy="3693028"/>
                    </a:xfrm>
                    <a:prstGeom prst="rect">
                      <a:avLst/>
                    </a:prstGeom>
                  </pic:spPr>
                </pic:pic>
              </a:graphicData>
            </a:graphic>
          </wp:inline>
        </w:drawing>
      </w:r>
    </w:p>
    <w:p w14:paraId="69FB49D9" w14:textId="77777777" w:rsidR="004C0D64" w:rsidRPr="003726BE" w:rsidRDefault="004C0D64" w:rsidP="004C0D64">
      <w:pPr>
        <w:pStyle w:val="HSource"/>
        <w:rPr>
          <w:rFonts w:cs="Arial"/>
          <w:highlight w:val="yellow"/>
        </w:rPr>
      </w:pPr>
      <w:r w:rsidRPr="003726BE">
        <w:rPr>
          <w:highlight w:val="yellow"/>
        </w:rPr>
        <w:t>Fonte: Helpdesk europeo della valutazione per lo sviluppo rurale, 2015.</w:t>
      </w:r>
    </w:p>
    <w:p w14:paraId="684CF427" w14:textId="77777777" w:rsidR="00282498" w:rsidRPr="003726BE" w:rsidRDefault="00282498" w:rsidP="00673940">
      <w:pPr>
        <w:pStyle w:val="HStandard"/>
        <w:rPr>
          <w:rFonts w:cs="Arial"/>
          <w:highlight w:val="yellow"/>
        </w:rPr>
      </w:pPr>
    </w:p>
    <w:p w14:paraId="6B3F72B4" w14:textId="77777777" w:rsidR="00EB1AA9" w:rsidRPr="003726BE" w:rsidRDefault="00EB1AA9" w:rsidP="00673940">
      <w:pPr>
        <w:pStyle w:val="HStandard"/>
        <w:rPr>
          <w:rFonts w:cs="Arial"/>
          <w:highlight w:val="yellow"/>
        </w:rPr>
        <w:sectPr w:rsidR="00EB1AA9" w:rsidRPr="003726BE" w:rsidSect="0001223C">
          <w:pgSz w:w="11906" w:h="16838" w:code="9"/>
          <w:pgMar w:top="1418" w:right="1418" w:bottom="1418" w:left="1418" w:header="737" w:footer="1021" w:gutter="0"/>
          <w:pgNumType w:start="3"/>
          <w:cols w:space="708"/>
          <w:titlePg/>
          <w:docGrid w:linePitch="360"/>
        </w:sectPr>
      </w:pPr>
    </w:p>
    <w:p w14:paraId="7C204ADD" w14:textId="77777777" w:rsidR="00282498" w:rsidRPr="003726BE" w:rsidRDefault="00282498" w:rsidP="003726BE">
      <w:pPr>
        <w:pStyle w:val="HHeadingtables"/>
        <w:rPr>
          <w:rFonts w:cs="Arial"/>
          <w:highlight w:val="yellow"/>
        </w:rPr>
      </w:pPr>
      <w:bookmarkStart w:id="27" w:name="_Toc460936136"/>
      <w:bookmarkStart w:id="28" w:name="_Toc474132624"/>
      <w:r w:rsidRPr="003726BE">
        <w:rPr>
          <w:highlight w:val="yellow"/>
        </w:rPr>
        <w:lastRenderedPageBreak/>
        <w:t>Nessi tra la RAA 2017 e altri requisiti in materia di relazioni dell'UE</w:t>
      </w:r>
      <w:bookmarkEnd w:id="27"/>
      <w:bookmarkEnd w:id="28"/>
    </w:p>
    <w:tbl>
      <w:tblPr>
        <w:tblStyle w:val="TableGrid"/>
        <w:tblW w:w="14742" w:type="dxa"/>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5949"/>
        <w:gridCol w:w="2268"/>
        <w:gridCol w:w="6525"/>
      </w:tblGrid>
      <w:tr w:rsidR="00282498" w:rsidRPr="003726BE" w14:paraId="6417BFFC" w14:textId="77777777" w:rsidTr="00D420BD">
        <w:trPr>
          <w:tblHeader/>
          <w:jc w:val="center"/>
        </w:trPr>
        <w:tc>
          <w:tcPr>
            <w:tcW w:w="5949" w:type="dxa"/>
            <w:shd w:val="clear" w:color="auto" w:fill="F07E31"/>
          </w:tcPr>
          <w:p w14:paraId="7DE4FAA4" w14:textId="77777777" w:rsidR="00282498" w:rsidRPr="003726BE" w:rsidRDefault="00282498" w:rsidP="00BB5FF2">
            <w:pPr>
              <w:pStyle w:val="Htableleftbolt"/>
              <w:rPr>
                <w:rFonts w:cs="Arial"/>
                <w:color w:val="FFFFFF" w:themeColor="accent1"/>
                <w:highlight w:val="yellow"/>
              </w:rPr>
            </w:pPr>
            <w:r w:rsidRPr="003726BE">
              <w:rPr>
                <w:color w:val="FFFFFF" w:themeColor="accent1"/>
                <w:highlight w:val="yellow"/>
              </w:rPr>
              <w:t>Requisiti in materia di relazioni</w:t>
            </w:r>
          </w:p>
        </w:tc>
        <w:tc>
          <w:tcPr>
            <w:tcW w:w="2268" w:type="dxa"/>
            <w:shd w:val="clear" w:color="auto" w:fill="F07E31"/>
          </w:tcPr>
          <w:p w14:paraId="5470573E" w14:textId="77777777" w:rsidR="00282498" w:rsidRPr="003726BE" w:rsidRDefault="00282498" w:rsidP="00BB5FF2">
            <w:pPr>
              <w:pStyle w:val="Htableleftbolt"/>
              <w:rPr>
                <w:rFonts w:cs="Arial"/>
                <w:color w:val="FFFFFF" w:themeColor="accent1"/>
                <w:highlight w:val="yellow"/>
              </w:rPr>
            </w:pPr>
            <w:r w:rsidRPr="003726BE">
              <w:rPr>
                <w:color w:val="FFFFFF" w:themeColor="accent1"/>
                <w:highlight w:val="yellow"/>
              </w:rPr>
              <w:t>Fonti giuridiche</w:t>
            </w:r>
          </w:p>
        </w:tc>
        <w:tc>
          <w:tcPr>
            <w:tcW w:w="6525" w:type="dxa"/>
            <w:shd w:val="clear" w:color="auto" w:fill="F07E31"/>
          </w:tcPr>
          <w:p w14:paraId="74CFD47D" w14:textId="77777777" w:rsidR="00282498" w:rsidRPr="003726BE" w:rsidRDefault="00282498" w:rsidP="00475734">
            <w:pPr>
              <w:pStyle w:val="Htableleftbolt"/>
              <w:rPr>
                <w:rFonts w:cs="Arial"/>
                <w:color w:val="FFFFFF" w:themeColor="accent1"/>
                <w:highlight w:val="yellow"/>
              </w:rPr>
            </w:pPr>
            <w:r w:rsidRPr="003726BE">
              <w:rPr>
                <w:color w:val="FFFFFF" w:themeColor="accent1"/>
                <w:highlight w:val="yellow"/>
              </w:rPr>
              <w:t>Nessi e sinergie con la RAA 2017</w:t>
            </w:r>
          </w:p>
        </w:tc>
      </w:tr>
      <w:tr w:rsidR="00A04C41" w:rsidRPr="003726BE" w14:paraId="2373F999" w14:textId="77777777" w:rsidTr="00D420BD">
        <w:trPr>
          <w:jc w:val="center"/>
        </w:trPr>
        <w:tc>
          <w:tcPr>
            <w:tcW w:w="14742" w:type="dxa"/>
            <w:gridSpan w:val="3"/>
            <w:shd w:val="clear" w:color="auto" w:fill="auto"/>
          </w:tcPr>
          <w:p w14:paraId="7E2D1B0F" w14:textId="77777777" w:rsidR="00A04C41" w:rsidRPr="003726BE" w:rsidRDefault="00A04C41" w:rsidP="002B70C2">
            <w:pPr>
              <w:pStyle w:val="Htableleft"/>
              <w:tabs>
                <w:tab w:val="left" w:pos="2299"/>
              </w:tabs>
              <w:rPr>
                <w:rFonts w:cs="Arial"/>
                <w:b/>
                <w:highlight w:val="yellow"/>
              </w:rPr>
            </w:pPr>
            <w:r w:rsidRPr="003726BE">
              <w:rPr>
                <w:b/>
                <w:color w:val="648659" w:themeColor="accent6" w:themeShade="BF"/>
                <w:highlight w:val="yellow"/>
              </w:rPr>
              <w:t>Relazioni relative al PSR</w:t>
            </w:r>
            <w:r w:rsidRPr="003726BE">
              <w:tab/>
            </w:r>
          </w:p>
        </w:tc>
      </w:tr>
      <w:tr w:rsidR="00282498" w:rsidRPr="003726BE" w14:paraId="4836EF22" w14:textId="77777777" w:rsidTr="00D420BD">
        <w:trPr>
          <w:jc w:val="center"/>
        </w:trPr>
        <w:tc>
          <w:tcPr>
            <w:tcW w:w="5949" w:type="dxa"/>
            <w:shd w:val="clear" w:color="auto" w:fill="auto"/>
          </w:tcPr>
          <w:p w14:paraId="333B32D5" w14:textId="77777777" w:rsidR="00282498" w:rsidRPr="003726BE" w:rsidRDefault="00282498" w:rsidP="00282498">
            <w:pPr>
              <w:pStyle w:val="Htableleft"/>
              <w:rPr>
                <w:rFonts w:cs="Arial"/>
                <w:highlight w:val="yellow"/>
              </w:rPr>
            </w:pPr>
            <w:r w:rsidRPr="003726BE">
              <w:rPr>
                <w:b/>
                <w:highlight w:val="yellow"/>
              </w:rPr>
              <w:t>Relazioni relative alla valutazione</w:t>
            </w:r>
            <w:r w:rsidRPr="003726BE">
              <w:rPr>
                <w:highlight w:val="yellow"/>
              </w:rPr>
              <w:t xml:space="preserve"> (a livello di PSR)</w:t>
            </w:r>
          </w:p>
          <w:p w14:paraId="0119DD77" w14:textId="77777777" w:rsidR="00282498" w:rsidRPr="003726BE" w:rsidRDefault="00282498" w:rsidP="006528D4">
            <w:pPr>
              <w:pStyle w:val="Htableleft"/>
              <w:rPr>
                <w:rFonts w:cs="Arial"/>
                <w:highlight w:val="yellow"/>
              </w:rPr>
            </w:pPr>
            <w:r w:rsidRPr="003726BE">
              <w:rPr>
                <w:highlight w:val="yellow"/>
              </w:rPr>
              <w:t>Le autorità di gestione devono garantire che le valutazioni si svolgano secondo il piano di valutazione (in particolare quelle che mirano a valutare l'efficacia, l'efficienza e i risultati). Almeno una volta nel corso del periodo di programmazione si valuta in che modo il sostegno dei fondi SIE abbia contribuito al conseguimento degli obiettivi di ciascuna priorità. Tutte le valutazioni sono soggette all'esame del comitato di sorveglianza e trasmesse alla Commissione.</w:t>
            </w:r>
          </w:p>
        </w:tc>
        <w:tc>
          <w:tcPr>
            <w:tcW w:w="2268" w:type="dxa"/>
            <w:shd w:val="clear" w:color="auto" w:fill="auto"/>
          </w:tcPr>
          <w:p w14:paraId="5851C7AA" w14:textId="77777777" w:rsidR="00282498" w:rsidRPr="003726BE" w:rsidRDefault="00282498" w:rsidP="00282498">
            <w:pPr>
              <w:pStyle w:val="Htableleft"/>
              <w:rPr>
                <w:rFonts w:cs="Arial"/>
                <w:highlight w:val="yellow"/>
              </w:rPr>
            </w:pPr>
            <w:r w:rsidRPr="003726BE">
              <w:rPr>
                <w:highlight w:val="yellow"/>
              </w:rPr>
              <w:t>1303/2013, articolo 50.2 e 56.1.</w:t>
            </w:r>
          </w:p>
          <w:p w14:paraId="5465AFC1" w14:textId="77777777" w:rsidR="00282498" w:rsidRPr="003726BE" w:rsidRDefault="00282498" w:rsidP="00282498">
            <w:pPr>
              <w:pStyle w:val="Htableleft"/>
              <w:rPr>
                <w:rFonts w:cs="Arial"/>
                <w:highlight w:val="yellow"/>
              </w:rPr>
            </w:pPr>
            <w:r w:rsidRPr="003726BE">
              <w:rPr>
                <w:highlight w:val="yellow"/>
              </w:rPr>
              <w:t>Regolamento di esecuzione n. 808/2014 della Commissione, Allegato VII, punto 2, lettere d) ed e).</w:t>
            </w:r>
          </w:p>
        </w:tc>
        <w:tc>
          <w:tcPr>
            <w:tcW w:w="6525" w:type="dxa"/>
            <w:shd w:val="clear" w:color="auto" w:fill="auto"/>
          </w:tcPr>
          <w:p w14:paraId="5C14731A" w14:textId="77777777" w:rsidR="00282498" w:rsidRPr="003726BE" w:rsidRDefault="0053361D" w:rsidP="00282498">
            <w:pPr>
              <w:pStyle w:val="Htableleft"/>
              <w:rPr>
                <w:rFonts w:cs="Arial"/>
                <w:highlight w:val="yellow"/>
              </w:rPr>
            </w:pPr>
            <w:r w:rsidRPr="003726BE">
              <w:rPr>
                <w:highlight w:val="yellow"/>
              </w:rPr>
              <w:t>La RAA deve contenere la sintesi dei risultati di tutte le valutazioni del PSR che possano essere diventate disponibili nel corso dell'esercizio precedente.</w:t>
            </w:r>
          </w:p>
          <w:p w14:paraId="17908D2E" w14:textId="77777777" w:rsidR="00282498" w:rsidRPr="003726BE" w:rsidRDefault="00282498" w:rsidP="008479A4">
            <w:pPr>
              <w:pStyle w:val="Htableleft"/>
              <w:rPr>
                <w:rFonts w:cs="Arial"/>
                <w:highlight w:val="yellow"/>
              </w:rPr>
            </w:pPr>
            <w:r w:rsidRPr="003726BE">
              <w:rPr>
                <w:highlight w:val="yellow"/>
              </w:rPr>
              <w:t>La RAA 2017 deve includere elementi di valutazione, quali ad esempio le risposte alle domande di valutazione e la valutazione dello stato di avanzamento in termini di indicatori di risultato relativi a aspetti specifici.</w:t>
            </w:r>
          </w:p>
          <w:p w14:paraId="1F84E44C" w14:textId="77777777" w:rsidR="006140FD" w:rsidRPr="003726BE" w:rsidRDefault="006140FD" w:rsidP="008479A4">
            <w:pPr>
              <w:pStyle w:val="Htableleft"/>
              <w:rPr>
                <w:rFonts w:cs="Arial"/>
                <w:highlight w:val="yellow"/>
              </w:rPr>
            </w:pPr>
          </w:p>
        </w:tc>
      </w:tr>
      <w:tr w:rsidR="00282498" w:rsidRPr="003726BE" w14:paraId="7C4CB5EF" w14:textId="77777777" w:rsidTr="00D420BD">
        <w:trPr>
          <w:jc w:val="center"/>
        </w:trPr>
        <w:tc>
          <w:tcPr>
            <w:tcW w:w="5949" w:type="dxa"/>
            <w:shd w:val="clear" w:color="auto" w:fill="auto"/>
          </w:tcPr>
          <w:p w14:paraId="7E80B5AD" w14:textId="77777777" w:rsidR="00282498" w:rsidRPr="003726BE" w:rsidRDefault="00282498" w:rsidP="00282498">
            <w:pPr>
              <w:pStyle w:val="Htableleft"/>
              <w:rPr>
                <w:rFonts w:cs="Arial"/>
                <w:highlight w:val="yellow"/>
              </w:rPr>
            </w:pPr>
            <w:r w:rsidRPr="003726BE">
              <w:rPr>
                <w:b/>
                <w:highlight w:val="yellow"/>
              </w:rPr>
              <w:t xml:space="preserve">Relazione sull'attuazione degli strumenti finanziari </w:t>
            </w:r>
            <w:r w:rsidRPr="003726BE">
              <w:rPr>
                <w:highlight w:val="yellow"/>
              </w:rPr>
              <w:t>(a livello di PSR)</w:t>
            </w:r>
          </w:p>
          <w:p w14:paraId="2AC6B53F" w14:textId="77777777" w:rsidR="00282498" w:rsidRPr="003726BE" w:rsidRDefault="00282498" w:rsidP="00A3729A">
            <w:pPr>
              <w:pStyle w:val="Htableleft"/>
              <w:rPr>
                <w:rFonts w:cs="Arial"/>
                <w:highlight w:val="yellow"/>
              </w:rPr>
            </w:pPr>
            <w:r w:rsidRPr="003726BE">
              <w:rPr>
                <w:highlight w:val="yellow"/>
              </w:rPr>
              <w:t>L'AG deve trasmettere alla Commissione ogni anno una relazione specifica sulle operazioni, includendo gli strumenti finanziari. Tale relazione include, tra l'altro, informazioni in merito alle modalità di attuazione dello strumento finanziario, all'identificazione degli organismi di attuazione degli strumenti finanziari, a informazioni finanziarie in merito allo strumento finanziario, all'efficacia dello strumento finanziario e al contributo alla realizzazione degli indicatori della priorità o misura interessata.</w:t>
            </w:r>
          </w:p>
        </w:tc>
        <w:tc>
          <w:tcPr>
            <w:tcW w:w="2268" w:type="dxa"/>
            <w:shd w:val="clear" w:color="auto" w:fill="auto"/>
          </w:tcPr>
          <w:p w14:paraId="2423EE0E" w14:textId="77777777" w:rsidR="00282498" w:rsidRPr="003726BE" w:rsidRDefault="00282498" w:rsidP="00282498">
            <w:pPr>
              <w:pStyle w:val="Htableleft"/>
              <w:rPr>
                <w:rFonts w:cs="Arial"/>
                <w:highlight w:val="yellow"/>
              </w:rPr>
            </w:pPr>
            <w:r w:rsidRPr="003726BE">
              <w:rPr>
                <w:highlight w:val="yellow"/>
              </w:rPr>
              <w:t>1303/2013, articolo 46.2.</w:t>
            </w:r>
          </w:p>
          <w:p w14:paraId="11706375" w14:textId="77777777" w:rsidR="00282498" w:rsidRPr="003726BE" w:rsidRDefault="00282498" w:rsidP="00282498">
            <w:pPr>
              <w:pStyle w:val="Htableleft"/>
              <w:rPr>
                <w:rFonts w:cs="Arial"/>
                <w:highlight w:val="yellow"/>
              </w:rPr>
            </w:pPr>
            <w:r w:rsidRPr="003726BE">
              <w:rPr>
                <w:highlight w:val="yellow"/>
              </w:rPr>
              <w:t>Regolamento di esecuzione n. 808/2014 della Commissione, Allegato VII, punto 10.</w:t>
            </w:r>
          </w:p>
        </w:tc>
        <w:tc>
          <w:tcPr>
            <w:tcW w:w="6525" w:type="dxa"/>
            <w:shd w:val="clear" w:color="auto" w:fill="auto"/>
          </w:tcPr>
          <w:p w14:paraId="1FA44736" w14:textId="77777777" w:rsidR="00282498" w:rsidRPr="003726BE" w:rsidRDefault="00282498" w:rsidP="00475734">
            <w:pPr>
              <w:pStyle w:val="Htableleft"/>
              <w:rPr>
                <w:rFonts w:cs="Arial"/>
                <w:highlight w:val="yellow"/>
              </w:rPr>
            </w:pPr>
            <w:r w:rsidRPr="003726BE">
              <w:rPr>
                <w:highlight w:val="yellow"/>
              </w:rPr>
              <w:t xml:space="preserve">Questa relazione sull'attuazione degli strumenti finanziari viene allegata alla RAA. La RAA 2017 dovrebbe inoltre contenere informazioni sullo stato di avanzamento della realizzazione degli effetti leva attesi in relazione agli investimenti effettuati dallo strumento finanziario e sul contributo alle realizzazioni degli indicatori della priorità o misura interessata. </w:t>
            </w:r>
          </w:p>
        </w:tc>
      </w:tr>
      <w:tr w:rsidR="00A04C41" w:rsidRPr="003726BE" w14:paraId="7F93E952" w14:textId="77777777" w:rsidTr="00A53E9A">
        <w:trPr>
          <w:trHeight w:val="349"/>
          <w:jc w:val="center"/>
        </w:trPr>
        <w:tc>
          <w:tcPr>
            <w:tcW w:w="14742" w:type="dxa"/>
            <w:gridSpan w:val="3"/>
            <w:tcBorders>
              <w:bottom w:val="single" w:sz="4" w:space="0" w:color="6F6F6F" w:themeColor="text1"/>
            </w:tcBorders>
            <w:shd w:val="clear" w:color="auto" w:fill="auto"/>
          </w:tcPr>
          <w:p w14:paraId="25EC916E" w14:textId="77777777" w:rsidR="00A04C41" w:rsidRPr="003726BE" w:rsidRDefault="00A53E9A" w:rsidP="00282498">
            <w:pPr>
              <w:pStyle w:val="Htableleft"/>
              <w:rPr>
                <w:rFonts w:cs="Arial"/>
                <w:b/>
                <w:highlight w:val="yellow"/>
              </w:rPr>
            </w:pPr>
            <w:r w:rsidRPr="003726BE">
              <w:rPr>
                <w:b/>
                <w:color w:val="648659" w:themeColor="accent6" w:themeShade="BF"/>
                <w:highlight w:val="yellow"/>
              </w:rPr>
              <w:t>Relazioni relative ad accordi di partenariato</w:t>
            </w:r>
          </w:p>
        </w:tc>
      </w:tr>
      <w:tr w:rsidR="00282498" w:rsidRPr="003726BE" w14:paraId="7E8EDD14" w14:textId="77777777" w:rsidTr="00D420BD">
        <w:trPr>
          <w:jc w:val="center"/>
        </w:trPr>
        <w:tc>
          <w:tcPr>
            <w:tcW w:w="5949" w:type="dxa"/>
            <w:shd w:val="clear" w:color="auto" w:fill="auto"/>
          </w:tcPr>
          <w:p w14:paraId="686AF01D" w14:textId="77777777" w:rsidR="00282498" w:rsidRPr="003726BE" w:rsidRDefault="00282498" w:rsidP="00282498">
            <w:pPr>
              <w:pStyle w:val="Htableleft"/>
              <w:rPr>
                <w:rFonts w:cs="Arial"/>
                <w:highlight w:val="yellow"/>
              </w:rPr>
            </w:pPr>
            <w:r w:rsidRPr="003726BE">
              <w:rPr>
                <w:b/>
                <w:highlight w:val="yellow"/>
              </w:rPr>
              <w:t xml:space="preserve">Relazione sullo stato dei lavori concernente l'esecuzione dell'accordo di partenariato </w:t>
            </w:r>
            <w:r w:rsidRPr="003726BE">
              <w:rPr>
                <w:highlight w:val="yellow"/>
              </w:rPr>
              <w:t>(a livello di Stati membri)</w:t>
            </w:r>
          </w:p>
          <w:p w14:paraId="698A7627" w14:textId="77777777" w:rsidR="00282498" w:rsidRPr="003726BE" w:rsidRDefault="00282498" w:rsidP="00282498">
            <w:pPr>
              <w:pStyle w:val="Htableleft"/>
              <w:rPr>
                <w:rFonts w:cs="Arial"/>
                <w:highlight w:val="yellow"/>
              </w:rPr>
            </w:pPr>
            <w:r w:rsidRPr="003726BE">
              <w:rPr>
                <w:highlight w:val="yellow"/>
              </w:rPr>
              <w:t>Entro il 31 agosto 2017, gli Stati membri devono presentare alla Commissione la relazione sullo stato dei lavori concernente l'esecuzione dell'accordo di partenariato al 31 dicembre 2016.</w:t>
            </w:r>
          </w:p>
        </w:tc>
        <w:tc>
          <w:tcPr>
            <w:tcW w:w="2268" w:type="dxa"/>
            <w:shd w:val="clear" w:color="auto" w:fill="auto"/>
          </w:tcPr>
          <w:p w14:paraId="7FE3AC67" w14:textId="77777777" w:rsidR="00282498" w:rsidRPr="003726BE" w:rsidRDefault="00282498" w:rsidP="00282498">
            <w:pPr>
              <w:pStyle w:val="Htableleft"/>
              <w:rPr>
                <w:rFonts w:cs="Arial"/>
                <w:highlight w:val="yellow"/>
              </w:rPr>
            </w:pPr>
            <w:r w:rsidRPr="003726BE">
              <w:rPr>
                <w:highlight w:val="yellow"/>
              </w:rPr>
              <w:t>1303/2013, articolo 52.1.</w:t>
            </w:r>
          </w:p>
        </w:tc>
        <w:tc>
          <w:tcPr>
            <w:tcW w:w="6525" w:type="dxa"/>
            <w:shd w:val="clear" w:color="auto" w:fill="auto"/>
          </w:tcPr>
          <w:p w14:paraId="5C59DD62" w14:textId="77777777" w:rsidR="00282498" w:rsidRPr="003726BE" w:rsidRDefault="00282498" w:rsidP="009D3D48">
            <w:pPr>
              <w:pStyle w:val="Htableleft"/>
              <w:rPr>
                <w:rFonts w:cs="Arial"/>
                <w:highlight w:val="yellow"/>
              </w:rPr>
            </w:pPr>
            <w:r w:rsidRPr="003726BE">
              <w:rPr>
                <w:highlight w:val="yellow"/>
              </w:rPr>
              <w:t xml:space="preserve">La relazione sui progressi compiuti si riferisce all'attuazione di fondi SIE attraverso i programmi operativi nell'ambito dell'accordo di partenariato. La RAA 2017 fornisce contributi in relazione all'attuazione dei risultati del PSR del FEAS, nonché il contributo del PSR a favore degli obiettivi delle politiche (se del caso). </w:t>
            </w:r>
          </w:p>
        </w:tc>
      </w:tr>
      <w:tr w:rsidR="00282498" w:rsidRPr="003726BE" w14:paraId="4CA6E068" w14:textId="77777777" w:rsidTr="00D420BD">
        <w:trPr>
          <w:jc w:val="center"/>
        </w:trPr>
        <w:tc>
          <w:tcPr>
            <w:tcW w:w="5949" w:type="dxa"/>
            <w:shd w:val="clear" w:color="auto" w:fill="auto"/>
          </w:tcPr>
          <w:p w14:paraId="49C4385C" w14:textId="77777777" w:rsidR="00282498" w:rsidRPr="003726BE" w:rsidRDefault="00282498" w:rsidP="00282498">
            <w:pPr>
              <w:pStyle w:val="Htableleft"/>
              <w:rPr>
                <w:rFonts w:cs="Arial"/>
                <w:highlight w:val="yellow"/>
              </w:rPr>
            </w:pPr>
            <w:r w:rsidRPr="003726BE">
              <w:rPr>
                <w:b/>
                <w:highlight w:val="yellow"/>
              </w:rPr>
              <w:t xml:space="preserve">Relazione strategica </w:t>
            </w:r>
            <w:r w:rsidRPr="003726BE">
              <w:rPr>
                <w:highlight w:val="yellow"/>
              </w:rPr>
              <w:t>(a livello di UE)</w:t>
            </w:r>
          </w:p>
          <w:p w14:paraId="07B2F113" w14:textId="77777777" w:rsidR="00282498" w:rsidRPr="003726BE" w:rsidRDefault="00282498" w:rsidP="00282498">
            <w:pPr>
              <w:pStyle w:val="Htableleft"/>
              <w:rPr>
                <w:rFonts w:cs="Arial"/>
                <w:highlight w:val="yellow"/>
              </w:rPr>
            </w:pPr>
            <w:r w:rsidRPr="003726BE">
              <w:rPr>
                <w:highlight w:val="yellow"/>
              </w:rPr>
              <w:t>Nel 2017, la Commissione preparerà una relazione strategica che sintetizzerà le relazioni sullo stato dei lavori degli Stati membri. Tale relazione strategica sarà notificata contestualmente al Parlamento europeo, al Consiglio, al Comitato economico e sociale europeo e al Comitato delle regioni entro il 31 dicembre 2017.</w:t>
            </w:r>
          </w:p>
        </w:tc>
        <w:tc>
          <w:tcPr>
            <w:tcW w:w="2268" w:type="dxa"/>
            <w:shd w:val="clear" w:color="auto" w:fill="auto"/>
          </w:tcPr>
          <w:p w14:paraId="76D71C99" w14:textId="77777777" w:rsidR="00282498" w:rsidRPr="003726BE" w:rsidRDefault="00282498" w:rsidP="00282498">
            <w:pPr>
              <w:pStyle w:val="Htableleft"/>
              <w:rPr>
                <w:rFonts w:cs="Arial"/>
                <w:highlight w:val="yellow"/>
              </w:rPr>
            </w:pPr>
            <w:r w:rsidRPr="003726BE">
              <w:rPr>
                <w:highlight w:val="yellow"/>
              </w:rPr>
              <w:t>1303/2013, articolo 53.2.</w:t>
            </w:r>
          </w:p>
        </w:tc>
        <w:tc>
          <w:tcPr>
            <w:tcW w:w="6525" w:type="dxa"/>
            <w:shd w:val="clear" w:color="auto" w:fill="auto"/>
          </w:tcPr>
          <w:p w14:paraId="35710A5A" w14:textId="77777777" w:rsidR="00282498" w:rsidRPr="003726BE" w:rsidRDefault="00282498" w:rsidP="00475734">
            <w:pPr>
              <w:pStyle w:val="Htableleft"/>
              <w:rPr>
                <w:rFonts w:cs="Arial"/>
                <w:highlight w:val="yellow"/>
              </w:rPr>
            </w:pPr>
            <w:r w:rsidRPr="003726BE">
              <w:rPr>
                <w:highlight w:val="yellow"/>
              </w:rPr>
              <w:t xml:space="preserve">Le informazioni risultanti dalla RAA 2017, comprese le relazioni sulla valutazione, andranno ad alimentare la relazione sullo stato dei lavori concernente l'esecuzione dell'accordo di partenariato presentata nel 2017, che è sintetizzata nella relazione strategica a livello di UE. </w:t>
            </w:r>
          </w:p>
        </w:tc>
      </w:tr>
      <w:tr w:rsidR="00A04C41" w:rsidRPr="003726BE" w14:paraId="3110A4A6" w14:textId="77777777" w:rsidTr="00D420BD">
        <w:trPr>
          <w:jc w:val="center"/>
        </w:trPr>
        <w:tc>
          <w:tcPr>
            <w:tcW w:w="14742" w:type="dxa"/>
            <w:gridSpan w:val="3"/>
            <w:shd w:val="clear" w:color="auto" w:fill="auto"/>
          </w:tcPr>
          <w:p w14:paraId="38FBDB16" w14:textId="77777777" w:rsidR="00A04C41" w:rsidRPr="003726BE" w:rsidRDefault="00A04C41" w:rsidP="00282498">
            <w:pPr>
              <w:pStyle w:val="Htableleft"/>
              <w:rPr>
                <w:rFonts w:cs="Arial"/>
                <w:b/>
                <w:highlight w:val="yellow"/>
              </w:rPr>
            </w:pPr>
            <w:r w:rsidRPr="003726BE">
              <w:rPr>
                <w:b/>
                <w:color w:val="648659" w:themeColor="accent6" w:themeShade="BF"/>
                <w:highlight w:val="yellow"/>
              </w:rPr>
              <w:t>Relazioni relative ai fondi SIE</w:t>
            </w:r>
          </w:p>
        </w:tc>
      </w:tr>
      <w:tr w:rsidR="00282498" w:rsidRPr="003726BE" w14:paraId="761D5667" w14:textId="77777777" w:rsidTr="00D420BD">
        <w:trPr>
          <w:jc w:val="center"/>
        </w:trPr>
        <w:tc>
          <w:tcPr>
            <w:tcW w:w="5949" w:type="dxa"/>
            <w:shd w:val="clear" w:color="auto" w:fill="auto"/>
          </w:tcPr>
          <w:p w14:paraId="66893CFC" w14:textId="77777777" w:rsidR="00282498" w:rsidRPr="003726BE" w:rsidRDefault="00282498" w:rsidP="00282498">
            <w:pPr>
              <w:pStyle w:val="Htableleft"/>
              <w:rPr>
                <w:rFonts w:cs="Arial"/>
                <w:highlight w:val="yellow"/>
              </w:rPr>
            </w:pPr>
            <w:r w:rsidRPr="003726BE">
              <w:rPr>
                <w:b/>
                <w:highlight w:val="yellow"/>
              </w:rPr>
              <w:t>Relazione di sintesi</w:t>
            </w:r>
            <w:r w:rsidRPr="003726BE">
              <w:rPr>
                <w:highlight w:val="yellow"/>
              </w:rPr>
              <w:t xml:space="preserve"> (a livello di UE)</w:t>
            </w:r>
          </w:p>
          <w:p w14:paraId="39F570BB" w14:textId="77777777" w:rsidR="00282498" w:rsidRPr="003726BE" w:rsidRDefault="00282498" w:rsidP="008479A4">
            <w:pPr>
              <w:pStyle w:val="Htableleft"/>
              <w:rPr>
                <w:rFonts w:cs="Arial"/>
                <w:highlight w:val="yellow"/>
              </w:rPr>
            </w:pPr>
            <w:r w:rsidRPr="003726BE">
              <w:rPr>
                <w:highlight w:val="yellow"/>
              </w:rPr>
              <w:t xml:space="preserve">A partire dal 2016, la Commissione presenta ogni anno una relazione di sintesi in relazione ai programmi dei fondi SIE al Parlamento europeo, al Consiglio, al Comitato economico e sociale europeo e al Comitato </w:t>
            </w:r>
            <w:r w:rsidRPr="003726BE">
              <w:rPr>
                <w:highlight w:val="yellow"/>
              </w:rPr>
              <w:lastRenderedPageBreak/>
              <w:t xml:space="preserve">delle regioni. </w:t>
            </w:r>
          </w:p>
        </w:tc>
        <w:tc>
          <w:tcPr>
            <w:tcW w:w="2268" w:type="dxa"/>
            <w:shd w:val="clear" w:color="auto" w:fill="auto"/>
          </w:tcPr>
          <w:p w14:paraId="17F27FF7" w14:textId="77777777" w:rsidR="00282498" w:rsidRPr="003726BE" w:rsidRDefault="00282498" w:rsidP="00282498">
            <w:pPr>
              <w:pStyle w:val="Htableleft"/>
              <w:rPr>
                <w:rFonts w:cs="Arial"/>
                <w:highlight w:val="yellow"/>
              </w:rPr>
            </w:pPr>
            <w:r w:rsidRPr="003726BE">
              <w:rPr>
                <w:highlight w:val="yellow"/>
              </w:rPr>
              <w:lastRenderedPageBreak/>
              <w:t>1303/2013, articolo 53.1.</w:t>
            </w:r>
          </w:p>
        </w:tc>
        <w:tc>
          <w:tcPr>
            <w:tcW w:w="6525" w:type="dxa"/>
            <w:shd w:val="clear" w:color="auto" w:fill="auto"/>
          </w:tcPr>
          <w:p w14:paraId="4D23EBE4" w14:textId="77777777" w:rsidR="00282498" w:rsidRPr="003726BE" w:rsidRDefault="00282498" w:rsidP="00475734">
            <w:pPr>
              <w:pStyle w:val="Htableleft"/>
              <w:rPr>
                <w:rFonts w:cs="Arial"/>
                <w:highlight w:val="yellow"/>
              </w:rPr>
            </w:pPr>
            <w:r w:rsidRPr="003726BE">
              <w:rPr>
                <w:highlight w:val="yellow"/>
              </w:rPr>
              <w:t>La RAA 2017 fornisce inoltre contributi alle relazioni di sintesi sull'attuazione dei fondi SIE,</w:t>
            </w:r>
            <w:r w:rsidR="00E7404C">
              <w:rPr>
                <w:highlight w:val="yellow"/>
              </w:rPr>
              <w:t xml:space="preserve"> presentate ogni anno.</w:t>
            </w:r>
            <w:r w:rsidRPr="003726BE">
              <w:rPr>
                <w:highlight w:val="yellow"/>
              </w:rPr>
              <w:t xml:space="preserve"> Nel 2017 la relazione di sintesi costituirà parte della relazione strategica.</w:t>
            </w:r>
          </w:p>
        </w:tc>
      </w:tr>
      <w:tr w:rsidR="00A53E9A" w:rsidRPr="003726BE" w14:paraId="0D5DFBE3" w14:textId="77777777" w:rsidTr="000718C7">
        <w:trPr>
          <w:jc w:val="center"/>
        </w:trPr>
        <w:tc>
          <w:tcPr>
            <w:tcW w:w="14742" w:type="dxa"/>
            <w:gridSpan w:val="3"/>
            <w:shd w:val="clear" w:color="auto" w:fill="auto"/>
          </w:tcPr>
          <w:p w14:paraId="5E889FAF" w14:textId="77777777" w:rsidR="0001223C" w:rsidRPr="003726BE" w:rsidRDefault="0001223C" w:rsidP="000718C7">
            <w:pPr>
              <w:pStyle w:val="Htableleft"/>
              <w:rPr>
                <w:rFonts w:cs="Arial"/>
                <w:b/>
                <w:color w:val="648659" w:themeColor="accent6" w:themeShade="BF"/>
                <w:highlight w:val="yellow"/>
              </w:rPr>
            </w:pPr>
          </w:p>
          <w:p w14:paraId="3A62D690" w14:textId="77777777" w:rsidR="0001223C" w:rsidRPr="003726BE" w:rsidRDefault="0001223C" w:rsidP="000718C7">
            <w:pPr>
              <w:pStyle w:val="Htableleft"/>
              <w:rPr>
                <w:rFonts w:cs="Arial"/>
                <w:b/>
                <w:color w:val="648659" w:themeColor="accent6" w:themeShade="BF"/>
                <w:highlight w:val="yellow"/>
              </w:rPr>
            </w:pPr>
          </w:p>
          <w:p w14:paraId="7CCE31EB" w14:textId="77777777" w:rsidR="00A53E9A" w:rsidRPr="003726BE" w:rsidRDefault="00A53E9A" w:rsidP="000718C7">
            <w:pPr>
              <w:pStyle w:val="Htableleft"/>
              <w:rPr>
                <w:rFonts w:cs="Arial"/>
                <w:b/>
                <w:highlight w:val="yellow"/>
              </w:rPr>
            </w:pPr>
            <w:r w:rsidRPr="003726BE">
              <w:rPr>
                <w:b/>
                <w:color w:val="648659" w:themeColor="accent6" w:themeShade="BF"/>
                <w:highlight w:val="yellow"/>
              </w:rPr>
              <w:t>Relazioni relative alla PAC</w:t>
            </w:r>
          </w:p>
        </w:tc>
      </w:tr>
      <w:tr w:rsidR="00A53E9A" w:rsidRPr="003726BE" w14:paraId="6FF6AB50" w14:textId="77777777" w:rsidTr="000718C7">
        <w:trPr>
          <w:jc w:val="center"/>
        </w:trPr>
        <w:tc>
          <w:tcPr>
            <w:tcW w:w="5949" w:type="dxa"/>
            <w:shd w:val="clear" w:color="auto" w:fill="auto"/>
          </w:tcPr>
          <w:p w14:paraId="6994DC26" w14:textId="77777777" w:rsidR="00A53E9A" w:rsidRPr="003726BE" w:rsidRDefault="00A53E9A" w:rsidP="000718C7">
            <w:pPr>
              <w:pStyle w:val="Htableleft"/>
              <w:rPr>
                <w:rFonts w:cs="Arial"/>
                <w:highlight w:val="yellow"/>
              </w:rPr>
            </w:pPr>
            <w:r w:rsidRPr="003726BE">
              <w:rPr>
                <w:b/>
                <w:highlight w:val="yellow"/>
              </w:rPr>
              <w:t xml:space="preserve">Relazione sulle prestazioni della PAC </w:t>
            </w:r>
            <w:r w:rsidRPr="003726BE">
              <w:rPr>
                <w:highlight w:val="yellow"/>
              </w:rPr>
              <w:t>(a livello di UE)</w:t>
            </w:r>
          </w:p>
          <w:p w14:paraId="0ECE8FD9" w14:textId="77777777" w:rsidR="00A53E9A" w:rsidRPr="003726BE" w:rsidRDefault="00A53E9A" w:rsidP="000718C7">
            <w:pPr>
              <w:pStyle w:val="Htableleft"/>
              <w:rPr>
                <w:rFonts w:cs="Arial"/>
                <w:highlight w:val="yellow"/>
              </w:rPr>
            </w:pPr>
            <w:r w:rsidRPr="003726BE">
              <w:rPr>
                <w:highlight w:val="yellow"/>
              </w:rPr>
              <w:t>La Commissione presenta la relazione iniziale sull'attuazione di cui all'articolo 110 del regolamento 1306/2013. Tale relazione riguarda il monitoraggio e la valutazione della PAC e i primi risultati delle sue prestazioni. Questa relazione sarà presentata al Parlamento europeo e al Consiglio entro il 31 dicembre 2018.</w:t>
            </w:r>
          </w:p>
        </w:tc>
        <w:tc>
          <w:tcPr>
            <w:tcW w:w="2268" w:type="dxa"/>
            <w:shd w:val="clear" w:color="auto" w:fill="auto"/>
          </w:tcPr>
          <w:p w14:paraId="25713CD8" w14:textId="77777777" w:rsidR="00A53E9A" w:rsidRPr="003726BE" w:rsidRDefault="00A53E9A" w:rsidP="000718C7">
            <w:pPr>
              <w:pStyle w:val="Htableleft"/>
              <w:rPr>
                <w:rFonts w:cs="Arial"/>
                <w:highlight w:val="yellow"/>
              </w:rPr>
            </w:pPr>
            <w:r w:rsidRPr="003726BE">
              <w:rPr>
                <w:highlight w:val="yellow"/>
              </w:rPr>
              <w:t>1306/2013, articolo 110.5.</w:t>
            </w:r>
          </w:p>
        </w:tc>
        <w:tc>
          <w:tcPr>
            <w:tcW w:w="6525" w:type="dxa"/>
            <w:shd w:val="clear" w:color="auto" w:fill="auto"/>
          </w:tcPr>
          <w:p w14:paraId="0437E91D" w14:textId="77777777" w:rsidR="00A53E9A" w:rsidRPr="003726BE" w:rsidRDefault="00A53E9A" w:rsidP="000718C7">
            <w:pPr>
              <w:pStyle w:val="Htableleft"/>
              <w:rPr>
                <w:rFonts w:cs="Arial"/>
                <w:highlight w:val="yellow"/>
              </w:rPr>
            </w:pPr>
            <w:r w:rsidRPr="003726BE">
              <w:rPr>
                <w:highlight w:val="yellow"/>
              </w:rPr>
              <w:t xml:space="preserve">La RAA 2017 includerà la sintesi delle risultanze di tutte le valutazioni del PSR, nonché cambiamenti ai valori degli indicatori di risultato. Questo insieme di informazioni costituirà quindi una delle fonti di informazioni sulle prestazioni delle misure di sviluppo rurale per la preparazione della relazione sulla PAC. </w:t>
            </w:r>
          </w:p>
        </w:tc>
      </w:tr>
    </w:tbl>
    <w:p w14:paraId="65171B97" w14:textId="77777777" w:rsidR="00282498" w:rsidRPr="003726BE" w:rsidRDefault="00282498" w:rsidP="00673940">
      <w:pPr>
        <w:pStyle w:val="HStandard"/>
        <w:rPr>
          <w:rFonts w:cs="Arial"/>
          <w:highlight w:val="yellow"/>
        </w:rPr>
      </w:pPr>
    </w:p>
    <w:p w14:paraId="428A4FB0" w14:textId="77777777" w:rsidR="00282498" w:rsidRPr="003726BE" w:rsidRDefault="00282498" w:rsidP="00673940">
      <w:pPr>
        <w:pStyle w:val="HStandard"/>
        <w:rPr>
          <w:rFonts w:cs="Arial"/>
          <w:highlight w:val="yellow"/>
        </w:rPr>
        <w:sectPr w:rsidR="00282498" w:rsidRPr="003726BE" w:rsidSect="008402F5">
          <w:headerReference w:type="default" r:id="rId26"/>
          <w:footerReference w:type="default" r:id="rId27"/>
          <w:headerReference w:type="first" r:id="rId28"/>
          <w:footerReference w:type="first" r:id="rId29"/>
          <w:pgSz w:w="16838" w:h="11906" w:orient="landscape" w:code="9"/>
          <w:pgMar w:top="1418" w:right="820" w:bottom="1418" w:left="1418" w:header="737" w:footer="1021" w:gutter="0"/>
          <w:cols w:space="708"/>
          <w:titlePg/>
          <w:docGrid w:linePitch="360"/>
        </w:sectPr>
      </w:pPr>
    </w:p>
    <w:p w14:paraId="4F1FF8FD" w14:textId="77777777" w:rsidR="00282498" w:rsidRPr="003726BE" w:rsidRDefault="00A04C41" w:rsidP="00D62F94">
      <w:pPr>
        <w:pStyle w:val="HHeading2"/>
        <w:rPr>
          <w:rFonts w:cs="Arial"/>
          <w:highlight w:val="yellow"/>
        </w:rPr>
      </w:pPr>
      <w:bookmarkStart w:id="29" w:name="_Toc460936100"/>
      <w:bookmarkStart w:id="30" w:name="_Toc474132140"/>
      <w:r w:rsidRPr="003726BE">
        <w:rPr>
          <w:highlight w:val="yellow"/>
        </w:rPr>
        <w:lastRenderedPageBreak/>
        <w:t>Nessi tra la predisposizione di relazioni nel 2017 e i requisiti generali in materia di relazioni relativi allo sviluppo rurale nel periodo 2014-2020</w:t>
      </w:r>
      <w:bookmarkEnd w:id="29"/>
      <w:bookmarkEnd w:id="30"/>
    </w:p>
    <w:p w14:paraId="189FEAE3" w14:textId="77777777" w:rsidR="00EB1AA9" w:rsidRPr="003726BE" w:rsidRDefault="00A04C41" w:rsidP="00673940">
      <w:pPr>
        <w:pStyle w:val="HStandard"/>
        <w:rPr>
          <w:rFonts w:cs="Arial"/>
          <w:highlight w:val="yellow"/>
        </w:rPr>
      </w:pPr>
      <w:r w:rsidRPr="003726BE">
        <w:rPr>
          <w:highlight w:val="yellow"/>
        </w:rPr>
        <w:t xml:space="preserve">I requisiti in materia di relazioni sulla valutazione nel 2017 sono strettamente connessi alla predisposizione di relazioni sulla valutazione durante l'intero periodo di programmazione. Dato che i compiti di valutazione diventano più sofisticati verso la fine del periodo di programmazione, è necessario impostare e sviluppare correttamente il sistema di controllo e valutazione. In questo modo, sarà possibile fornire informazioni per la valutazione durante l'intero periodo di programmazione e per la valutazione </w:t>
      </w:r>
      <w:r w:rsidRPr="003726BE">
        <w:rPr>
          <w:i/>
          <w:highlight w:val="yellow"/>
        </w:rPr>
        <w:t>ex post</w:t>
      </w:r>
      <w:r w:rsidRPr="003726BE">
        <w:rPr>
          <w:highlight w:val="yellow"/>
        </w:rPr>
        <w:t>.</w:t>
      </w:r>
    </w:p>
    <w:p w14:paraId="4A02CC4C" w14:textId="77777777" w:rsidR="00A04C41" w:rsidRPr="003726BE" w:rsidRDefault="00A04C41" w:rsidP="00673940">
      <w:pPr>
        <w:pStyle w:val="HStandard"/>
        <w:rPr>
          <w:rFonts w:cs="Arial"/>
          <w:i/>
          <w:highlight w:val="yellow"/>
        </w:rPr>
      </w:pPr>
      <w:r w:rsidRPr="003726BE">
        <w:rPr>
          <w:i/>
          <w:highlight w:val="yellow"/>
        </w:rPr>
        <w:t xml:space="preserve">La sintesi dei requisiti in materia di relazioni per l'intero periodo di programmazione 2014-2020 è riportata nell'allegato 2 alla PARTE III delle Linee guida. L'allegato 6 della PARTE III spiega quella che è la pratica richiesta (obbligatoria) e quella che è la pratica raccomandata quando si rendiconta in merito alla valutazione nell'ambito delle RAA durante il periodo di programmazione. Fornisce inoltre proposte in merito a come sia possibile collegare tra loro varie sezioni della RAA (standard e ampliata) al fine di offrire informazioni più complete sulla valutazione. </w:t>
      </w:r>
    </w:p>
    <w:p w14:paraId="68646489" w14:textId="77777777" w:rsidR="00A04C41" w:rsidRPr="003726BE" w:rsidRDefault="00A04C41" w:rsidP="00C147EB">
      <w:pPr>
        <w:pStyle w:val="HHeading5"/>
        <w:rPr>
          <w:rFonts w:cs="Arial"/>
          <w:highlight w:val="yellow"/>
        </w:rPr>
      </w:pPr>
      <w:r w:rsidRPr="003726BE">
        <w:rPr>
          <w:highlight w:val="yellow"/>
        </w:rPr>
        <w:t>Per saperne di più</w:t>
      </w:r>
    </w:p>
    <w:p w14:paraId="6E71CF4E" w14:textId="77777777" w:rsidR="00A04C41" w:rsidRPr="003726BE" w:rsidRDefault="00A04C41" w:rsidP="00855FB0">
      <w:pPr>
        <w:pStyle w:val="HBox"/>
        <w:rPr>
          <w:highlight w:val="yellow"/>
        </w:rPr>
      </w:pPr>
      <w:r w:rsidRPr="003726BE">
        <w:rPr>
          <w:i/>
          <w:highlight w:val="yellow"/>
        </w:rPr>
        <w:t>Guidelines: Establishing and implementing the evaluation plan of 2014-2020 RDPs</w:t>
      </w:r>
      <w:r w:rsidRPr="003726BE">
        <w:rPr>
          <w:highlight w:val="yellow"/>
        </w:rPr>
        <w:t xml:space="preserve"> [Linee guida: definizione e attuazione del piano di valutazione dei PSR 2014-2020] (in inglese; esiste un estratto in italiano), Helpdesk della valutazione 2014-2020, PARTE I, capitolo 5.5 e PARTE III, allegato 14, Bruxelles, 2015, </w:t>
      </w:r>
      <w:r w:rsidR="00A242CA" w:rsidRPr="00A242CA">
        <w:rPr>
          <w:rStyle w:val="Hyperlink"/>
          <w:highlight w:val="yellow"/>
        </w:rPr>
        <w:t>http://enrd.ec.europa.eu/evaluation/publications/e-library_en</w:t>
      </w:r>
    </w:p>
    <w:p w14:paraId="1F2AE6FD" w14:textId="77777777" w:rsidR="00A04C41" w:rsidRPr="003726BE" w:rsidRDefault="00A04C41" w:rsidP="00D62F94">
      <w:pPr>
        <w:pStyle w:val="HHeading1"/>
        <w:rPr>
          <w:rFonts w:cs="Arial"/>
          <w:caps w:val="0"/>
          <w:highlight w:val="yellow"/>
        </w:rPr>
      </w:pPr>
      <w:bookmarkStart w:id="31" w:name="_Toc460936101"/>
      <w:bookmarkStart w:id="32" w:name="_Toc474132141"/>
      <w:r w:rsidRPr="003726BE">
        <w:rPr>
          <w:caps w:val="0"/>
          <w:highlight w:val="yellow"/>
        </w:rPr>
        <w:lastRenderedPageBreak/>
        <w:t>Garantire una valutazione di buona qualità nel 2017</w:t>
      </w:r>
      <w:bookmarkEnd w:id="31"/>
      <w:bookmarkEnd w:id="32"/>
    </w:p>
    <w:p w14:paraId="4BEC30EE" w14:textId="77777777" w:rsidR="00A04C41" w:rsidRPr="003726BE" w:rsidRDefault="00A04C41" w:rsidP="00D62F94">
      <w:pPr>
        <w:pStyle w:val="HHeading2"/>
        <w:rPr>
          <w:rFonts w:cs="Arial"/>
          <w:highlight w:val="yellow"/>
        </w:rPr>
      </w:pPr>
      <w:bookmarkStart w:id="33" w:name="_Toc460936102"/>
      <w:bookmarkStart w:id="34" w:name="_Toc474132142"/>
      <w:r w:rsidRPr="003726BE">
        <w:rPr>
          <w:highlight w:val="yellow"/>
        </w:rPr>
        <w:t>Attenta pianificazione e preparazione della valutazione</w:t>
      </w:r>
      <w:bookmarkEnd w:id="33"/>
      <w:bookmarkEnd w:id="34"/>
    </w:p>
    <w:p w14:paraId="3F1DFD11" w14:textId="77777777" w:rsidR="00A04C41" w:rsidRPr="003726BE" w:rsidRDefault="00A04C41" w:rsidP="00673940">
      <w:pPr>
        <w:pStyle w:val="HStandard"/>
        <w:rPr>
          <w:rFonts w:cs="Arial"/>
          <w:highlight w:val="yellow"/>
        </w:rPr>
      </w:pPr>
      <w:r w:rsidRPr="003726BE">
        <w:rPr>
          <w:highlight w:val="yellow"/>
        </w:rPr>
        <w:t xml:space="preserve">Il tempo per svolgere i compiti di valutazione oggetto di comunicazione nel 2017 è limitato. Di conseguenza, </w:t>
      </w:r>
      <w:r w:rsidR="0093504F">
        <w:rPr>
          <w:highlight w:val="yellow"/>
        </w:rPr>
        <w:t>l</w:t>
      </w:r>
      <w:r w:rsidRPr="003726BE">
        <w:rPr>
          <w:highlight w:val="yellow"/>
        </w:rPr>
        <w:t xml:space="preserve">a pianificazione e preparazione </w:t>
      </w:r>
      <w:r w:rsidR="0093504F" w:rsidRPr="003726BE">
        <w:rPr>
          <w:highlight w:val="yellow"/>
        </w:rPr>
        <w:t xml:space="preserve">preventiva </w:t>
      </w:r>
      <w:r w:rsidRPr="003726BE">
        <w:rPr>
          <w:highlight w:val="yellow"/>
        </w:rPr>
        <w:t xml:space="preserve">è di </w:t>
      </w:r>
      <w:r w:rsidR="0093504F">
        <w:rPr>
          <w:highlight w:val="yellow"/>
        </w:rPr>
        <w:t>fondamental</w:t>
      </w:r>
      <w:r w:rsidRPr="003726BE">
        <w:rPr>
          <w:highlight w:val="yellow"/>
        </w:rPr>
        <w:t>e importanza affinché l'AG sia in grado di fornire le informazioni necessarie nella RAA ampliata e di presentarla alla Commissione entro la fine del mese di giugno 2017.</w:t>
      </w:r>
    </w:p>
    <w:p w14:paraId="7C825083" w14:textId="77777777" w:rsidR="00A04C41" w:rsidRPr="003726BE" w:rsidRDefault="00A04C41" w:rsidP="00673940">
      <w:pPr>
        <w:pStyle w:val="HStandard"/>
        <w:rPr>
          <w:rFonts w:cs="Arial"/>
          <w:highlight w:val="yellow"/>
        </w:rPr>
      </w:pPr>
      <w:r w:rsidRPr="003726BE">
        <w:rPr>
          <w:highlight w:val="yellow"/>
        </w:rPr>
        <w:t xml:space="preserve">Nel </w:t>
      </w:r>
      <w:r w:rsidR="0093504F">
        <w:rPr>
          <w:highlight w:val="yellow"/>
        </w:rPr>
        <w:t>quadro</w:t>
      </w:r>
      <w:r w:rsidRPr="003726BE">
        <w:rPr>
          <w:highlight w:val="yellow"/>
        </w:rPr>
        <w:t xml:space="preserve"> dell'attuale periodo di programmazione, le autorità di gestione sono </w:t>
      </w:r>
      <w:r w:rsidRPr="003726BE">
        <w:rPr>
          <w:b/>
          <w:highlight w:val="yellow"/>
        </w:rPr>
        <w:t>tenute a pianificare le valutazioni</w:t>
      </w:r>
      <w:r w:rsidRPr="003726BE">
        <w:rPr>
          <w:highlight w:val="yellow"/>
        </w:rPr>
        <w:t xml:space="preserve"> fin dall'inizio, con l'aiuto di un piano di valutazione, che costituisce parte del programma di sviluppo rurale</w:t>
      </w:r>
      <w:r w:rsidRPr="003726BE">
        <w:rPr>
          <w:rStyle w:val="FootnoteReference"/>
          <w:highlight w:val="yellow"/>
        </w:rPr>
        <w:footnoteReference w:id="18"/>
      </w:r>
      <w:r w:rsidRPr="003726BE">
        <w:rPr>
          <w:highlight w:val="yellow"/>
        </w:rPr>
        <w:t xml:space="preserve">. Dal momento che il piano di valutazione è stato sviluppato in precedenza, durante la fase di programmazione spesso contempla soltanto i requisiti minimi a livello generale. Tuttavia, il piano di valutazione può ancora essere ulteriormente precisato nell'ambito di modifiche del programma e/o integrato mediante un documento interno di programmazione più dettagliato. Tale documento può contenere informazioni più esaustive sulle previste attività di valutazione, sui loro temi e sulle relative tempistiche. </w:t>
      </w:r>
    </w:p>
    <w:p w14:paraId="2E579B8A" w14:textId="77777777" w:rsidR="00A04C41" w:rsidRPr="003726BE" w:rsidRDefault="0093504F" w:rsidP="00673940">
      <w:pPr>
        <w:pStyle w:val="HStandard"/>
        <w:rPr>
          <w:rFonts w:cs="Arial"/>
          <w:highlight w:val="yellow"/>
        </w:rPr>
      </w:pPr>
      <w:r>
        <w:rPr>
          <w:highlight w:val="yellow"/>
        </w:rPr>
        <w:t>Per</w:t>
      </w:r>
      <w:r w:rsidR="00A04C41" w:rsidRPr="003726BE">
        <w:rPr>
          <w:highlight w:val="yellow"/>
        </w:rPr>
        <w:t xml:space="preserve"> facilitare la valutazione nel 2017, è </w:t>
      </w:r>
      <w:r>
        <w:rPr>
          <w:highlight w:val="yellow"/>
        </w:rPr>
        <w:t>di grande</w:t>
      </w:r>
      <w:r w:rsidR="00A04C41" w:rsidRPr="003726BE">
        <w:rPr>
          <w:highlight w:val="yellow"/>
        </w:rPr>
        <w:t xml:space="preserve"> importan</w:t>
      </w:r>
      <w:r>
        <w:rPr>
          <w:highlight w:val="yellow"/>
        </w:rPr>
        <w:t>za</w:t>
      </w:r>
      <w:r w:rsidR="00A04C41" w:rsidRPr="003726BE">
        <w:rPr>
          <w:highlight w:val="yellow"/>
        </w:rPr>
        <w:t xml:space="preserve"> individuare </w:t>
      </w:r>
      <w:r>
        <w:rPr>
          <w:highlight w:val="yellow"/>
        </w:rPr>
        <w:t xml:space="preserve">da subito </w:t>
      </w:r>
      <w:r w:rsidR="00A04C41" w:rsidRPr="003726BE">
        <w:rPr>
          <w:highlight w:val="yellow"/>
        </w:rPr>
        <w:t xml:space="preserve">le esigenze di valutazione e le attività relative al PSR. Di conseguenza, le parti interessate pertinenti devono dedicare risorse e preparare l'applicazione dei metodi di valutazione in una fase precoce dell'attuazione. </w:t>
      </w:r>
    </w:p>
    <w:p w14:paraId="71F6D0FA" w14:textId="77777777" w:rsidR="00A04C41" w:rsidRPr="003726BE" w:rsidRDefault="00A04C41" w:rsidP="0010223F">
      <w:pPr>
        <w:pStyle w:val="HHeadingfigures"/>
        <w:rPr>
          <w:highlight w:val="yellow"/>
        </w:rPr>
      </w:pPr>
      <w:bookmarkStart w:id="35" w:name="_Toc460936151"/>
      <w:bookmarkStart w:id="36" w:name="_Toc474132641"/>
      <w:r w:rsidRPr="003726BE">
        <w:rPr>
          <w:highlight w:val="yellow"/>
        </w:rPr>
        <w:t>Panoramica del processo di valutazione</w:t>
      </w:r>
      <w:bookmarkEnd w:id="35"/>
      <w:bookmarkEnd w:id="36"/>
    </w:p>
    <w:p w14:paraId="24BBEA7A" w14:textId="77777777" w:rsidR="00A04C41" w:rsidRPr="003726BE" w:rsidRDefault="003726BE" w:rsidP="00BF7E74">
      <w:pPr>
        <w:pStyle w:val="HStandard"/>
        <w:jc w:val="center"/>
        <w:rPr>
          <w:rFonts w:cs="Arial"/>
          <w:highlight w:val="yellow"/>
        </w:rPr>
      </w:pPr>
      <w:r>
        <w:rPr>
          <w:noProof/>
          <w:lang w:val="en-GB" w:eastAsia="en-GB" w:bidi="ar-SA"/>
        </w:rPr>
        <w:drawing>
          <wp:inline distT="0" distB="0" distL="0" distR="0" wp14:anchorId="68751807" wp14:editId="6F27ABDE">
            <wp:extent cx="5759450" cy="1971408"/>
            <wp:effectExtent l="0" t="0" r="0" b="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5.emf"/>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59450" cy="1971408"/>
                    </a:xfrm>
                    <a:prstGeom prst="rect">
                      <a:avLst/>
                    </a:prstGeom>
                  </pic:spPr>
                </pic:pic>
              </a:graphicData>
            </a:graphic>
          </wp:inline>
        </w:drawing>
      </w:r>
    </w:p>
    <w:p w14:paraId="581F1446" w14:textId="77777777" w:rsidR="00A04C41" w:rsidRPr="003726BE" w:rsidRDefault="00A04C41" w:rsidP="00A04C41">
      <w:pPr>
        <w:pStyle w:val="HSource"/>
        <w:rPr>
          <w:rFonts w:cs="Arial"/>
          <w:highlight w:val="yellow"/>
        </w:rPr>
      </w:pPr>
      <w:r w:rsidRPr="003726BE">
        <w:rPr>
          <w:highlight w:val="yellow"/>
        </w:rPr>
        <w:t>Fonte: Helpdesk europeo della valutazione per lo sviluppo rurale, 2015.</w:t>
      </w:r>
    </w:p>
    <w:p w14:paraId="3B59A5FC" w14:textId="77777777" w:rsidR="00A04C41" w:rsidRPr="003726BE" w:rsidRDefault="00C802BD" w:rsidP="00D62F94">
      <w:pPr>
        <w:pStyle w:val="HHeading2"/>
        <w:rPr>
          <w:rFonts w:cs="Arial"/>
          <w:highlight w:val="yellow"/>
        </w:rPr>
      </w:pPr>
      <w:bookmarkStart w:id="37" w:name="_Toc460936103"/>
      <w:bookmarkStart w:id="38" w:name="_Toc474132143"/>
      <w:r w:rsidRPr="003726BE">
        <w:rPr>
          <w:highlight w:val="yellow"/>
        </w:rPr>
        <w:t>Garanzia della qualità e controllo della qualità durante l'intero processo di valutazione</w:t>
      </w:r>
      <w:bookmarkEnd w:id="37"/>
      <w:bookmarkEnd w:id="38"/>
    </w:p>
    <w:p w14:paraId="7941853E" w14:textId="77777777" w:rsidR="00C802BD" w:rsidRPr="003726BE" w:rsidRDefault="007F00D8" w:rsidP="007969CB">
      <w:pPr>
        <w:pStyle w:val="HStandard"/>
        <w:rPr>
          <w:rFonts w:cs="Arial"/>
          <w:highlight w:val="yellow"/>
        </w:rPr>
      </w:pPr>
      <w:r w:rsidRPr="003726BE">
        <w:rPr>
          <w:highlight w:val="yellow"/>
        </w:rPr>
        <w:t xml:space="preserve">Si raccomanda vivamente di integrare aspetti di garanzia della qualità e controllo della qualità nel processo di valutazione. La </w:t>
      </w:r>
      <w:r w:rsidRPr="003726BE">
        <w:rPr>
          <w:b/>
          <w:highlight w:val="yellow"/>
        </w:rPr>
        <w:t>garanzia della qualità</w:t>
      </w:r>
      <w:r w:rsidRPr="003726BE">
        <w:rPr>
          <w:highlight w:val="yellow"/>
        </w:rPr>
        <w:t xml:space="preserve"> si concentra sul processo e rappresenta un modo proattivo per prevenire esiti di scarsa qualità. La garanzia della qualità include una nozione di osservazione, sviluppo di standard di qualità e miglioramento continuo. D'altro lato, il </w:t>
      </w:r>
      <w:r w:rsidRPr="003726BE">
        <w:rPr>
          <w:b/>
          <w:highlight w:val="yellow"/>
        </w:rPr>
        <w:t>controllo della qualità</w:t>
      </w:r>
      <w:r w:rsidRPr="003726BE">
        <w:rPr>
          <w:highlight w:val="yellow"/>
        </w:rPr>
        <w:t xml:space="preserve"> è orientato al prodotto e assicura che l'esito sia quello atteso. Solitamente viene realizzato al termine del processo. </w:t>
      </w:r>
    </w:p>
    <w:p w14:paraId="61A18D6A" w14:textId="77777777" w:rsidR="00C802BD" w:rsidRPr="003726BE" w:rsidRDefault="002E10DE" w:rsidP="00673940">
      <w:pPr>
        <w:pStyle w:val="HStandard"/>
        <w:rPr>
          <w:rFonts w:cs="Arial"/>
          <w:highlight w:val="yellow"/>
        </w:rPr>
      </w:pPr>
      <w:r w:rsidRPr="003726BE">
        <w:rPr>
          <w:b/>
          <w:highlight w:val="yellow"/>
        </w:rPr>
        <w:t>La competenza generale del controllo della qualità</w:t>
      </w:r>
      <w:r w:rsidRPr="003726BE">
        <w:rPr>
          <w:highlight w:val="yellow"/>
        </w:rPr>
        <w:t xml:space="preserve"> delle valutazioni spetta all'</w:t>
      </w:r>
      <w:r w:rsidRPr="003726BE">
        <w:rPr>
          <w:b/>
          <w:highlight w:val="yellow"/>
        </w:rPr>
        <w:t>AG</w:t>
      </w:r>
      <w:r w:rsidRPr="003726BE">
        <w:rPr>
          <w:highlight w:val="yellow"/>
        </w:rPr>
        <w:t xml:space="preserve">. Le autorità di gestione dispongono di vari mezzi per salvaguardare la qualità, come la stesura di un capitolato d'oneri preciso, la selezione di valutatori qualificati, la creazione di gruppi direttivi di valutazione, il </w:t>
      </w:r>
      <w:r w:rsidRPr="003726BE">
        <w:rPr>
          <w:highlight w:val="yellow"/>
        </w:rPr>
        <w:lastRenderedPageBreak/>
        <w:t xml:space="preserve">mantenimento di contatti regolari con i fornitori di dati, la comunicazione regolare con i valutatori e il richiedere uno standard elevato per le relazioni di valutazione, ecc. La capacità della </w:t>
      </w:r>
      <w:r w:rsidRPr="003726BE">
        <w:rPr>
          <w:b/>
          <w:highlight w:val="yellow"/>
        </w:rPr>
        <w:t>valutatore</w:t>
      </w:r>
      <w:r w:rsidRPr="003726BE">
        <w:rPr>
          <w:highlight w:val="yellow"/>
        </w:rPr>
        <w:t xml:space="preserve"> di utilizzare metodi di valutazione avanzati e di colmare le lacune esistenti in relazioni ai dati influenza anche la qualità della valutazione. </w:t>
      </w:r>
      <w:r w:rsidRPr="003726BE">
        <w:rPr>
          <w:b/>
          <w:highlight w:val="yellow"/>
        </w:rPr>
        <w:t>Altre parti</w:t>
      </w:r>
      <w:r w:rsidRPr="003726BE">
        <w:rPr>
          <w:highlight w:val="yellow"/>
        </w:rPr>
        <w:t xml:space="preserve"> che possono contribuire al miglioramento della qualità della valutazione sono:</w:t>
      </w:r>
    </w:p>
    <w:p w14:paraId="0DBAF8F2" w14:textId="77777777" w:rsidR="00C802BD" w:rsidRPr="003726BE" w:rsidRDefault="00C802BD" w:rsidP="00673940">
      <w:pPr>
        <w:pStyle w:val="Hlistbullet"/>
        <w:rPr>
          <w:rFonts w:cs="Arial"/>
          <w:highlight w:val="yellow"/>
        </w:rPr>
      </w:pPr>
      <w:r w:rsidRPr="003726BE">
        <w:rPr>
          <w:highlight w:val="yellow"/>
        </w:rPr>
        <w:t>i gruppi direttivi (se istituiti)</w:t>
      </w:r>
      <w:r w:rsidR="0093504F">
        <w:rPr>
          <w:highlight w:val="yellow"/>
        </w:rPr>
        <w:t>,</w:t>
      </w:r>
      <w:r w:rsidRPr="003726BE">
        <w:rPr>
          <w:highlight w:val="yellow"/>
        </w:rPr>
        <w:t xml:space="preserve"> che possono garantire tanto la capacità professionale dei valutatori quanto la qualità delle relazioni di valutazione;</w:t>
      </w:r>
    </w:p>
    <w:p w14:paraId="58ED22CC" w14:textId="77777777" w:rsidR="00C802BD" w:rsidRPr="003726BE" w:rsidRDefault="00C802BD" w:rsidP="00673940">
      <w:pPr>
        <w:pStyle w:val="Hlistbullet"/>
        <w:rPr>
          <w:rFonts w:cs="Arial"/>
          <w:highlight w:val="yellow"/>
        </w:rPr>
      </w:pPr>
      <w:r w:rsidRPr="003726BE">
        <w:rPr>
          <w:highlight w:val="yellow"/>
        </w:rPr>
        <w:t>gli organismi pagatori</w:t>
      </w:r>
      <w:r w:rsidR="0093504F">
        <w:rPr>
          <w:highlight w:val="yellow"/>
        </w:rPr>
        <w:t>,</w:t>
      </w:r>
      <w:r w:rsidRPr="003726BE">
        <w:rPr>
          <w:highlight w:val="yellow"/>
        </w:rPr>
        <w:t xml:space="preserve"> che possono contribuire fornendo dati di qualità più elevata per le valutazioni;</w:t>
      </w:r>
    </w:p>
    <w:p w14:paraId="1C5CBF82" w14:textId="77777777" w:rsidR="00C802BD" w:rsidRPr="003726BE" w:rsidRDefault="00C802BD" w:rsidP="00673940">
      <w:pPr>
        <w:pStyle w:val="Hlistbullet"/>
        <w:rPr>
          <w:rFonts w:cs="Arial"/>
          <w:highlight w:val="yellow"/>
        </w:rPr>
      </w:pPr>
      <w:r w:rsidRPr="003726BE">
        <w:rPr>
          <w:highlight w:val="yellow"/>
        </w:rPr>
        <w:t>i beneficiari del programma, le loro associazioni e il pubblico in generale (contribuenti), che mostrano interesse per le raccomandazioni basate su prove e una</w:t>
      </w:r>
      <w:r w:rsidR="00E7404C">
        <w:rPr>
          <w:highlight w:val="yellow"/>
        </w:rPr>
        <w:t xml:space="preserve"> valutazione di alta qualità.</w:t>
      </w:r>
    </w:p>
    <w:p w14:paraId="2D2B9813" w14:textId="77777777" w:rsidR="00C802BD" w:rsidRPr="003726BE" w:rsidRDefault="00C802BD" w:rsidP="00673940">
      <w:pPr>
        <w:pStyle w:val="HStandard"/>
        <w:rPr>
          <w:rFonts w:cs="Arial"/>
          <w:highlight w:val="yellow"/>
        </w:rPr>
      </w:pPr>
      <w:r w:rsidRPr="003726BE">
        <w:rPr>
          <w:highlight w:val="yellow"/>
        </w:rPr>
        <w:t xml:space="preserve">Gli </w:t>
      </w:r>
      <w:r w:rsidRPr="003726BE">
        <w:rPr>
          <w:b/>
          <w:highlight w:val="yellow"/>
        </w:rPr>
        <w:t>strumenti per la garanzia della qualità</w:t>
      </w:r>
      <w:r w:rsidRPr="003726BE">
        <w:rPr>
          <w:highlight w:val="yellow"/>
        </w:rPr>
        <w:t xml:space="preserve"> utilizzati più comunemente nel processo di valutazione sono: liste di controllo, elenchi di contenuti e mappe di processo generali e dettagliate. Questi strumenti possono essere sviluppati separatamente, tuttavia, per l'AG e </w:t>
      </w:r>
      <w:r w:rsidR="0093504F">
        <w:rPr>
          <w:highlight w:val="yellow"/>
        </w:rPr>
        <w:t xml:space="preserve">per </w:t>
      </w:r>
      <w:r w:rsidRPr="003726BE">
        <w:rPr>
          <w:highlight w:val="yellow"/>
        </w:rPr>
        <w:t xml:space="preserve">le altre parti interessate coinvolte nella valutazione (ad esempio i membri del gruppo direttivo di valutazione) </w:t>
      </w:r>
      <w:r w:rsidR="0093504F">
        <w:rPr>
          <w:highlight w:val="yellow"/>
        </w:rPr>
        <w:t>potrebbe risultare utile mettere a punto</w:t>
      </w:r>
      <w:r w:rsidRPr="003726BE">
        <w:rPr>
          <w:highlight w:val="yellow"/>
        </w:rPr>
        <w:t xml:space="preserve"> un</w:t>
      </w:r>
      <w:r w:rsidRPr="003726BE">
        <w:rPr>
          <w:b/>
          <w:highlight w:val="yellow"/>
        </w:rPr>
        <w:t xml:space="preserve"> manuale completo per la garanzia della qualità della valutazione, </w:t>
      </w:r>
      <w:r w:rsidRPr="003726BE">
        <w:rPr>
          <w:highlight w:val="yellow"/>
        </w:rPr>
        <w:t xml:space="preserve">contenente mappe dettagliate di processo (che definiscano la sequenza dei compiti e le responsabilità delle principali parti interessate da seguire in ogni fase) e liste di controllo per ogni fase. Un manuale completo volto a garantire la qualità della valutazione può fungere anche da manuale di sviluppo delle capacità. Conservare una memoria istituzionale in materia di valutazioni è </w:t>
      </w:r>
      <w:r w:rsidR="0093504F">
        <w:rPr>
          <w:highlight w:val="yellow"/>
        </w:rPr>
        <w:t>fondamentale</w:t>
      </w:r>
      <w:r w:rsidR="00E7404C">
        <w:rPr>
          <w:highlight w:val="yellow"/>
        </w:rPr>
        <w:t xml:space="preserve">. </w:t>
      </w:r>
    </w:p>
    <w:p w14:paraId="7C75CD11" w14:textId="77777777" w:rsidR="00412317" w:rsidRPr="003726BE" w:rsidRDefault="00412317" w:rsidP="00C147EB">
      <w:pPr>
        <w:pStyle w:val="HHeading5"/>
        <w:rPr>
          <w:rFonts w:cs="Arial"/>
          <w:highlight w:val="yellow"/>
        </w:rPr>
      </w:pPr>
      <w:r w:rsidRPr="003726BE">
        <w:rPr>
          <w:highlight w:val="yellow"/>
        </w:rPr>
        <w:t>La garanzia della qualità nella pianificazione della valutazione</w:t>
      </w:r>
    </w:p>
    <w:p w14:paraId="4E48FFE8" w14:textId="77777777" w:rsidR="00412317" w:rsidRPr="003726BE" w:rsidRDefault="00412317" w:rsidP="00673940">
      <w:pPr>
        <w:pStyle w:val="HStandard"/>
        <w:rPr>
          <w:rFonts w:cs="Arial"/>
          <w:highlight w:val="yellow"/>
        </w:rPr>
      </w:pPr>
      <w:r w:rsidRPr="003726BE">
        <w:rPr>
          <w:highlight w:val="yellow"/>
        </w:rPr>
        <w:t xml:space="preserve">Dopo aver delineato il processo complessivo e il calendario per la valutazione, è necessario esaminare le esigenze di valutazione. Solitamente, </w:t>
      </w:r>
      <w:r w:rsidR="0093504F">
        <w:rPr>
          <w:highlight w:val="yellow"/>
        </w:rPr>
        <w:t>viene redatta</w:t>
      </w:r>
      <w:r w:rsidRPr="003726BE">
        <w:rPr>
          <w:highlight w:val="yellow"/>
        </w:rPr>
        <w:t xml:space="preserve"> una </w:t>
      </w:r>
      <w:r w:rsidRPr="003726BE">
        <w:rPr>
          <w:b/>
          <w:highlight w:val="yellow"/>
        </w:rPr>
        <w:t>nota sintetica</w:t>
      </w:r>
      <w:r w:rsidRPr="003726BE">
        <w:rPr>
          <w:highlight w:val="yellow"/>
        </w:rPr>
        <w:t xml:space="preserve"> al fine di migliorare la definizione della pianificazione relativa alla valutazione e di predisporre il capitolato d'oneri. Un tipico elenco di contenuti per una nota sintetica include: il tema, le tempistiche, il campo di applicazione e gli </w:t>
      </w:r>
      <w:r w:rsidR="0093504F">
        <w:rPr>
          <w:highlight w:val="yellow"/>
        </w:rPr>
        <w:t xml:space="preserve">specifici </w:t>
      </w:r>
      <w:r w:rsidRPr="003726BE">
        <w:rPr>
          <w:highlight w:val="yellow"/>
        </w:rPr>
        <w:t xml:space="preserve">aspetti chiave, nonché i ruoli delle parti interessate. </w:t>
      </w:r>
    </w:p>
    <w:p w14:paraId="618E5580" w14:textId="77777777" w:rsidR="00412317" w:rsidRPr="003726BE" w:rsidRDefault="0093504F" w:rsidP="00673940">
      <w:pPr>
        <w:pStyle w:val="HStandard"/>
        <w:rPr>
          <w:rFonts w:cs="Arial"/>
          <w:highlight w:val="yellow"/>
        </w:rPr>
      </w:pPr>
      <w:r>
        <w:rPr>
          <w:highlight w:val="yellow"/>
        </w:rPr>
        <w:t>In</w:t>
      </w:r>
      <w:r w:rsidR="00F2042F" w:rsidRPr="003726BE">
        <w:rPr>
          <w:highlight w:val="yellow"/>
        </w:rPr>
        <w:t xml:space="preserve"> fase di pianificazione dovrebbero </w:t>
      </w:r>
      <w:r>
        <w:rPr>
          <w:highlight w:val="yellow"/>
        </w:rPr>
        <w:t>essere redatti</w:t>
      </w:r>
      <w:r w:rsidR="00F2042F" w:rsidRPr="003726BE">
        <w:rPr>
          <w:highlight w:val="yellow"/>
        </w:rPr>
        <w:t xml:space="preserve"> </w:t>
      </w:r>
      <w:r w:rsidR="00F2042F" w:rsidRPr="003726BE">
        <w:rPr>
          <w:b/>
          <w:highlight w:val="yellow"/>
        </w:rPr>
        <w:t xml:space="preserve">piani di comunicazione e di potenziamento delle capacità </w:t>
      </w:r>
      <w:r w:rsidR="00F2042F" w:rsidRPr="003726BE">
        <w:rPr>
          <w:highlight w:val="yellow"/>
        </w:rPr>
        <w:t xml:space="preserve">in modo da massimizzare la qualità della valutazione e l'utilizzo dei risultati della valutazione. Si possono utilizzare un elenco di contenuti o una lista di controllo per assicurare l'inclusione delle principali parti interessate, l'utilizzo di strumenti e canali di comunicazione corretti, l'individuazione delle competenze in materia di comunicazione, nonché la tempistica ottimale per la comunicazione. </w:t>
      </w:r>
    </w:p>
    <w:p w14:paraId="2C72F0C2" w14:textId="77777777" w:rsidR="00412317" w:rsidRPr="003726BE" w:rsidRDefault="00412317" w:rsidP="00C147EB">
      <w:pPr>
        <w:pStyle w:val="HHeading5"/>
        <w:rPr>
          <w:rFonts w:cs="Arial"/>
          <w:highlight w:val="yellow"/>
        </w:rPr>
      </w:pPr>
      <w:r w:rsidRPr="003726BE">
        <w:rPr>
          <w:highlight w:val="yellow"/>
        </w:rPr>
        <w:t>La garanzia della qualità nella preparazione della valutazione</w:t>
      </w:r>
    </w:p>
    <w:p w14:paraId="508B1379" w14:textId="77777777" w:rsidR="00412317" w:rsidRPr="003726BE" w:rsidRDefault="00535C7D" w:rsidP="00673940">
      <w:pPr>
        <w:pStyle w:val="HStandard"/>
        <w:rPr>
          <w:rFonts w:cs="Arial"/>
          <w:highlight w:val="yellow"/>
        </w:rPr>
      </w:pPr>
      <w:r w:rsidRPr="003726BE">
        <w:rPr>
          <w:highlight w:val="yellow"/>
        </w:rPr>
        <w:t xml:space="preserve">Le questioni più importanti sono rappresentate dal raggiungimento di un'elevata qualità in termini di logica di intervento, domande di valutazione, indicatori, approccio di valutazione, riesame di informazioni e dati, fulcro della valutazione e lacune nei dati, nonché la misura in cui un dato tema può essere valutato. Tali questioni influenzano la redazione del </w:t>
      </w:r>
      <w:r w:rsidRPr="003726BE">
        <w:rPr>
          <w:b/>
          <w:highlight w:val="yellow"/>
        </w:rPr>
        <w:t>capitolato d'oneri</w:t>
      </w:r>
      <w:r w:rsidRPr="003726BE">
        <w:rPr>
          <w:highlight w:val="yellow"/>
        </w:rPr>
        <w:t xml:space="preserve"> e del contratto stipulato con il valutatore. Un esame sistematico e critico delle domande di valutazione proposte può essere realizzato attraverso una lista di controllo contenente domande orientative del tipo: "Le domande di valutazione contemplano tutto gli obiettivi e le esigenze di valutazione? Le domande sono formulate in modo chiaro? È possibile rispondere a queste domande di valutazione utilizzando i dati disponibili o dati che possono essere raccolti?".</w:t>
      </w:r>
    </w:p>
    <w:p w14:paraId="0276F05D" w14:textId="77777777" w:rsidR="00412317" w:rsidRPr="003726BE" w:rsidRDefault="00412317" w:rsidP="00673940">
      <w:pPr>
        <w:pStyle w:val="HStandard"/>
        <w:rPr>
          <w:rFonts w:cs="Arial"/>
          <w:highlight w:val="yellow"/>
        </w:rPr>
      </w:pPr>
      <w:r w:rsidRPr="003726BE">
        <w:rPr>
          <w:highlight w:val="yellow"/>
        </w:rPr>
        <w:t xml:space="preserve">Al momento della redazione del capitolato d'oneri, è importante includere una </w:t>
      </w:r>
      <w:r w:rsidRPr="003726BE">
        <w:rPr>
          <w:b/>
          <w:highlight w:val="yellow"/>
        </w:rPr>
        <w:t>griglia di valutazione della qualità</w:t>
      </w:r>
      <w:r w:rsidRPr="003726BE">
        <w:rPr>
          <w:highlight w:val="yellow"/>
        </w:rPr>
        <w:t xml:space="preserve"> rispetto alla quale si potrà valutare la qualità della relazione finale. La lista di controllo può includere anche criteri di qualità relativi al contenuto (accuratezza, adeguatezza, pertinenza e </w:t>
      </w:r>
      <w:r w:rsidRPr="003726BE">
        <w:rPr>
          <w:highlight w:val="yellow"/>
        </w:rPr>
        <w:lastRenderedPageBreak/>
        <w:t xml:space="preserve">chiarezza), nonché la valutazione del calendario e del processo di valutazione proposti. (cfr. Parte III, allegato 5: lista di controllo per la valutazione della qualità del relazione di valutazione). </w:t>
      </w:r>
    </w:p>
    <w:p w14:paraId="27EFC660" w14:textId="77777777" w:rsidR="00412317" w:rsidRPr="003726BE" w:rsidRDefault="00412317" w:rsidP="00C147EB">
      <w:pPr>
        <w:pStyle w:val="HHeading5"/>
        <w:rPr>
          <w:rFonts w:cs="Arial"/>
          <w:highlight w:val="yellow"/>
        </w:rPr>
      </w:pPr>
      <w:r w:rsidRPr="003726BE">
        <w:rPr>
          <w:highlight w:val="yellow"/>
        </w:rPr>
        <w:t>La garanzia della qualità nella strutturazione e nell'esecuzione della valutazione</w:t>
      </w:r>
    </w:p>
    <w:p w14:paraId="349A1942" w14:textId="77777777" w:rsidR="00412317" w:rsidRPr="003726BE" w:rsidRDefault="00412317" w:rsidP="00673940">
      <w:pPr>
        <w:pStyle w:val="HStandard"/>
        <w:rPr>
          <w:rFonts w:cs="Arial"/>
          <w:highlight w:val="yellow"/>
        </w:rPr>
      </w:pPr>
      <w:r w:rsidRPr="003726BE">
        <w:rPr>
          <w:highlight w:val="yellow"/>
        </w:rPr>
        <w:t>Il processo di controllo qualità inizia con l'attuazione della valutazione. Il capitolato d'oneri va utilizz</w:t>
      </w:r>
      <w:r w:rsidR="00E7404C">
        <w:rPr>
          <w:highlight w:val="yellow"/>
        </w:rPr>
        <w:t xml:space="preserve">ato come punto di riferimento. </w:t>
      </w:r>
    </w:p>
    <w:p w14:paraId="16C7D54B" w14:textId="77777777" w:rsidR="00412317" w:rsidRPr="003726BE" w:rsidRDefault="00412317" w:rsidP="00673940">
      <w:pPr>
        <w:pStyle w:val="HStandard"/>
        <w:rPr>
          <w:rFonts w:cs="Arial"/>
          <w:highlight w:val="yellow"/>
        </w:rPr>
      </w:pPr>
      <w:r w:rsidRPr="003726BE">
        <w:rPr>
          <w:highlight w:val="yellow"/>
        </w:rPr>
        <w:t xml:space="preserve">Si raccomanda di sviluppare </w:t>
      </w:r>
      <w:r w:rsidRPr="003726BE">
        <w:rPr>
          <w:b/>
          <w:highlight w:val="yellow"/>
        </w:rPr>
        <w:t>standard di qualità</w:t>
      </w:r>
      <w:r w:rsidRPr="003726BE">
        <w:rPr>
          <w:highlight w:val="yellow"/>
        </w:rPr>
        <w:t xml:space="preserve"> per la relazione iniziale (includendo criteri sui contenuti come gli approcci metodologici e i metodi di raccolta dei dati, nonché i criteri per il piano operativo e il processo di valutazione). La relazione iniziale può anche includere una sezione sulla garanzia della qualità redatta dal valutatore. Inoltre, è altrettanto importante per il cliente garantire che esistano dei processi interni ed esterni per la consegna tempestiva dei materiali al valutatore.</w:t>
      </w:r>
    </w:p>
    <w:p w14:paraId="0B4E4955" w14:textId="77777777" w:rsidR="00412317" w:rsidRPr="003726BE" w:rsidRDefault="00412317" w:rsidP="00673940">
      <w:pPr>
        <w:pStyle w:val="HStandard"/>
        <w:rPr>
          <w:rFonts w:cs="Arial"/>
          <w:highlight w:val="yellow"/>
        </w:rPr>
      </w:pPr>
      <w:r w:rsidRPr="003726BE">
        <w:rPr>
          <w:highlight w:val="yellow"/>
        </w:rPr>
        <w:t xml:space="preserve">Il gruppo di cliente e/o il gruppo direttivo può sviluppare e utilizzare liste di controllo per esaminare il contenuto e la qualità dei progressi e redigere relazioni finali. Questi strumenti possono contribuire a migliorare la qualità e la definizione del fulcro della relazione finale, nonché a fornire un riscontro sistematico e costruttivo al valutatore. </w:t>
      </w:r>
    </w:p>
    <w:p w14:paraId="5560065D" w14:textId="77777777" w:rsidR="008F5BEE" w:rsidRPr="003726BE" w:rsidRDefault="008F5BEE" w:rsidP="008F5BEE">
      <w:pPr>
        <w:pStyle w:val="HStandard"/>
        <w:rPr>
          <w:rFonts w:cs="Arial"/>
          <w:highlight w:val="yellow"/>
        </w:rPr>
      </w:pPr>
      <w:r w:rsidRPr="003726BE">
        <w:rPr>
          <w:highlight w:val="yellow"/>
        </w:rPr>
        <w:t>La relazione finale andrebbe sottoposta a una valutazione della qualità, preferibilmente utilizzando la griglia di valutazione della qualità inclusa nel capitolato d'oneri</w:t>
      </w:r>
      <w:r w:rsidRPr="003726BE">
        <w:rPr>
          <w:rStyle w:val="FootnoteReference"/>
          <w:highlight w:val="yellow"/>
        </w:rPr>
        <w:footnoteReference w:id="19"/>
      </w:r>
      <w:r w:rsidRPr="003726BE">
        <w:rPr>
          <w:highlight w:val="yellow"/>
        </w:rPr>
        <w:t xml:space="preserve">. </w:t>
      </w:r>
    </w:p>
    <w:p w14:paraId="5FE0F85F" w14:textId="77777777" w:rsidR="00412317" w:rsidRPr="003726BE" w:rsidRDefault="00412317" w:rsidP="00C147EB">
      <w:pPr>
        <w:pStyle w:val="HHeading5"/>
        <w:rPr>
          <w:rFonts w:cs="Arial"/>
          <w:highlight w:val="yellow"/>
        </w:rPr>
      </w:pPr>
      <w:r w:rsidRPr="003726BE">
        <w:rPr>
          <w:highlight w:val="yellow"/>
        </w:rPr>
        <w:t xml:space="preserve">La garanzia della qualità nella diffusione dei risultati della valutazione </w:t>
      </w:r>
    </w:p>
    <w:p w14:paraId="54A54581" w14:textId="77777777" w:rsidR="00412317" w:rsidRPr="003726BE" w:rsidRDefault="00412317" w:rsidP="00673940">
      <w:pPr>
        <w:pStyle w:val="HStandard"/>
        <w:rPr>
          <w:rFonts w:cs="Arial"/>
          <w:highlight w:val="yellow"/>
        </w:rPr>
      </w:pPr>
      <w:r w:rsidRPr="003726BE">
        <w:rPr>
          <w:highlight w:val="yellow"/>
        </w:rPr>
        <w:t xml:space="preserve">L'AG dovrebbe preparare un piano, un calendario e una </w:t>
      </w:r>
      <w:r w:rsidRPr="003726BE">
        <w:rPr>
          <w:b/>
          <w:highlight w:val="yellow"/>
        </w:rPr>
        <w:t>lista di controllo per la diffusione e dare seguito alle raccomandazioni</w:t>
      </w:r>
      <w:r w:rsidRPr="003726BE">
        <w:rPr>
          <w:highlight w:val="yellow"/>
        </w:rPr>
        <w:t xml:space="preserve"> della valutazione. La realizzazione di tale piano dovrebbe essere valutata a intervalli regolari. È buona prassi per l'AG e i valutatori fornire un riscontro recipro</w:t>
      </w:r>
      <w:r w:rsidR="00E7404C">
        <w:rPr>
          <w:highlight w:val="yellow"/>
        </w:rPr>
        <w:t>co alla fine della valutazione.</w:t>
      </w:r>
      <w:r w:rsidRPr="003726BE">
        <w:rPr>
          <w:highlight w:val="yellow"/>
        </w:rPr>
        <w:t xml:space="preserve"> L'AG potrebbe anche desiderare valutare la qualità della comunicazione di valutazione al termine del processo.</w:t>
      </w:r>
    </w:p>
    <w:p w14:paraId="63683C67" w14:textId="77777777" w:rsidR="00412317" w:rsidRPr="003726BE" w:rsidRDefault="00412317" w:rsidP="00C147EB">
      <w:pPr>
        <w:pStyle w:val="HHeading5"/>
        <w:rPr>
          <w:rFonts w:cs="Arial"/>
          <w:highlight w:val="yellow"/>
        </w:rPr>
      </w:pPr>
      <w:r w:rsidRPr="003726BE">
        <w:rPr>
          <w:highlight w:val="yellow"/>
        </w:rPr>
        <w:t>Per saperne di più</w:t>
      </w:r>
    </w:p>
    <w:p w14:paraId="30E233C1" w14:textId="77777777" w:rsidR="00412317" w:rsidRPr="003726BE" w:rsidRDefault="00412317" w:rsidP="00BF7E74">
      <w:pPr>
        <w:pStyle w:val="HBox"/>
        <w:jc w:val="left"/>
        <w:rPr>
          <w:rFonts w:cs="Arial"/>
          <w:highlight w:val="yellow"/>
        </w:rPr>
      </w:pPr>
      <w:r w:rsidRPr="003726BE">
        <w:rPr>
          <w:i/>
          <w:highlight w:val="yellow"/>
        </w:rPr>
        <w:t>Guidelines: Establishing and implementing the Evaluation plan of 2014-2020 RDPs</w:t>
      </w:r>
      <w:r w:rsidRPr="003726BE">
        <w:rPr>
          <w:highlight w:val="yellow"/>
        </w:rPr>
        <w:t xml:space="preserve"> [Linee guida: definizione e attuazione del piano di valutazione dei PSR 2014-2020] (in inglese; esiste un estratto in italiano), capitolo 5.3, Helpdesk della valutazione 2014-2020, Bruxelles 2015, </w:t>
      </w:r>
      <w:r w:rsidRPr="003726BE">
        <w:rPr>
          <w:rStyle w:val="Hyperlink"/>
          <w:highlight w:val="yellow"/>
        </w:rPr>
        <w:t>http://</w:t>
      </w:r>
      <w:hyperlink r:id="rId31" w:history="1">
        <w:r w:rsidR="00A242CA" w:rsidRPr="00A242CA">
          <w:rPr>
            <w:rStyle w:val="Hyperlink"/>
            <w:highlight w:val="yellow"/>
          </w:rPr>
          <w:t>enrd</w:t>
        </w:r>
      </w:hyperlink>
      <w:r w:rsidR="00A242CA" w:rsidRPr="00A242CA">
        <w:rPr>
          <w:rStyle w:val="Hyperlink"/>
          <w:highlight w:val="yellow"/>
        </w:rPr>
        <w:t>.ec.europa.eu/evaluation/publications/e-library_en</w:t>
      </w:r>
    </w:p>
    <w:p w14:paraId="70E84203" w14:textId="77777777" w:rsidR="00412317" w:rsidRPr="003726BE" w:rsidRDefault="00412317" w:rsidP="00412317">
      <w:pPr>
        <w:pStyle w:val="HBox"/>
        <w:rPr>
          <w:rStyle w:val="Hyperlink"/>
          <w:highlight w:val="yellow"/>
        </w:rPr>
      </w:pPr>
      <w:r w:rsidRPr="003726BE">
        <w:rPr>
          <w:i/>
          <w:highlight w:val="yellow"/>
        </w:rPr>
        <w:t>Capturing the success of your RDP: Guidelines for the ex post evaluation of 2007-2013 RDPs</w:t>
      </w:r>
      <w:r w:rsidRPr="003726BE">
        <w:rPr>
          <w:highlight w:val="yellow"/>
        </w:rPr>
        <w:t xml:space="preserve">, [Rilevamento del successo del proprio PSR: linee guida per la valutazione </w:t>
      </w:r>
      <w:r w:rsidRPr="003726BE">
        <w:rPr>
          <w:i/>
          <w:highlight w:val="yellow"/>
        </w:rPr>
        <w:t>ex post</w:t>
      </w:r>
      <w:r w:rsidRPr="003726BE">
        <w:rPr>
          <w:highlight w:val="yellow"/>
        </w:rPr>
        <w:t xml:space="preserve"> dei PSR per il periodo 2007-2013] (in inglese), Parte I, capitolo 1.2 e Parte III, allegato 4, Helpdesk della valutazione 2007-2013, Bruxelles, 2015, </w:t>
      </w:r>
      <w:r w:rsidRPr="003726BE">
        <w:rPr>
          <w:rStyle w:val="Hyperlink"/>
          <w:highlight w:val="yellow"/>
        </w:rPr>
        <w:t>http://enrd.ec.europa.eu/enrd-static/evaluation/library/evaluation-helpdesk-publications/en/evaluation-helpdesk-publications_en.html</w:t>
      </w:r>
    </w:p>
    <w:p w14:paraId="19395132" w14:textId="77777777" w:rsidR="00412317" w:rsidRPr="003726BE" w:rsidRDefault="00412317" w:rsidP="00D62F94">
      <w:pPr>
        <w:pStyle w:val="HHeading1"/>
        <w:rPr>
          <w:rFonts w:cs="Arial"/>
          <w:caps w:val="0"/>
          <w:highlight w:val="yellow"/>
        </w:rPr>
      </w:pPr>
      <w:bookmarkStart w:id="39" w:name="_Toc460936104"/>
      <w:bookmarkStart w:id="40" w:name="_Toc474132144"/>
      <w:r w:rsidRPr="003726BE">
        <w:rPr>
          <w:caps w:val="0"/>
          <w:highlight w:val="yellow"/>
        </w:rPr>
        <w:lastRenderedPageBreak/>
        <w:t>Diffusione, comunicazione e seguito dei risultati della valutazione</w:t>
      </w:r>
      <w:bookmarkEnd w:id="39"/>
      <w:bookmarkEnd w:id="40"/>
    </w:p>
    <w:p w14:paraId="46ECB86A" w14:textId="77777777" w:rsidR="00412317" w:rsidRPr="003726BE" w:rsidRDefault="00412317" w:rsidP="00706AC9">
      <w:pPr>
        <w:pStyle w:val="HHeading2"/>
        <w:rPr>
          <w:highlight w:val="yellow"/>
        </w:rPr>
      </w:pPr>
      <w:bookmarkStart w:id="41" w:name="_Toc460936105"/>
      <w:bookmarkStart w:id="42" w:name="_Toc474132145"/>
      <w:r w:rsidRPr="003726BE">
        <w:rPr>
          <w:highlight w:val="yellow"/>
        </w:rPr>
        <w:t>Diffusione e comunicazione della valutazione nel 2017</w:t>
      </w:r>
      <w:bookmarkEnd w:id="41"/>
      <w:bookmarkEnd w:id="42"/>
    </w:p>
    <w:p w14:paraId="026B9EC4" w14:textId="77777777" w:rsidR="00412317" w:rsidRPr="003726BE" w:rsidRDefault="00412317" w:rsidP="00673940">
      <w:pPr>
        <w:pStyle w:val="HStandard"/>
        <w:rPr>
          <w:rFonts w:cs="Arial"/>
          <w:highlight w:val="yellow"/>
        </w:rPr>
      </w:pPr>
      <w:r w:rsidRPr="003726BE">
        <w:rPr>
          <w:highlight w:val="yellow"/>
        </w:rPr>
        <w:t xml:space="preserve">Il valore di una valutazione dipende dalla sua diffusione, dalla comunicazione e, infine, dall'uso dei suoi risultati per migliorare la politica. </w:t>
      </w:r>
    </w:p>
    <w:p w14:paraId="75B67A06" w14:textId="77777777" w:rsidR="00412317" w:rsidRPr="003726BE" w:rsidRDefault="00412317" w:rsidP="00673940">
      <w:pPr>
        <w:pStyle w:val="HStandard"/>
        <w:rPr>
          <w:rFonts w:cs="Arial"/>
          <w:highlight w:val="yellow"/>
        </w:rPr>
      </w:pPr>
      <w:r w:rsidRPr="003726BE">
        <w:rPr>
          <w:highlight w:val="yellow"/>
        </w:rPr>
        <w:t xml:space="preserve">In termini di diffusione, è fondamentale che la rendicontazione sulla valutazione contenuta nella RAA 2017 sia resa pubblica, ad esempio sul sito web dell'AG. Inoltre, per aumentare la trasparenza, le relazioni di valutazione dovrebbero essere distribuite ai partecipanti del processo di valutazione e a tutte le parti interessate pertinenti. Come prassi raccomandata, si dovrebbe redigere una </w:t>
      </w:r>
      <w:r w:rsidRPr="003726BE">
        <w:rPr>
          <w:b/>
          <w:highlight w:val="yellow"/>
        </w:rPr>
        <w:t xml:space="preserve">sintesi per i cittadini </w:t>
      </w:r>
      <w:r w:rsidRPr="003726BE">
        <w:rPr>
          <w:highlight w:val="yellow"/>
        </w:rPr>
        <w:t>in merito ai principali risultati delle valutazioni. Potrebbe inoltre essere utile tradurre le sintesi per i cittadini in inglese.</w:t>
      </w:r>
    </w:p>
    <w:p w14:paraId="74743A8E" w14:textId="77777777" w:rsidR="00412317" w:rsidRPr="003726BE" w:rsidRDefault="00412317" w:rsidP="00673940">
      <w:pPr>
        <w:pStyle w:val="HStandard"/>
        <w:rPr>
          <w:rFonts w:cs="Arial"/>
          <w:highlight w:val="yellow"/>
        </w:rPr>
      </w:pPr>
      <w:r w:rsidRPr="003726BE">
        <w:rPr>
          <w:highlight w:val="yellow"/>
        </w:rPr>
        <w:t xml:space="preserve">La comunicazione avviene durante tutto il processo di valutazione, ma lo sforzo di comunicazione principale </w:t>
      </w:r>
      <w:r w:rsidR="000B31E0">
        <w:rPr>
          <w:highlight w:val="yellow"/>
        </w:rPr>
        <w:t xml:space="preserve">avviene </w:t>
      </w:r>
      <w:r w:rsidRPr="003726BE">
        <w:rPr>
          <w:highlight w:val="yellow"/>
        </w:rPr>
        <w:t xml:space="preserve">alla fine del processo, dopo che i risultati e le raccomandazioni sono stati finalizzati. Le azioni di comunicazione devono seguire il </w:t>
      </w:r>
      <w:r w:rsidRPr="003726BE">
        <w:rPr>
          <w:b/>
          <w:highlight w:val="yellow"/>
        </w:rPr>
        <w:t>piano di comunicazione della valutazione</w:t>
      </w:r>
      <w:r w:rsidRPr="003726BE">
        <w:rPr>
          <w:highlight w:val="yellow"/>
        </w:rPr>
        <w:t xml:space="preserve"> messo a punto all'inizio del processo di valutazione. L'attenzione principale della comunicazione dovrebbe essere rivolta ai risultati e alle realizzazioni del PSR. In caso di scarso utilizzo delle misure, potrebbero essere comunicati i risultati di altri studi collegati al PSR (ad esempio in materia di efficienza idrica).</w:t>
      </w:r>
    </w:p>
    <w:p w14:paraId="29F74C9A" w14:textId="77777777" w:rsidR="00412317" w:rsidRPr="003726BE" w:rsidRDefault="00412317" w:rsidP="00673940">
      <w:pPr>
        <w:pStyle w:val="HStandard"/>
        <w:rPr>
          <w:rFonts w:cs="Arial"/>
          <w:highlight w:val="yellow"/>
        </w:rPr>
      </w:pPr>
      <w:r w:rsidRPr="003726BE">
        <w:rPr>
          <w:highlight w:val="yellow"/>
        </w:rPr>
        <w:t xml:space="preserve">Il piano di comunicazione della valutazione deve essere monitorato e valutato per verificarne l'efficienza e l'efficacia nel fornire i messaggi chiave per il pubblico di destinatari. </w:t>
      </w:r>
    </w:p>
    <w:p w14:paraId="0F4282E5" w14:textId="77777777" w:rsidR="00412317" w:rsidRPr="003726BE" w:rsidRDefault="00412317" w:rsidP="00706AC9">
      <w:pPr>
        <w:pStyle w:val="HHeading2"/>
        <w:rPr>
          <w:highlight w:val="yellow"/>
        </w:rPr>
      </w:pPr>
      <w:bookmarkStart w:id="43" w:name="_Toc460936106"/>
      <w:bookmarkStart w:id="44" w:name="_Toc474132146"/>
      <w:r w:rsidRPr="003726BE">
        <w:rPr>
          <w:highlight w:val="yellow"/>
        </w:rPr>
        <w:t>Seguito sui risultati della valutazione</w:t>
      </w:r>
      <w:bookmarkEnd w:id="43"/>
      <w:bookmarkEnd w:id="44"/>
    </w:p>
    <w:p w14:paraId="05A44198" w14:textId="77777777" w:rsidR="00412317" w:rsidRPr="003726BE" w:rsidRDefault="00412317" w:rsidP="00673940">
      <w:pPr>
        <w:pStyle w:val="HStandard"/>
        <w:rPr>
          <w:rFonts w:cs="Arial"/>
          <w:highlight w:val="yellow"/>
        </w:rPr>
      </w:pPr>
      <w:r w:rsidRPr="003726BE">
        <w:rPr>
          <w:highlight w:val="yellow"/>
        </w:rPr>
        <w:t>La valutazione, in quanto parte della governance dei programmi UE, costituisce uno strumento strategico di gestione. Se utilizzato in modo efficace, il seguito dato in merito alle risultanze della valutazione determina:</w:t>
      </w:r>
    </w:p>
    <w:p w14:paraId="097512C1" w14:textId="77777777" w:rsidR="00343F41" w:rsidRPr="003726BE" w:rsidRDefault="00343F41" w:rsidP="00673940">
      <w:pPr>
        <w:pStyle w:val="Hlistbullet"/>
        <w:rPr>
          <w:rFonts w:cs="Arial"/>
          <w:highlight w:val="yellow"/>
        </w:rPr>
      </w:pPr>
      <w:r w:rsidRPr="003726BE">
        <w:rPr>
          <w:highlight w:val="yellow"/>
        </w:rPr>
        <w:t xml:space="preserve">una migliorata progettazione e attuazione del programma; </w:t>
      </w:r>
    </w:p>
    <w:p w14:paraId="6B5D21DE" w14:textId="77777777" w:rsidR="00CE054B" w:rsidRPr="003726BE" w:rsidRDefault="00343F41" w:rsidP="00673940">
      <w:pPr>
        <w:pStyle w:val="Hlistbullet"/>
        <w:rPr>
          <w:rFonts w:cs="Arial"/>
          <w:highlight w:val="yellow"/>
        </w:rPr>
      </w:pPr>
      <w:r w:rsidRPr="003726BE">
        <w:rPr>
          <w:highlight w:val="yellow"/>
        </w:rPr>
        <w:t>risultati e impatti del programma migliori e più numerosi;</w:t>
      </w:r>
    </w:p>
    <w:p w14:paraId="6EE944D8" w14:textId="77777777" w:rsidR="00412317" w:rsidRPr="003726BE" w:rsidRDefault="003C270C" w:rsidP="00673940">
      <w:pPr>
        <w:pStyle w:val="Hlistbullet"/>
        <w:rPr>
          <w:rFonts w:cs="Arial"/>
          <w:highlight w:val="yellow"/>
        </w:rPr>
      </w:pPr>
      <w:r w:rsidRPr="003726BE">
        <w:rPr>
          <w:highlight w:val="yellow"/>
        </w:rPr>
        <w:t>un rafforzamento dell'uso delle valutazioni;</w:t>
      </w:r>
    </w:p>
    <w:p w14:paraId="060314C6" w14:textId="77777777" w:rsidR="00412317" w:rsidRPr="003726BE" w:rsidRDefault="00412317" w:rsidP="00673940">
      <w:pPr>
        <w:pStyle w:val="Hlistbullet"/>
        <w:rPr>
          <w:rFonts w:cs="Arial"/>
          <w:highlight w:val="yellow"/>
        </w:rPr>
      </w:pPr>
      <w:r w:rsidRPr="003726BE">
        <w:rPr>
          <w:highlight w:val="yellow"/>
        </w:rPr>
        <w:t>la promozione di una cultura della valutazione basata sull'apprendimento organizzativo e un miglioramento della responsabilità per i risultati;</w:t>
      </w:r>
    </w:p>
    <w:p w14:paraId="3F409E9C" w14:textId="77777777" w:rsidR="00412317" w:rsidRPr="003726BE" w:rsidRDefault="00412317" w:rsidP="00673940">
      <w:pPr>
        <w:pStyle w:val="Hlistbullet"/>
        <w:rPr>
          <w:rFonts w:cs="Arial"/>
          <w:highlight w:val="yellow"/>
        </w:rPr>
      </w:pPr>
      <w:r w:rsidRPr="003726BE">
        <w:rPr>
          <w:highlight w:val="yellow"/>
        </w:rPr>
        <w:t>la promozione della discussione sulla valutazione del programma;</w:t>
      </w:r>
    </w:p>
    <w:p w14:paraId="2D11A6BB" w14:textId="77777777" w:rsidR="00412317" w:rsidRPr="003726BE" w:rsidRDefault="00412317" w:rsidP="00673940">
      <w:pPr>
        <w:pStyle w:val="Hlistbullet"/>
        <w:rPr>
          <w:rFonts w:cs="Arial"/>
          <w:highlight w:val="yellow"/>
        </w:rPr>
      </w:pPr>
      <w:r w:rsidRPr="003726BE">
        <w:rPr>
          <w:highlight w:val="yellow"/>
        </w:rPr>
        <w:t>la motivazione delle parti interessate e dei responsabili dei programmi a sostenere e partecipare attivamente al miglioramento delle prestazioni del PSR; e</w:t>
      </w:r>
    </w:p>
    <w:p w14:paraId="19362888" w14:textId="77777777" w:rsidR="00412317" w:rsidRPr="003726BE" w:rsidRDefault="00412317" w:rsidP="00706AC9">
      <w:pPr>
        <w:pStyle w:val="Hlistbullet"/>
        <w:rPr>
          <w:highlight w:val="yellow"/>
        </w:rPr>
      </w:pPr>
      <w:r w:rsidRPr="003726BE">
        <w:rPr>
          <w:highlight w:val="yellow"/>
        </w:rPr>
        <w:t>un potenziamento delle politiche pubbliche.</w:t>
      </w:r>
    </w:p>
    <w:p w14:paraId="4DBD9FA7" w14:textId="77777777" w:rsidR="00412317" w:rsidRPr="003726BE" w:rsidRDefault="00412317" w:rsidP="00673940">
      <w:pPr>
        <w:pStyle w:val="HStandard"/>
        <w:rPr>
          <w:rFonts w:cs="Arial"/>
          <w:highlight w:val="yellow"/>
        </w:rPr>
      </w:pPr>
      <w:r w:rsidRPr="003726BE">
        <w:rPr>
          <w:highlight w:val="yellow"/>
        </w:rPr>
        <w:t xml:space="preserve">Se la valutazione svolge questo ruolo, tutte le parti interessate coinvolte e, in particolare, le autorità di gestione e i responsabili delle politiche devono prestare notevole attenzione alle raccomandazioni e ai risultati della valutazione. </w:t>
      </w:r>
    </w:p>
    <w:p w14:paraId="7EA2B6FC" w14:textId="77777777" w:rsidR="003C270C" w:rsidRPr="003726BE" w:rsidRDefault="003C270C" w:rsidP="00C71423">
      <w:pPr>
        <w:pStyle w:val="H-Heading4"/>
        <w:rPr>
          <w:highlight w:val="yellow"/>
        </w:rPr>
      </w:pPr>
      <w:r w:rsidRPr="003726BE">
        <w:rPr>
          <w:highlight w:val="yellow"/>
        </w:rPr>
        <w:t>Per saperne di più</w:t>
      </w:r>
    </w:p>
    <w:p w14:paraId="4352E246" w14:textId="77777777" w:rsidR="003C270C" w:rsidRPr="003726BE" w:rsidRDefault="003C270C" w:rsidP="003C270C">
      <w:pPr>
        <w:pStyle w:val="HBox"/>
        <w:rPr>
          <w:rFonts w:cs="Arial"/>
          <w:highlight w:val="yellow"/>
        </w:rPr>
      </w:pPr>
      <w:r w:rsidRPr="003726BE">
        <w:rPr>
          <w:i/>
          <w:highlight w:val="yellow"/>
        </w:rPr>
        <w:t>Guidelines: Establishing and implementing the Evaluation plan of 2014-2020 RDPs</w:t>
      </w:r>
      <w:r w:rsidRPr="003726BE">
        <w:rPr>
          <w:highlight w:val="yellow"/>
        </w:rPr>
        <w:t xml:space="preserve"> [Linee guida: definizione e attuazione del piano di valutazione dei PSR 2014-2020] (in inglese; esiste un estratto in </w:t>
      </w:r>
      <w:r w:rsidRPr="003726BE">
        <w:rPr>
          <w:highlight w:val="yellow"/>
        </w:rPr>
        <w:lastRenderedPageBreak/>
        <w:t xml:space="preserve">italiano), capitolo 3.6, Helpdesk della valutazione 2014-2020, Bruxelles 2015, </w:t>
      </w:r>
      <w:hyperlink r:id="rId32" w:history="1">
        <w:r w:rsidR="00AA05DA" w:rsidRPr="00AA05DA">
          <w:rPr>
            <w:rStyle w:val="Hyperlink"/>
            <w:highlight w:val="yellow"/>
          </w:rPr>
          <w:t>http://enrd.ec.europa.eu/evaluation/publications/e-library_en</w:t>
        </w:r>
      </w:hyperlink>
    </w:p>
    <w:p w14:paraId="5DBF73AA" w14:textId="77777777" w:rsidR="003C270C" w:rsidRPr="003726BE" w:rsidRDefault="003C270C" w:rsidP="003C270C">
      <w:pPr>
        <w:pStyle w:val="HBox"/>
        <w:rPr>
          <w:rFonts w:cs="Arial"/>
          <w:color w:val="546393" w:themeColor="accent3"/>
        </w:rPr>
      </w:pPr>
      <w:r w:rsidRPr="003726BE">
        <w:rPr>
          <w:i/>
          <w:highlight w:val="yellow"/>
        </w:rPr>
        <w:t>Capturing the success of your RDP: Guidelines for the ex post evaluation of 2007-2013 RDPs</w:t>
      </w:r>
      <w:r w:rsidRPr="003726BE">
        <w:rPr>
          <w:highlight w:val="yellow"/>
        </w:rPr>
        <w:t xml:space="preserve">, [Rilevamento del successo del proprio PSR: linee guida per la valutazione </w:t>
      </w:r>
      <w:r w:rsidRPr="003726BE">
        <w:rPr>
          <w:i/>
          <w:highlight w:val="yellow"/>
        </w:rPr>
        <w:t>ex post</w:t>
      </w:r>
      <w:r w:rsidRPr="003726BE">
        <w:rPr>
          <w:highlight w:val="yellow"/>
        </w:rPr>
        <w:t xml:space="preserve"> dei PSR per il periodo 2007-2013] (in inglese), capitolo 1.2.3, Helpdesk della valutazione 2007-2013, Bruxelles, 2015,</w:t>
      </w:r>
      <w:r w:rsidRPr="003726BE">
        <w:rPr>
          <w:rStyle w:val="Hyperlink"/>
          <w:highlight w:val="yellow"/>
        </w:rPr>
        <w:t>http://enrd.ec.europa.eu/enrd-static/evaluation/library/evaluation-helpdesk-publications/en/evaluation-helpdesk-publications_en.html</w:t>
      </w:r>
    </w:p>
    <w:p w14:paraId="14C5319A" w14:textId="77777777" w:rsidR="004C0D64" w:rsidRPr="003726BE" w:rsidRDefault="004C0D64">
      <w:pPr>
        <w:spacing w:before="0" w:after="0" w:line="240" w:lineRule="auto"/>
        <w:jc w:val="left"/>
        <w:rPr>
          <w:rFonts w:cs="Arial"/>
          <w:b/>
          <w:noProof/>
          <w:color w:val="F07E31"/>
          <w:sz w:val="20"/>
          <w:szCs w:val="20"/>
        </w:rPr>
      </w:pPr>
      <w:bookmarkStart w:id="45" w:name="_Toc460936107"/>
      <w:r w:rsidRPr="003726BE">
        <w:br w:type="page"/>
      </w:r>
    </w:p>
    <w:p w14:paraId="6C0CA98C" w14:textId="77777777" w:rsidR="003C270C" w:rsidRPr="00CB34A3" w:rsidRDefault="003C270C" w:rsidP="00D62F94">
      <w:pPr>
        <w:pStyle w:val="HHeading9"/>
        <w:rPr>
          <w:rFonts w:cs="Arial"/>
          <w:caps w:val="0"/>
          <w:lang w:val="en-GB"/>
        </w:rPr>
      </w:pPr>
      <w:bookmarkStart w:id="46" w:name="_Toc474132147"/>
      <w:r w:rsidRPr="00CB34A3">
        <w:rPr>
          <w:caps w:val="0"/>
          <w:lang w:val="en-GB"/>
        </w:rPr>
        <w:lastRenderedPageBreak/>
        <w:t>PART II SETTING UP THE SYSTEM TO ANSWER EVALUATION QUESTIONS AND ASSESSING RDP ACHIEVEMENTS</w:t>
      </w:r>
      <w:bookmarkEnd w:id="45"/>
      <w:bookmarkEnd w:id="46"/>
      <w:r w:rsidRPr="00CB34A3">
        <w:rPr>
          <w:caps w:val="0"/>
          <w:lang w:val="en-GB"/>
        </w:rPr>
        <w:t xml:space="preserve"> </w:t>
      </w:r>
    </w:p>
    <w:p w14:paraId="3CD16070" w14:textId="77777777" w:rsidR="009540FB" w:rsidRPr="00CB34A3" w:rsidRDefault="009540FB" w:rsidP="00673940">
      <w:pPr>
        <w:pStyle w:val="HStandard"/>
        <w:rPr>
          <w:rFonts w:cs="Arial"/>
          <w:lang w:val="en-GB"/>
        </w:rPr>
      </w:pPr>
      <w:r w:rsidRPr="00CB34A3">
        <w:rPr>
          <w:lang w:val="en-GB"/>
        </w:rPr>
        <w:t>Evaluation questions (EQs) are an important component in the evaluation of rural development policy. They define the focus of the evaluation in relation to EU and programme-specific policy objectives and help to demonstrate the progress, impact, achievements, effectiveness, efficiency and relevance of rural development programme interventions</w:t>
      </w:r>
      <w:r w:rsidRPr="003726BE">
        <w:rPr>
          <w:rStyle w:val="FootnoteReference"/>
        </w:rPr>
        <w:footnoteReference w:id="20"/>
      </w:r>
      <w:r w:rsidRPr="00CB34A3">
        <w:rPr>
          <w:lang w:val="en-GB"/>
        </w:rPr>
        <w:t xml:space="preserve">. </w:t>
      </w:r>
    </w:p>
    <w:p w14:paraId="476D76D6" w14:textId="77777777" w:rsidR="00E12328" w:rsidRPr="00CB34A3" w:rsidRDefault="00B53138" w:rsidP="00673940">
      <w:pPr>
        <w:pStyle w:val="HStandard"/>
        <w:rPr>
          <w:rFonts w:cs="Arial"/>
          <w:lang w:val="en-GB"/>
        </w:rPr>
      </w:pPr>
      <w:r w:rsidRPr="00CB34A3">
        <w:rPr>
          <w:b/>
          <w:lang w:val="en-GB"/>
        </w:rPr>
        <w:t>The common evaluation questions</w:t>
      </w:r>
      <w:r w:rsidRPr="00CB34A3">
        <w:rPr>
          <w:lang w:val="en-GB"/>
        </w:rPr>
        <w:t xml:space="preserve"> (CEQs)</w:t>
      </w:r>
      <w:r w:rsidRPr="003726BE">
        <w:rPr>
          <w:rStyle w:val="FootnoteReference"/>
          <w:rFonts w:eastAsiaTheme="majorEastAsia"/>
        </w:rPr>
        <w:footnoteReference w:id="21"/>
      </w:r>
      <w:r w:rsidRPr="00CB34A3">
        <w:rPr>
          <w:lang w:val="en-GB"/>
        </w:rPr>
        <w:t xml:space="preserve"> were designed by the Commission in collaboration with the Member States. They are part of the Common Monitoring and Evaluation System for rural development and represent a minimum common set of EQs established to enhance the comparability of evaluation results across the EU. CEQs provide support to Member States in the evaluation of achievements of EU level policy objectives and expected results and impacts. There are three types of CEQs: 1) focus area-related CEQs, 2) CEQs related to other aspects of the RDP, and 3) CEQs related to EU level objectives. </w:t>
      </w:r>
    </w:p>
    <w:p w14:paraId="4D74DAE4" w14:textId="77777777" w:rsidR="009540FB" w:rsidRPr="00CB34A3" w:rsidRDefault="00246880" w:rsidP="00673940">
      <w:pPr>
        <w:pStyle w:val="HStandard"/>
        <w:rPr>
          <w:rFonts w:cs="Arial"/>
          <w:lang w:val="en-GB"/>
        </w:rPr>
      </w:pPr>
      <w:r w:rsidRPr="00CB34A3">
        <w:rPr>
          <w:b/>
          <w:lang w:val="en-GB"/>
        </w:rPr>
        <w:t>Programme-specific evaluation questions</w:t>
      </w:r>
      <w:r w:rsidRPr="00CB34A3">
        <w:rPr>
          <w:lang w:val="en-GB"/>
        </w:rPr>
        <w:t xml:space="preserve"> (PSEQs) may be developed by Member States to capture programme-specific achievements towards RDP policy objectives, results and impacts. </w:t>
      </w:r>
    </w:p>
    <w:p w14:paraId="16FE2CEE" w14:textId="77777777" w:rsidR="00460D80" w:rsidRPr="00CB34A3" w:rsidRDefault="00460D80" w:rsidP="00460D80">
      <w:pPr>
        <w:pStyle w:val="HHeading5"/>
        <w:rPr>
          <w:lang w:val="en-GB"/>
        </w:rPr>
      </w:pPr>
      <w:r w:rsidRPr="00CB34A3">
        <w:rPr>
          <w:lang w:val="en-GB"/>
        </w:rPr>
        <w:t xml:space="preserve">Legal requirements related to evaluation questions </w:t>
      </w:r>
    </w:p>
    <w:p w14:paraId="300E609B" w14:textId="77777777" w:rsidR="009540FB" w:rsidRPr="003726BE" w:rsidRDefault="002A5D0E" w:rsidP="00673940">
      <w:pPr>
        <w:pStyle w:val="HStandard"/>
        <w:rPr>
          <w:rFonts w:cs="Arial"/>
        </w:rPr>
      </w:pPr>
      <w:r w:rsidRPr="00CB34A3">
        <w:rPr>
          <w:lang w:val="en-GB"/>
        </w:rPr>
        <w:t xml:space="preserve">It is a </w:t>
      </w:r>
      <w:r w:rsidRPr="00CB34A3">
        <w:rPr>
          <w:b/>
          <w:lang w:val="en-GB"/>
        </w:rPr>
        <w:t>legal requirement</w:t>
      </w:r>
      <w:r w:rsidRPr="00CB34A3">
        <w:rPr>
          <w:lang w:val="en-GB"/>
        </w:rPr>
        <w:t xml:space="preserve"> to answer CEQs and PSEQs</w:t>
      </w:r>
      <w:r w:rsidRPr="003726BE">
        <w:rPr>
          <w:rStyle w:val="FootnoteReference"/>
        </w:rPr>
        <w:footnoteReference w:id="22"/>
      </w:r>
      <w:r w:rsidRPr="00CB34A3">
        <w:rPr>
          <w:lang w:val="en-GB"/>
        </w:rPr>
        <w:t xml:space="preserve"> at different points in time during the programming period and also after programme implementation. </w:t>
      </w:r>
      <w:r w:rsidRPr="003726BE">
        <w:t>Member States shall provide evidence-based answers:</w:t>
      </w:r>
    </w:p>
    <w:p w14:paraId="329CF25A" w14:textId="77777777" w:rsidR="009540FB" w:rsidRPr="00CB34A3" w:rsidRDefault="009540FB" w:rsidP="00673940">
      <w:pPr>
        <w:pStyle w:val="Hlistbullet"/>
        <w:rPr>
          <w:rFonts w:eastAsiaTheme="majorEastAsia" w:cs="Arial"/>
          <w:lang w:val="en-GB"/>
        </w:rPr>
      </w:pPr>
      <w:r w:rsidRPr="00CB34A3">
        <w:rPr>
          <w:rFonts w:eastAsiaTheme="majorEastAsia"/>
          <w:lang w:val="en-GB"/>
        </w:rPr>
        <w:t xml:space="preserve">In the Annual Implementation Report (AIR) </w:t>
      </w:r>
      <w:r w:rsidRPr="00CB34A3">
        <w:rPr>
          <w:rFonts w:eastAsiaTheme="majorEastAsia"/>
          <w:b/>
          <w:lang w:val="en-GB"/>
        </w:rPr>
        <w:t>2017</w:t>
      </w:r>
      <w:r w:rsidRPr="00CB34A3">
        <w:rPr>
          <w:rFonts w:eastAsiaTheme="majorEastAsia"/>
          <w:lang w:val="en-GB"/>
        </w:rPr>
        <w:t>, EQs related to the RDP focus areas and evaluation questions related to other RDP aspects (synergies, TA and NRNs) shall be answered by means of common, additional</w:t>
      </w:r>
      <w:r w:rsidRPr="003726BE">
        <w:rPr>
          <w:rStyle w:val="FootnoteReference"/>
          <w:rFonts w:eastAsiaTheme="majorEastAsia"/>
        </w:rPr>
        <w:footnoteReference w:id="23"/>
      </w:r>
      <w:r w:rsidRPr="00CB34A3">
        <w:rPr>
          <w:rFonts w:eastAsiaTheme="majorEastAsia"/>
          <w:lang w:val="en-GB"/>
        </w:rPr>
        <w:t xml:space="preserve"> and programme-specific result indicators</w:t>
      </w:r>
      <w:r w:rsidRPr="003726BE">
        <w:rPr>
          <w:rStyle w:val="FootnoteReference"/>
          <w:rFonts w:eastAsiaTheme="majorEastAsia"/>
        </w:rPr>
        <w:footnoteReference w:id="24"/>
      </w:r>
      <w:r w:rsidRPr="00CB34A3">
        <w:rPr>
          <w:rFonts w:eastAsiaTheme="majorEastAsia"/>
          <w:lang w:val="en-GB"/>
        </w:rPr>
        <w:t xml:space="preserve">; </w:t>
      </w:r>
    </w:p>
    <w:p w14:paraId="4A0A2A94" w14:textId="77777777" w:rsidR="009540FB" w:rsidRPr="00CB34A3" w:rsidRDefault="009540FB" w:rsidP="00706AC9">
      <w:pPr>
        <w:pStyle w:val="Hlistbullet"/>
        <w:rPr>
          <w:rFonts w:eastAsiaTheme="majorEastAsia"/>
          <w:lang w:val="en-GB"/>
        </w:rPr>
      </w:pPr>
      <w:r w:rsidRPr="00CB34A3">
        <w:rPr>
          <w:rFonts w:eastAsiaTheme="majorEastAsia"/>
          <w:lang w:val="en-GB"/>
        </w:rPr>
        <w:t xml:space="preserve">In the AIR </w:t>
      </w:r>
      <w:r w:rsidRPr="00CB34A3">
        <w:rPr>
          <w:rFonts w:eastAsiaTheme="majorEastAsia"/>
          <w:b/>
          <w:lang w:val="en-GB"/>
        </w:rPr>
        <w:t>2019</w:t>
      </w:r>
      <w:r w:rsidRPr="00CB34A3">
        <w:rPr>
          <w:rFonts w:eastAsiaTheme="majorEastAsia"/>
          <w:lang w:val="en-GB"/>
        </w:rPr>
        <w:t xml:space="preserve"> </w:t>
      </w:r>
      <w:r w:rsidRPr="00CB34A3">
        <w:rPr>
          <w:rFonts w:eastAsiaTheme="majorEastAsia"/>
          <w:b/>
          <w:lang w:val="en-GB"/>
        </w:rPr>
        <w:t>and in the ex post evaluation report</w:t>
      </w:r>
      <w:r w:rsidRPr="00CB34A3">
        <w:rPr>
          <w:rFonts w:eastAsiaTheme="majorEastAsia"/>
          <w:lang w:val="en-GB"/>
        </w:rPr>
        <w:t>, all CEQs and PSEQs shall be answered by means of common, additional and programme</w:t>
      </w:r>
      <w:r w:rsidRPr="00CB34A3">
        <w:rPr>
          <w:lang w:val="en-GB"/>
        </w:rPr>
        <w:noBreakHyphen/>
      </w:r>
      <w:r w:rsidRPr="00CB34A3">
        <w:rPr>
          <w:rFonts w:eastAsiaTheme="majorEastAsia"/>
          <w:lang w:val="en-GB"/>
        </w:rPr>
        <w:t>specific result and impact indicators.</w:t>
      </w:r>
    </w:p>
    <w:p w14:paraId="03105F57" w14:textId="77777777" w:rsidR="00460D80" w:rsidRPr="00CB34A3" w:rsidRDefault="00460D80" w:rsidP="00460D80">
      <w:pPr>
        <w:pStyle w:val="HHeading5"/>
        <w:rPr>
          <w:lang w:val="en-GB"/>
        </w:rPr>
      </w:pPr>
      <w:r w:rsidRPr="00CB34A3">
        <w:rPr>
          <w:lang w:val="en-GB"/>
        </w:rPr>
        <w:t xml:space="preserve">Steps in setting up the system to answer evaluation questions </w:t>
      </w:r>
    </w:p>
    <w:p w14:paraId="26262B7A" w14:textId="77777777" w:rsidR="002D4425" w:rsidRPr="00CB34A3" w:rsidRDefault="008820A8" w:rsidP="00520433">
      <w:pPr>
        <w:pStyle w:val="HStandard"/>
        <w:rPr>
          <w:rFonts w:eastAsiaTheme="majorEastAsia" w:cs="Arial"/>
          <w:lang w:val="en-GB"/>
        </w:rPr>
      </w:pPr>
      <w:r w:rsidRPr="00CB34A3">
        <w:rPr>
          <w:rFonts w:eastAsiaTheme="majorEastAsia"/>
          <w:lang w:val="en-GB"/>
        </w:rPr>
        <w:t xml:space="preserve">Once the evaluation is carefully planned, the major steps in setting up the system to answer the evaluation questions are taken in the preparing, structuring and conducting phases of the evaluation. </w:t>
      </w:r>
    </w:p>
    <w:p w14:paraId="215EBADF" w14:textId="77777777" w:rsidR="009A79BA" w:rsidRPr="00CB34A3" w:rsidRDefault="009A79BA" w:rsidP="0010223F">
      <w:pPr>
        <w:pStyle w:val="HHeadingfigures"/>
        <w:rPr>
          <w:lang w:val="en-GB"/>
        </w:rPr>
      </w:pPr>
      <w:bookmarkStart w:id="47" w:name="_Toc460936152"/>
      <w:bookmarkStart w:id="48" w:name="_Toc474132642"/>
      <w:r w:rsidRPr="00CB34A3">
        <w:rPr>
          <w:lang w:val="en-GB"/>
        </w:rPr>
        <w:lastRenderedPageBreak/>
        <w:t>Major steps in setting up the system to answer evaluation questions</w:t>
      </w:r>
      <w:bookmarkEnd w:id="47"/>
      <w:bookmarkEnd w:id="48"/>
    </w:p>
    <w:p w14:paraId="4A33B56F" w14:textId="77777777" w:rsidR="009A79BA" w:rsidRPr="003726BE" w:rsidRDefault="009A79BA" w:rsidP="009A79BA">
      <w:pPr>
        <w:jc w:val="center"/>
        <w:rPr>
          <w:rFonts w:cs="Arial"/>
        </w:rPr>
      </w:pPr>
      <w:r w:rsidRPr="003726BE">
        <w:rPr>
          <w:rFonts w:cs="Arial"/>
          <w:noProof/>
          <w:lang w:val="en-GB" w:eastAsia="en-GB" w:bidi="ar-SA"/>
        </w:rPr>
        <w:drawing>
          <wp:inline distT="0" distB="0" distL="0" distR="0" wp14:anchorId="5FF94FFE" wp14:editId="7A7EB649">
            <wp:extent cx="4895850" cy="2886075"/>
            <wp:effectExtent l="0" t="0" r="0" b="9525"/>
            <wp:docPr id="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val_Process.jpg"/>
                    <pic:cNvPicPr/>
                  </pic:nvPicPr>
                  <pic:blipFill>
                    <a:blip r:embed="rId33">
                      <a:extLst>
                        <a:ext uri="{28A0092B-C50C-407E-A947-70E740481C1C}">
                          <a14:useLocalDpi xmlns:a14="http://schemas.microsoft.com/office/drawing/2010/main" val="0"/>
                        </a:ext>
                      </a:extLst>
                    </a:blip>
                    <a:stretch>
                      <a:fillRect/>
                    </a:stretch>
                  </pic:blipFill>
                  <pic:spPr>
                    <a:xfrm>
                      <a:off x="0" y="0"/>
                      <a:ext cx="4895850" cy="2886075"/>
                    </a:xfrm>
                    <a:prstGeom prst="rect">
                      <a:avLst/>
                    </a:prstGeom>
                  </pic:spPr>
                </pic:pic>
              </a:graphicData>
            </a:graphic>
          </wp:inline>
        </w:drawing>
      </w:r>
    </w:p>
    <w:p w14:paraId="3CC4348C" w14:textId="77777777" w:rsidR="009A79BA" w:rsidRPr="00CB34A3" w:rsidRDefault="009A79BA" w:rsidP="009A79BA">
      <w:pPr>
        <w:pStyle w:val="HSource"/>
        <w:rPr>
          <w:rFonts w:cs="Arial"/>
          <w:lang w:val="en-GB"/>
        </w:rPr>
      </w:pPr>
      <w:r w:rsidRPr="00CB34A3">
        <w:rPr>
          <w:lang w:val="en-GB"/>
        </w:rPr>
        <w:t>Source: European Evaluation Helpdesk for Rural Development. 2015</w:t>
      </w:r>
    </w:p>
    <w:p w14:paraId="4E20B4CD" w14:textId="77777777" w:rsidR="001564A9" w:rsidRPr="00CB34A3" w:rsidRDefault="008820A8" w:rsidP="000172A2">
      <w:pPr>
        <w:pStyle w:val="HStandard"/>
        <w:rPr>
          <w:rFonts w:cs="Arial"/>
          <w:lang w:val="en-GB"/>
        </w:rPr>
      </w:pPr>
      <w:r w:rsidRPr="00CB34A3">
        <w:rPr>
          <w:b/>
          <w:lang w:val="en-GB"/>
        </w:rPr>
        <w:t xml:space="preserve">Preparing the evaluation </w:t>
      </w:r>
      <w:r w:rsidRPr="00CB34A3">
        <w:rPr>
          <w:lang w:val="en-GB"/>
        </w:rPr>
        <w:t xml:space="preserve">(see chapter 5): In the preparation phase the MA establishes the framework for a successful evaluation. In this stage, it is necessary to revisit the RDP intervention logic taking into consideration the findings of the ex ante evaluation. The intervention logic must be linked to the evaluation elements (evaluation questions, judgement criteria, indicators) and their consistency checked. If necessary, programme-specific evaluation elements may be developed. </w:t>
      </w:r>
    </w:p>
    <w:p w14:paraId="57C5036C" w14:textId="77777777" w:rsidR="001564A9" w:rsidRPr="00CB34A3" w:rsidRDefault="008820A8" w:rsidP="001564A9">
      <w:pPr>
        <w:pStyle w:val="HStandard"/>
        <w:rPr>
          <w:rFonts w:cs="Arial"/>
          <w:lang w:val="en-GB"/>
        </w:rPr>
      </w:pPr>
      <w:r w:rsidRPr="00CB34A3">
        <w:rPr>
          <w:b/>
          <w:lang w:val="en-GB"/>
        </w:rPr>
        <w:t xml:space="preserve">Structuring the evaluation </w:t>
      </w:r>
      <w:r w:rsidRPr="00CB34A3">
        <w:rPr>
          <w:lang w:val="en-GB"/>
        </w:rPr>
        <w:t>(see chapter 6): In the structuring phase, the MA together with the evaluation stakeholders (evaluators, data providers, etc.) set up the evaluation approach and establish the basics for collecting the evidence necessary to answer the EQs. For this purpose, the evaluation methods are selected and combined; information needs are identified; data sources are screened and provisions are made in order to get data and information in the required format for the RDP evaluation.</w:t>
      </w:r>
    </w:p>
    <w:p w14:paraId="3C21361A" w14:textId="77777777" w:rsidR="009540FB" w:rsidRPr="00CB34A3" w:rsidRDefault="008820A8" w:rsidP="000172A2">
      <w:pPr>
        <w:pStyle w:val="HStandard"/>
        <w:rPr>
          <w:rFonts w:eastAsiaTheme="majorEastAsia" w:cs="Arial"/>
          <w:lang w:val="en-GB"/>
        </w:rPr>
      </w:pPr>
      <w:r w:rsidRPr="00CB34A3">
        <w:rPr>
          <w:b/>
          <w:lang w:val="en-GB"/>
        </w:rPr>
        <w:t xml:space="preserve">Conducting the evaluation </w:t>
      </w:r>
      <w:r w:rsidRPr="00CB34A3">
        <w:rPr>
          <w:lang w:val="en-GB"/>
        </w:rPr>
        <w:t xml:space="preserve">(see chapter 7): The conducting phase is led by the evaluators independent from the MA. This phase starts with </w:t>
      </w:r>
      <w:r w:rsidRPr="00CB34A3">
        <w:rPr>
          <w:rFonts w:eastAsiaTheme="majorEastAsia"/>
          <w:lang w:val="en-GB"/>
        </w:rPr>
        <w:t>observing the evidence (collecting available data and filling the data and information gaps) and analysing it with the foreseen methods. For this purpose, the indicators are calculated and assessed. Finally, the evaluator provides judgements on the evaluation findings, answers the EQs and drafts conclusions and recommendations for the improvement of the RDP’s design and implementation.</w:t>
      </w:r>
    </w:p>
    <w:p w14:paraId="6125648D" w14:textId="77777777" w:rsidR="009540FB" w:rsidRPr="00CB34A3" w:rsidRDefault="008638F2" w:rsidP="008638F2">
      <w:pPr>
        <w:pStyle w:val="Hlistbullet"/>
        <w:numPr>
          <w:ilvl w:val="0"/>
          <w:numId w:val="0"/>
        </w:numPr>
        <w:tabs>
          <w:tab w:val="left" w:pos="1985"/>
        </w:tabs>
        <w:rPr>
          <w:rFonts w:eastAsiaTheme="majorEastAsia" w:cs="Arial"/>
          <w:lang w:val="en-GB"/>
        </w:rPr>
      </w:pPr>
      <w:r w:rsidRPr="00CB34A3">
        <w:rPr>
          <w:rFonts w:eastAsiaTheme="majorEastAsia"/>
          <w:i/>
          <w:lang w:val="en-GB"/>
        </w:rPr>
        <w:t xml:space="preserve">A summary of all working steps necessary for setting up the system to answer the evaluation questions is presented in Annex 4, Part III. The table also includes the responsibilities of the stakeholders and the relevance for drafting the Terms of Reference. </w:t>
      </w:r>
    </w:p>
    <w:p w14:paraId="728F5EA5" w14:textId="77777777" w:rsidR="009540FB" w:rsidRPr="00CB34A3" w:rsidRDefault="009540FB" w:rsidP="00673940">
      <w:pPr>
        <w:pStyle w:val="HStandard"/>
        <w:rPr>
          <w:rFonts w:cs="Arial"/>
          <w:lang w:val="en-GB"/>
        </w:rPr>
        <w:sectPr w:rsidR="009540FB" w:rsidRPr="00CB34A3" w:rsidSect="0001223C">
          <w:headerReference w:type="default" r:id="rId34"/>
          <w:footerReference w:type="default" r:id="rId35"/>
          <w:headerReference w:type="first" r:id="rId36"/>
          <w:footerReference w:type="first" r:id="rId37"/>
          <w:pgSz w:w="11906" w:h="16838" w:code="9"/>
          <w:pgMar w:top="1418" w:right="1418" w:bottom="1418" w:left="1418" w:header="737" w:footer="1021" w:gutter="0"/>
          <w:cols w:space="708"/>
          <w:titlePg/>
          <w:docGrid w:linePitch="360"/>
        </w:sectPr>
      </w:pPr>
    </w:p>
    <w:p w14:paraId="012ECF97" w14:textId="77777777" w:rsidR="009540FB" w:rsidRPr="003726BE" w:rsidRDefault="00054B2D" w:rsidP="00054B2D">
      <w:pPr>
        <w:pStyle w:val="HHeading1"/>
        <w:rPr>
          <w:rFonts w:cs="Arial"/>
          <w:caps w:val="0"/>
          <w:highlight w:val="yellow"/>
        </w:rPr>
      </w:pPr>
      <w:bookmarkStart w:id="49" w:name="_Toc460936108"/>
      <w:bookmarkStart w:id="50" w:name="_Toc474132148"/>
      <w:r w:rsidRPr="003726BE">
        <w:rPr>
          <w:caps w:val="0"/>
          <w:highlight w:val="yellow"/>
        </w:rPr>
        <w:lastRenderedPageBreak/>
        <w:t>PREPARAZIONE DELLA VALUTAZIONE</w:t>
      </w:r>
      <w:bookmarkEnd w:id="49"/>
      <w:bookmarkEnd w:id="50"/>
    </w:p>
    <w:p w14:paraId="7BDE79D7" w14:textId="77777777" w:rsidR="00054B2D" w:rsidRPr="003726BE" w:rsidRDefault="00507977" w:rsidP="00673940">
      <w:pPr>
        <w:pStyle w:val="HStandard"/>
        <w:rPr>
          <w:rFonts w:eastAsia="Arial Unicode MS" w:cs="Arial"/>
          <w:highlight w:val="yellow"/>
        </w:rPr>
      </w:pPr>
      <w:r w:rsidRPr="003726BE">
        <w:rPr>
          <w:highlight w:val="yellow"/>
        </w:rPr>
        <w:t xml:space="preserve">Gli Stati membri hanno iniziato a pianificare le valutazioni con l'aiuto di un </w:t>
      </w:r>
      <w:r w:rsidRPr="003726BE">
        <w:rPr>
          <w:b/>
          <w:highlight w:val="yellow"/>
        </w:rPr>
        <w:t>piano di valutazione</w:t>
      </w:r>
      <w:r w:rsidRPr="003726BE">
        <w:rPr>
          <w:highlight w:val="yellow"/>
        </w:rPr>
        <w:t>, che è parte del programma di sviluppo rurale</w:t>
      </w:r>
      <w:r w:rsidRPr="003726BE">
        <w:rPr>
          <w:highlight w:val="yellow"/>
          <w:vertAlign w:val="superscript"/>
        </w:rPr>
        <w:footnoteReference w:id="25"/>
      </w:r>
      <w:r w:rsidRPr="003726BE">
        <w:rPr>
          <w:highlight w:val="yellow"/>
        </w:rPr>
        <w:t xml:space="preserve">. Alcuni Stati membri hanno inoltre integrato il piano di valutazione con un documento di pianificazione interno più dettagliato che contiene in genere informazioni più esaustive sulle attività di valutazione previste, sui temi e sulle relative tempistiche. </w:t>
      </w:r>
    </w:p>
    <w:p w14:paraId="20F530D5" w14:textId="77777777" w:rsidR="00054B2D" w:rsidRPr="003726BE" w:rsidRDefault="00054B2D" w:rsidP="00673940">
      <w:pPr>
        <w:pStyle w:val="HStandard"/>
        <w:rPr>
          <w:rFonts w:eastAsia="Arial Unicode MS" w:cs="Arial"/>
          <w:highlight w:val="yellow"/>
        </w:rPr>
      </w:pPr>
      <w:r w:rsidRPr="003726BE">
        <w:rPr>
          <w:highlight w:val="yellow"/>
        </w:rPr>
        <w:t>Dopo che il PSR è stato approvato, l'AG, in collaborazione con le altre parti interessate di valutazione pertinenti, rilevanti dovrebbe iniziare a preparare la valutazione sulla quale predisporre le relazioni ne</w:t>
      </w:r>
      <w:r w:rsidR="00E7404C">
        <w:rPr>
          <w:highlight w:val="yellow"/>
        </w:rPr>
        <w:t xml:space="preserve">l 2017 e negli anni a seguire. </w:t>
      </w:r>
      <w:r w:rsidRPr="003726BE">
        <w:rPr>
          <w:highlight w:val="yellow"/>
        </w:rPr>
        <w:t xml:space="preserve">L'attenzione principale dovrebbe essere posta sulla definizione del sistema per rispondere alle domande di valutazione. </w:t>
      </w:r>
    </w:p>
    <w:p w14:paraId="795F26D4" w14:textId="77777777" w:rsidR="00054B2D" w:rsidRPr="003726BE" w:rsidRDefault="00E83693" w:rsidP="00673940">
      <w:pPr>
        <w:pStyle w:val="HStandard"/>
        <w:rPr>
          <w:rFonts w:cs="Arial"/>
          <w:highlight w:val="yellow"/>
        </w:rPr>
      </w:pPr>
      <w:r w:rsidRPr="003726BE">
        <w:rPr>
          <w:highlight w:val="yellow"/>
        </w:rPr>
        <w:t xml:space="preserve">Nella fase di preparazione per la predisposizione delle relazioni sulla valutazione nel 2017 (e per l'intero periodo di programmazione), è importante che le autorità del programma garantiscano che: </w:t>
      </w:r>
    </w:p>
    <w:p w14:paraId="52618FD8" w14:textId="77777777" w:rsidR="00054B2D" w:rsidRPr="003726BE" w:rsidRDefault="00054B2D" w:rsidP="00673940">
      <w:pPr>
        <w:pStyle w:val="Hlistbullet"/>
        <w:rPr>
          <w:rFonts w:cs="Arial"/>
          <w:highlight w:val="yellow"/>
        </w:rPr>
      </w:pPr>
      <w:r w:rsidRPr="003726BE">
        <w:rPr>
          <w:highlight w:val="yellow"/>
        </w:rPr>
        <w:t>la logica di intervento del PSR, gli obiettivi UE comuni e specifici del programma e gli effetti attesi siano compresi in modo chiaro e validato dalle parti interessate pertinenti (cfr. PARTE II, capitolo 5.1);</w:t>
      </w:r>
    </w:p>
    <w:p w14:paraId="03D842FD" w14:textId="77777777" w:rsidR="00054B2D" w:rsidRPr="003726BE" w:rsidRDefault="00054B2D" w:rsidP="00673940">
      <w:pPr>
        <w:pStyle w:val="Hlistbullet"/>
        <w:rPr>
          <w:rFonts w:cs="Arial"/>
          <w:highlight w:val="yellow"/>
        </w:rPr>
      </w:pPr>
      <w:r w:rsidRPr="003726BE">
        <w:rPr>
          <w:highlight w:val="yellow"/>
        </w:rPr>
        <w:t>gli elementi UE di valutazione comuni e specifici del programma (domande di valutazione e indicatori) e la loro relazione con la logica di intervento del PSR (obiettivi generali e relativi all'aspetto specifico, misure, sottomisure) siano identificati e conosciuti dalle parti interessate pertinenti e che sono in grado di giudicare in merito alla sufficienza degli elementi di valutazione al fine di rilevare tutti gli effetti del PSR (cfr. PARTE II, capitolo 5.2);</w:t>
      </w:r>
    </w:p>
    <w:p w14:paraId="1A8E9E82" w14:textId="77777777" w:rsidR="00054B2D" w:rsidRPr="003726BE" w:rsidRDefault="00054B2D" w:rsidP="00673940">
      <w:pPr>
        <w:pStyle w:val="Hlistbullet"/>
        <w:rPr>
          <w:rFonts w:cs="Arial"/>
          <w:highlight w:val="yellow"/>
        </w:rPr>
      </w:pPr>
      <w:r w:rsidRPr="003726BE">
        <w:rPr>
          <w:highlight w:val="yellow"/>
        </w:rPr>
        <w:t xml:space="preserve">siano definiti tutti i termini utilizzati negli obiettivi del PSR, negli aspetti specifici, nelle misure, nelle domande di valutazione (e nei loro criteri di giudizio) e negli indicatori (cfr. PARTE II, capitolo 5.2); </w:t>
      </w:r>
    </w:p>
    <w:p w14:paraId="6C639659" w14:textId="77777777" w:rsidR="00054B2D" w:rsidRPr="003726BE" w:rsidRDefault="00054B2D" w:rsidP="00673940">
      <w:pPr>
        <w:pStyle w:val="Hlistbullet"/>
        <w:rPr>
          <w:rFonts w:cs="Arial"/>
          <w:highlight w:val="yellow"/>
        </w:rPr>
      </w:pPr>
      <w:r w:rsidRPr="003726BE">
        <w:rPr>
          <w:highlight w:val="yellow"/>
        </w:rPr>
        <w:t>le parti interessate pertinenti abbiano familiarità con gli approcci di valutazione</w:t>
      </w:r>
      <w:r w:rsidRPr="003726BE">
        <w:rPr>
          <w:rStyle w:val="FootnoteReference"/>
          <w:highlight w:val="yellow"/>
        </w:rPr>
        <w:footnoteReference w:id="26"/>
      </w:r>
      <w:r w:rsidRPr="003726BE">
        <w:rPr>
          <w:highlight w:val="yellow"/>
        </w:rPr>
        <w:t xml:space="preserve"> e la loro idoneità allo scopo della valutazione, nel rispetto della disponibilità dei dati, della qualità e della frequenza (cfr. PARTE II, capitolo 6.1);</w:t>
      </w:r>
    </w:p>
    <w:p w14:paraId="438BCC38" w14:textId="77777777" w:rsidR="00054B2D" w:rsidRPr="003726BE" w:rsidRDefault="00054B2D" w:rsidP="00673940">
      <w:pPr>
        <w:pStyle w:val="Hlistbullet"/>
        <w:rPr>
          <w:rFonts w:cs="Arial"/>
          <w:highlight w:val="yellow"/>
        </w:rPr>
      </w:pPr>
      <w:r w:rsidRPr="003726BE">
        <w:rPr>
          <w:highlight w:val="yellow"/>
        </w:rPr>
        <w:t xml:space="preserve">il sistema di monitoraggio sia adattato alle esigenze di valutazione, ad esempio che dati sugli indicatori di risultato e ulteriori informazioni vengano raccolti dai beneficiari (cfr. PARTE II, capitolo 6.2); </w:t>
      </w:r>
    </w:p>
    <w:p w14:paraId="65264BCB" w14:textId="77777777" w:rsidR="00054B2D" w:rsidRPr="003726BE" w:rsidRDefault="00054B2D" w:rsidP="00673940">
      <w:pPr>
        <w:pStyle w:val="Hlistbullet"/>
        <w:rPr>
          <w:rFonts w:cs="Arial"/>
          <w:highlight w:val="yellow"/>
        </w:rPr>
      </w:pPr>
      <w:r w:rsidRPr="003726BE">
        <w:rPr>
          <w:highlight w:val="yellow"/>
        </w:rPr>
        <w:t xml:space="preserve">siano riconosciute le fonti di dati esistenti, i fornitori, le modalità per adattare i dati alle esigenze del PSR e le lacune nei dati e che siano definite le procedure su come colmare le lacune definite (cfr. PARTE II, capitolo 6.2). </w:t>
      </w:r>
    </w:p>
    <w:p w14:paraId="0936A795" w14:textId="77777777" w:rsidR="008820A8" w:rsidRPr="003726BE" w:rsidRDefault="00F76D54" w:rsidP="00F76D54">
      <w:pPr>
        <w:pStyle w:val="Hlistbullet"/>
        <w:numPr>
          <w:ilvl w:val="0"/>
          <w:numId w:val="0"/>
        </w:numPr>
        <w:rPr>
          <w:rFonts w:cs="Arial"/>
          <w:highlight w:val="yellow"/>
        </w:rPr>
      </w:pPr>
      <w:r w:rsidRPr="003726BE">
        <w:rPr>
          <w:highlight w:val="yellow"/>
        </w:rPr>
        <w:t>Al fine di realizzare questi compiti, si dovrebbe stabilire la direzione della valutazione, dotarla di personale, nonché delle conoscenze e competenze necessarie. Se possibile, tutte le parti interessate pertinenti</w:t>
      </w:r>
      <w:r w:rsidRPr="003726BE">
        <w:rPr>
          <w:rStyle w:val="FootnoteReference"/>
          <w:highlight w:val="yellow"/>
        </w:rPr>
        <w:footnoteReference w:id="27"/>
      </w:r>
      <w:r w:rsidRPr="003726BE">
        <w:rPr>
          <w:highlight w:val="yellow"/>
        </w:rPr>
        <w:t xml:space="preserve"> dovrebbero essere presenti nei gruppi di lavoro di valutazione o nei gruppi direttivi (cfr. PARTE I, capitolo 3). </w:t>
      </w:r>
    </w:p>
    <w:p w14:paraId="10C7A3C6" w14:textId="77777777" w:rsidR="00FC7FED" w:rsidRPr="003726BE" w:rsidRDefault="000B31E0" w:rsidP="00673940">
      <w:pPr>
        <w:pStyle w:val="HStandard"/>
        <w:rPr>
          <w:rFonts w:cs="Arial"/>
          <w:highlight w:val="yellow"/>
        </w:rPr>
      </w:pPr>
      <w:r>
        <w:rPr>
          <w:highlight w:val="yellow"/>
        </w:rPr>
        <w:t>Una volta completata questa</w:t>
      </w:r>
      <w:r w:rsidR="00054B2D" w:rsidRPr="003726BE">
        <w:rPr>
          <w:highlight w:val="yellow"/>
        </w:rPr>
        <w:t xml:space="preserve"> fase preparatoria, è possibile avviare l'effettivo esercizio di valutazione oppure, nel caso in cui l'AG desideri incaricare un valutatore esterno, si può redigere il capitolato d'oneri. </w:t>
      </w:r>
    </w:p>
    <w:p w14:paraId="55E28F96" w14:textId="77777777" w:rsidR="00054B2D" w:rsidRPr="003726BE" w:rsidRDefault="00054B2D" w:rsidP="006520F3">
      <w:pPr>
        <w:pStyle w:val="HHeading5"/>
        <w:keepNext/>
        <w:rPr>
          <w:rFonts w:cs="Arial"/>
          <w:highlight w:val="yellow"/>
        </w:rPr>
      </w:pPr>
      <w:r w:rsidRPr="003726BE">
        <w:rPr>
          <w:highlight w:val="yellow"/>
        </w:rPr>
        <w:lastRenderedPageBreak/>
        <w:t>Per saperne di più</w:t>
      </w:r>
    </w:p>
    <w:p w14:paraId="6FAB5138" w14:textId="77777777" w:rsidR="00D02845" w:rsidRPr="003726BE" w:rsidRDefault="00D02845" w:rsidP="006520F3">
      <w:pPr>
        <w:pStyle w:val="HBox"/>
        <w:keepNext/>
        <w:rPr>
          <w:rFonts w:cs="Arial"/>
          <w:highlight w:val="yellow"/>
        </w:rPr>
      </w:pPr>
      <w:r w:rsidRPr="003726BE">
        <w:rPr>
          <w:i/>
          <w:highlight w:val="yellow"/>
        </w:rPr>
        <w:t>Guidelines: Establishing and implementing the evaluation plan of 2014-2020 RDPs</w:t>
      </w:r>
      <w:r w:rsidRPr="003726BE">
        <w:rPr>
          <w:highlight w:val="yellow"/>
        </w:rPr>
        <w:t xml:space="preserve"> [Linee guida: definizione e attuazione del piano di valutazione dei PSR 2014-2020] (in inglese; esiste un estratto in italiano), Helpdesk della valutazione 2014-2020, PARTE I, capitolo 3.4 e PARTE II, capitolo 6.4, Bruxelles, 2015, </w:t>
      </w:r>
      <w:hyperlink r:id="rId38" w:history="1">
        <w:r w:rsidR="00AA05DA" w:rsidRPr="00AA05DA">
          <w:rPr>
            <w:rStyle w:val="Hyperlink"/>
            <w:highlight w:val="yellow"/>
          </w:rPr>
          <w:t>http://enrd.ec.europa.eu/evaluation/publications/e-library_en</w:t>
        </w:r>
      </w:hyperlink>
    </w:p>
    <w:p w14:paraId="1A57C87B" w14:textId="77777777" w:rsidR="00D02845" w:rsidRPr="003726BE" w:rsidRDefault="00D02845" w:rsidP="00D02845">
      <w:pPr>
        <w:pStyle w:val="HBox"/>
        <w:rPr>
          <w:rFonts w:cs="Arial"/>
          <w:highlight w:val="yellow"/>
        </w:rPr>
      </w:pPr>
      <w:r w:rsidRPr="003726BE">
        <w:rPr>
          <w:i/>
          <w:highlight w:val="yellow"/>
        </w:rPr>
        <w:t>Capturing the success of your RDP: Guidelines for the ex post evaluation of 2007-2013 RDPs</w:t>
      </w:r>
      <w:r w:rsidRPr="003726BE">
        <w:rPr>
          <w:highlight w:val="yellow"/>
        </w:rPr>
        <w:t xml:space="preserve"> [Rilevamento del successo del proprio PSR: linee guida per la valutazione </w:t>
      </w:r>
      <w:r w:rsidRPr="003726BE">
        <w:rPr>
          <w:i/>
          <w:highlight w:val="yellow"/>
        </w:rPr>
        <w:t>ex post</w:t>
      </w:r>
      <w:r w:rsidRPr="003726BE">
        <w:rPr>
          <w:highlight w:val="yellow"/>
        </w:rPr>
        <w:t xml:space="preserve"> dei PSR per il periodo 2007-2013] (in inglese), PARTE II, capitolo 1, 4 e 5 e PARTE III, allegati 5 e 6, Helpdesk della valutazione 2007-2013, Bruxelles 2015,</w:t>
      </w:r>
    </w:p>
    <w:p w14:paraId="34B2E955" w14:textId="77777777" w:rsidR="00A242CA" w:rsidRPr="00A242CA" w:rsidRDefault="00A242CA" w:rsidP="00A242CA">
      <w:pPr>
        <w:pStyle w:val="HBox"/>
        <w:rPr>
          <w:rStyle w:val="Hyperlink"/>
          <w:highlight w:val="yellow"/>
        </w:rPr>
      </w:pPr>
      <w:r w:rsidRPr="00A242CA">
        <w:rPr>
          <w:rStyle w:val="Hyperlink"/>
          <w:highlight w:val="yellow"/>
        </w:rPr>
        <w:t>http://enrd.ec.europa.eu/enrd-static/evaluation/library/evaluation-helpdesk-publications/en/evaluation-helpdesk-publications_en.html</w:t>
      </w:r>
    </w:p>
    <w:p w14:paraId="4EAE22C4" w14:textId="77777777" w:rsidR="00054B2D" w:rsidRPr="003726BE" w:rsidRDefault="00054B2D" w:rsidP="00D02845">
      <w:pPr>
        <w:pStyle w:val="HHeading2"/>
        <w:rPr>
          <w:rFonts w:cs="Arial"/>
          <w:highlight w:val="yellow"/>
        </w:rPr>
      </w:pPr>
      <w:bookmarkStart w:id="51" w:name="_Toc428969470"/>
      <w:bookmarkStart w:id="52" w:name="_Toc460936109"/>
      <w:bookmarkStart w:id="53" w:name="_Toc474132149"/>
      <w:r w:rsidRPr="003726BE">
        <w:rPr>
          <w:highlight w:val="yellow"/>
        </w:rPr>
        <w:t>esaminare la logica di intervento del PSR</w:t>
      </w:r>
      <w:bookmarkEnd w:id="51"/>
      <w:bookmarkEnd w:id="52"/>
      <w:bookmarkEnd w:id="53"/>
      <w:r w:rsidRPr="003726BE">
        <w:rPr>
          <w:highlight w:val="yellow"/>
        </w:rPr>
        <w:t xml:space="preserve"> </w:t>
      </w:r>
    </w:p>
    <w:tbl>
      <w:tblPr>
        <w:tblStyle w:val="TableGrid"/>
        <w:tblW w:w="9014" w:type="dxa"/>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9014"/>
      </w:tblGrid>
      <w:tr w:rsidR="00673940" w:rsidRPr="003726BE" w14:paraId="73688AC0" w14:textId="77777777" w:rsidTr="004E4415">
        <w:trPr>
          <w:jc w:val="center"/>
        </w:trPr>
        <w:tc>
          <w:tcPr>
            <w:tcW w:w="9014" w:type="dxa"/>
            <w:shd w:val="clear" w:color="auto" w:fill="F6B183" w:themeFill="background2" w:themeFillTint="99"/>
          </w:tcPr>
          <w:p w14:paraId="09789E96" w14:textId="77777777" w:rsidR="00606478" w:rsidRPr="003726BE" w:rsidRDefault="00606478" w:rsidP="009878B4">
            <w:pPr>
              <w:pStyle w:val="HStandard"/>
              <w:rPr>
                <w:rFonts w:cs="Arial"/>
                <w:highlight w:val="yellow"/>
              </w:rPr>
            </w:pPr>
            <w:r w:rsidRPr="003726BE">
              <w:rPr>
                <w:highlight w:val="yellow"/>
              </w:rPr>
              <w:t xml:space="preserve">Riesaminare la logica di intervento può rendersi necessario qualora le risultanze </w:t>
            </w:r>
            <w:r w:rsidRPr="003726BE">
              <w:rPr>
                <w:i/>
                <w:highlight w:val="yellow"/>
              </w:rPr>
              <w:t>ex ante</w:t>
            </w:r>
            <w:r w:rsidRPr="003726BE">
              <w:rPr>
                <w:highlight w:val="yellow"/>
              </w:rPr>
              <w:t xml:space="preserve"> non siano state sufficientemente affidabili oppure non siano state prese pienamente in considerazione nella creazione del PSR, oppure in seguito a una modifica del PSR stesso. Inoltre, cambiamenti nel contesto del PSR possono avere inciso sulla pertinenza della logica di intervento in relazione alle esigenze che erano state precedentemente rilevate al momento della progettazione del programma. Al momento della valutazione del PSR potrebbero essere diventate più pertinenti altre esigenze.</w:t>
            </w:r>
          </w:p>
        </w:tc>
      </w:tr>
      <w:tr w:rsidR="00606478" w:rsidRPr="003726BE" w14:paraId="46913C4F" w14:textId="77777777" w:rsidTr="004E4415">
        <w:trPr>
          <w:jc w:val="center"/>
        </w:trPr>
        <w:tc>
          <w:tcPr>
            <w:tcW w:w="9014" w:type="dxa"/>
            <w:shd w:val="clear" w:color="auto" w:fill="FCE5D5" w:themeFill="background2" w:themeFillTint="33"/>
          </w:tcPr>
          <w:p w14:paraId="0C9FD2AD" w14:textId="77777777" w:rsidR="00673940" w:rsidRPr="003726BE" w:rsidRDefault="00673940" w:rsidP="00C147EB">
            <w:pPr>
              <w:pStyle w:val="HHeading5"/>
              <w:rPr>
                <w:rFonts w:cs="Arial"/>
                <w:highlight w:val="yellow"/>
              </w:rPr>
            </w:pPr>
            <w:r w:rsidRPr="003726BE">
              <w:rPr>
                <w:highlight w:val="yellow"/>
              </w:rPr>
              <w:t>Fasi di lavoro raccomandate</w:t>
            </w:r>
          </w:p>
          <w:p w14:paraId="6A61F21D" w14:textId="77777777" w:rsidR="00606478" w:rsidRPr="003726BE" w:rsidRDefault="00606478" w:rsidP="00673940">
            <w:pPr>
              <w:pStyle w:val="HStandard"/>
              <w:rPr>
                <w:rFonts w:cs="Arial"/>
                <w:highlight w:val="yellow"/>
              </w:rPr>
            </w:pPr>
            <w:r w:rsidRPr="003726BE">
              <w:rPr>
                <w:highlight w:val="yellow"/>
              </w:rPr>
              <w:t>Solo nel caso in cui si siano rilevati i cambiamenti di cui sopra, si raccomanda di:</w:t>
            </w:r>
          </w:p>
          <w:p w14:paraId="4A923660" w14:textId="77777777" w:rsidR="00606478" w:rsidRPr="003726BE" w:rsidRDefault="00606478" w:rsidP="00673940">
            <w:pPr>
              <w:pStyle w:val="Hlistbullet"/>
              <w:rPr>
                <w:rFonts w:cs="Arial"/>
                <w:highlight w:val="yellow"/>
              </w:rPr>
            </w:pPr>
            <w:r w:rsidRPr="003726BE">
              <w:rPr>
                <w:b/>
                <w:highlight w:val="yellow"/>
              </w:rPr>
              <w:t xml:space="preserve">riesaminare i risultati </w:t>
            </w:r>
            <w:r w:rsidRPr="003726BE">
              <w:rPr>
                <w:b/>
                <w:i/>
                <w:highlight w:val="yellow"/>
              </w:rPr>
              <w:t>ex ante</w:t>
            </w:r>
            <w:r w:rsidRPr="003726BE">
              <w:rPr>
                <w:highlight w:val="yellow"/>
              </w:rPr>
              <w:t xml:space="preserve"> della coerenza e pertinenza della logica di intervento del PSR; e</w:t>
            </w:r>
          </w:p>
          <w:p w14:paraId="663CD3AB" w14:textId="77777777" w:rsidR="00606478" w:rsidRPr="003726BE" w:rsidRDefault="00606478" w:rsidP="00407D2F">
            <w:pPr>
              <w:pStyle w:val="Hlistbullet"/>
              <w:rPr>
                <w:rFonts w:cs="Arial"/>
                <w:highlight w:val="yellow"/>
              </w:rPr>
            </w:pPr>
            <w:r w:rsidRPr="003726BE">
              <w:rPr>
                <w:b/>
                <w:highlight w:val="yellow"/>
              </w:rPr>
              <w:t>valutare se gli effetti diretti previsti del PSR</w:t>
            </w:r>
            <w:r w:rsidRPr="003726BE">
              <w:rPr>
                <w:highlight w:val="yellow"/>
              </w:rPr>
              <w:t xml:space="preserve"> sui beneficiari sono ancora validi e se è possibile realizzare le sinergie attese tra le priorità a livello dell'intero programma</w:t>
            </w:r>
            <w:r w:rsidRPr="003726BE">
              <w:rPr>
                <w:rStyle w:val="FootnoteReference"/>
                <w:highlight w:val="yellow"/>
              </w:rPr>
              <w:footnoteReference w:id="28"/>
            </w:r>
            <w:r w:rsidRPr="003726BE">
              <w:rPr>
                <w:highlight w:val="yellow"/>
              </w:rPr>
              <w:t xml:space="preserve"> </w:t>
            </w:r>
            <w:r w:rsidRPr="003726BE">
              <w:rPr>
                <w:b/>
                <w:color w:val="F07E31" w:themeColor="background2"/>
                <w:highlight w:val="yellow"/>
              </w:rPr>
              <w:t>(</w:t>
            </w:r>
            <w:r w:rsidR="007E500C" w:rsidRPr="003726BE">
              <w:rPr>
                <w:rFonts w:cs="Arial"/>
                <w:b/>
                <w:color w:val="F07E31" w:themeColor="background2"/>
                <w:highlight w:val="yellow"/>
              </w:rPr>
              <w:sym w:font="Wingdings" w:char="F0E0"/>
            </w:r>
            <w:r w:rsidRPr="003726BE">
              <w:rPr>
                <w:b/>
                <w:color w:val="F07E31" w:themeColor="background2"/>
                <w:highlight w:val="yellow"/>
              </w:rPr>
              <w:t xml:space="preserve"> cfr. strumento per valutare i vari effetti del programma di cui all'allegato 10, PARTE III)</w:t>
            </w:r>
            <w:r w:rsidRPr="003726BE">
              <w:rPr>
                <w:highlight w:val="yellow"/>
              </w:rPr>
              <w:t>.</w:t>
            </w:r>
          </w:p>
        </w:tc>
      </w:tr>
      <w:tr w:rsidR="00606478" w:rsidRPr="003726BE" w14:paraId="030C061E" w14:textId="77777777" w:rsidTr="004E4415">
        <w:trPr>
          <w:jc w:val="center"/>
        </w:trPr>
        <w:tc>
          <w:tcPr>
            <w:tcW w:w="9014" w:type="dxa"/>
          </w:tcPr>
          <w:p w14:paraId="4CC37FD6" w14:textId="77777777" w:rsidR="00606478" w:rsidRPr="003726BE" w:rsidRDefault="00606478" w:rsidP="00FC7FED">
            <w:pPr>
              <w:pStyle w:val="HStandard"/>
              <w:rPr>
                <w:rFonts w:cs="Arial"/>
                <w:color w:val="DDDDDD" w:themeColor="background1"/>
                <w:highlight w:val="yellow"/>
              </w:rPr>
            </w:pPr>
            <w:r w:rsidRPr="003726BE">
              <w:rPr>
                <w:b/>
                <w:highlight w:val="yellow"/>
              </w:rPr>
              <w:t>Esito atteso</w:t>
            </w:r>
            <w:r w:rsidRPr="003726BE">
              <w:rPr>
                <w:highlight w:val="yellow"/>
              </w:rPr>
              <w:t>: Logica di intervento rivista</w:t>
            </w:r>
          </w:p>
        </w:tc>
      </w:tr>
    </w:tbl>
    <w:p w14:paraId="7F536A69" w14:textId="77777777" w:rsidR="0046587F" w:rsidRPr="003726BE" w:rsidRDefault="0046587F" w:rsidP="0046587F">
      <w:pPr>
        <w:pStyle w:val="HHeading5"/>
        <w:rPr>
          <w:rFonts w:cs="Arial"/>
          <w:highlight w:val="yellow"/>
        </w:rPr>
      </w:pPr>
      <w:r w:rsidRPr="003726BE">
        <w:rPr>
          <w:highlight w:val="yellow"/>
        </w:rPr>
        <w:t xml:space="preserve">Riesaminare i risultati </w:t>
      </w:r>
      <w:r w:rsidRPr="003726BE">
        <w:rPr>
          <w:i/>
          <w:highlight w:val="yellow"/>
        </w:rPr>
        <w:t>ex ante</w:t>
      </w:r>
      <w:r w:rsidRPr="003726BE">
        <w:rPr>
          <w:highlight w:val="yellow"/>
        </w:rPr>
        <w:t xml:space="preserve"> e gli effetti indiretti del programma</w:t>
      </w:r>
    </w:p>
    <w:p w14:paraId="3E264338" w14:textId="77777777" w:rsidR="00054B2D" w:rsidRPr="003726BE" w:rsidRDefault="00551220" w:rsidP="00673940">
      <w:pPr>
        <w:pStyle w:val="HStandard"/>
        <w:rPr>
          <w:rFonts w:cs="Arial"/>
          <w:highlight w:val="yellow"/>
        </w:rPr>
      </w:pPr>
      <w:r w:rsidRPr="003726BE">
        <w:rPr>
          <w:highlight w:val="yellow"/>
        </w:rPr>
        <w:t xml:space="preserve">Durante la progettazione del programma, il valutatore </w:t>
      </w:r>
      <w:r w:rsidRPr="003726BE">
        <w:rPr>
          <w:i/>
          <w:highlight w:val="yellow"/>
        </w:rPr>
        <w:t>ex ante</w:t>
      </w:r>
      <w:r w:rsidRPr="003726BE">
        <w:rPr>
          <w:highlight w:val="yellow"/>
        </w:rPr>
        <w:t xml:space="preserve"> ha esaminato in precedenza:</w:t>
      </w:r>
    </w:p>
    <w:p w14:paraId="5CED9CAD" w14:textId="77777777" w:rsidR="00054B2D" w:rsidRPr="003726BE" w:rsidRDefault="00054B2D" w:rsidP="00673940">
      <w:pPr>
        <w:pStyle w:val="Hlistbullet"/>
        <w:rPr>
          <w:rFonts w:cs="Arial"/>
          <w:highlight w:val="yellow"/>
        </w:rPr>
      </w:pPr>
      <w:r w:rsidRPr="003726BE">
        <w:rPr>
          <w:highlight w:val="yellow"/>
        </w:rPr>
        <w:t>la coerenza esterna della logica di intervento</w:t>
      </w:r>
      <w:r w:rsidRPr="003726BE">
        <w:rPr>
          <w:rStyle w:val="FootnoteReference"/>
          <w:highlight w:val="yellow"/>
        </w:rPr>
        <w:footnoteReference w:id="29"/>
      </w:r>
      <w:r w:rsidRPr="003726BE">
        <w:rPr>
          <w:highlight w:val="yellow"/>
        </w:rPr>
        <w:t xml:space="preserve"> rispetto agli obiettivi strategici dell'UE (contributo del PSR alla strategia UE 2020</w:t>
      </w:r>
      <w:r w:rsidRPr="003726BE">
        <w:rPr>
          <w:highlight w:val="yellow"/>
          <w:vertAlign w:val="superscript"/>
        </w:rPr>
        <w:footnoteReference w:id="30"/>
      </w:r>
      <w:r w:rsidRPr="003726BE">
        <w:rPr>
          <w:highlight w:val="yellow"/>
        </w:rPr>
        <w:t xml:space="preserve"> e alla PAC</w:t>
      </w:r>
      <w:r w:rsidRPr="003726BE">
        <w:rPr>
          <w:highlight w:val="yellow"/>
          <w:vertAlign w:val="superscript"/>
        </w:rPr>
        <w:footnoteReference w:id="31"/>
      </w:r>
      <w:r w:rsidRPr="003726BE">
        <w:rPr>
          <w:highlight w:val="yellow"/>
        </w:rPr>
        <w:t xml:space="preserve">); </w:t>
      </w:r>
    </w:p>
    <w:p w14:paraId="22A070D1" w14:textId="77777777" w:rsidR="00054B2D" w:rsidRPr="003726BE" w:rsidRDefault="00054B2D" w:rsidP="00673940">
      <w:pPr>
        <w:pStyle w:val="Hlistbullet"/>
        <w:rPr>
          <w:rFonts w:cs="Arial"/>
          <w:highlight w:val="yellow"/>
        </w:rPr>
      </w:pPr>
      <w:r w:rsidRPr="003726BE">
        <w:rPr>
          <w:highlight w:val="yellow"/>
        </w:rPr>
        <w:t>la pertinenza nell'affrontare le esigenze più importanti del territorio del programma, derivante dall'analisi SWOT e dalla valutazione delle esigenze; e</w:t>
      </w:r>
    </w:p>
    <w:p w14:paraId="0014BED9" w14:textId="77777777" w:rsidR="00054B2D" w:rsidRPr="003726BE" w:rsidRDefault="00054B2D" w:rsidP="00706AC9">
      <w:pPr>
        <w:pStyle w:val="Hlistbullet"/>
        <w:rPr>
          <w:highlight w:val="yellow"/>
        </w:rPr>
      </w:pPr>
      <w:r w:rsidRPr="003726BE">
        <w:rPr>
          <w:highlight w:val="yellow"/>
        </w:rPr>
        <w:lastRenderedPageBreak/>
        <w:t xml:space="preserve">la coerenza interna tra gli obiettivi del programma, i contributi pianificati (bilancio e forme di sostegno), la combinazione di misure, nonché i prodotti, i risultati e gli impatti del PSR attesi. </w:t>
      </w:r>
    </w:p>
    <w:p w14:paraId="36EA31CC" w14:textId="77777777" w:rsidR="00C711C0" w:rsidRPr="003726BE" w:rsidRDefault="00C711C0" w:rsidP="00C711C0">
      <w:pPr>
        <w:pStyle w:val="HStandard"/>
        <w:rPr>
          <w:rFonts w:eastAsiaTheme="majorEastAsia" w:cs="Arial"/>
          <w:highlight w:val="yellow"/>
        </w:rPr>
      </w:pPr>
      <w:r w:rsidRPr="003726BE">
        <w:rPr>
          <w:rFonts w:eastAsiaTheme="majorEastAsia"/>
          <w:highlight w:val="yellow"/>
        </w:rPr>
        <w:t>Nel valutare la coerenza interna, i valutatori</w:t>
      </w:r>
      <w:r w:rsidR="00E7404C">
        <w:rPr>
          <w:rFonts w:eastAsiaTheme="majorEastAsia"/>
          <w:highlight w:val="yellow"/>
        </w:rPr>
        <w:t xml:space="preserve"> dovrebbero anche considerare:</w:t>
      </w:r>
      <w:r w:rsidRPr="003726BE">
        <w:rPr>
          <w:rFonts w:eastAsiaTheme="majorEastAsia"/>
          <w:highlight w:val="yellow"/>
        </w:rPr>
        <w:t xml:space="preserve"> </w:t>
      </w:r>
    </w:p>
    <w:p w14:paraId="518523F8" w14:textId="77777777" w:rsidR="00C711C0" w:rsidRPr="003726BE" w:rsidRDefault="00C711C0" w:rsidP="00C711C0">
      <w:pPr>
        <w:pStyle w:val="Hlistbullet"/>
        <w:rPr>
          <w:rFonts w:eastAsiaTheme="majorEastAsia" w:cs="Arial"/>
          <w:highlight w:val="yellow"/>
        </w:rPr>
      </w:pPr>
      <w:r w:rsidRPr="003726BE">
        <w:rPr>
          <w:rFonts w:eastAsiaTheme="majorEastAsia"/>
          <w:b/>
          <w:highlight w:val="yellow"/>
        </w:rPr>
        <w:t>contributi secondari</w:t>
      </w:r>
      <w:r w:rsidRPr="003726BE">
        <w:rPr>
          <w:rFonts w:eastAsiaTheme="majorEastAsia"/>
          <w:highlight w:val="yellow"/>
        </w:rPr>
        <w:t xml:space="preserve"> di operazioni ad aspetti specifici diversi da quelli ai sensi dei quali sono stati programmati. Ciò include le operazioni attuate attraverso le strategie CLLD. Il quadro giuridico impone di segnalare i contributi secondari previsti nel corso della progettazione del programma/valutazione </w:t>
      </w:r>
      <w:r w:rsidRPr="003726BE">
        <w:rPr>
          <w:rFonts w:eastAsiaTheme="majorEastAsia"/>
          <w:i/>
          <w:highlight w:val="yellow"/>
        </w:rPr>
        <w:t>ex ante</w:t>
      </w:r>
      <w:r w:rsidRPr="003726BE">
        <w:rPr>
          <w:rFonts w:eastAsiaTheme="majorEastAsia"/>
          <w:highlight w:val="yellow"/>
        </w:rPr>
        <w:t xml:space="preserve"> e di individuare i potenziali contributi secondari per ogni singola operazione nella banca dati delle operazioni. La validità di questa segnalazione potrebbe essere rivisita durante la preparazione della valutazione e corretto, se necessario</w:t>
      </w:r>
      <w:r w:rsidRPr="003726BE">
        <w:rPr>
          <w:rStyle w:val="FootnoteReference"/>
          <w:rFonts w:eastAsiaTheme="majorEastAsia"/>
          <w:highlight w:val="yellow"/>
        </w:rPr>
        <w:footnoteReference w:id="32"/>
      </w:r>
      <w:r w:rsidRPr="003726BE">
        <w:rPr>
          <w:rFonts w:eastAsiaTheme="majorEastAsia"/>
          <w:highlight w:val="yellow"/>
        </w:rPr>
        <w:t>;</w:t>
      </w:r>
    </w:p>
    <w:p w14:paraId="7BC1C5CB" w14:textId="77777777" w:rsidR="00C711C0" w:rsidRPr="003726BE" w:rsidRDefault="00C711C0" w:rsidP="00C711C0">
      <w:pPr>
        <w:pStyle w:val="Hlistbullet"/>
        <w:rPr>
          <w:rFonts w:eastAsiaTheme="majorEastAsia" w:cs="Arial"/>
          <w:highlight w:val="yellow"/>
        </w:rPr>
      </w:pPr>
      <w:r w:rsidRPr="003726BE">
        <w:rPr>
          <w:rFonts w:eastAsiaTheme="majorEastAsia"/>
          <w:b/>
          <w:highlight w:val="yellow"/>
        </w:rPr>
        <w:t xml:space="preserve">effetti trasversali, </w:t>
      </w:r>
      <w:r w:rsidRPr="003726BE">
        <w:rPr>
          <w:rFonts w:eastAsiaTheme="majorEastAsia"/>
          <w:highlight w:val="yellow"/>
        </w:rPr>
        <w:t xml:space="preserve">che sono effetti orizzontali tra le misure, tra gli aspetti specifici o tra le priorità. Gli effetti trasversali positivi sono spesso chiamati </w:t>
      </w:r>
      <w:r w:rsidRPr="003726BE">
        <w:rPr>
          <w:b/>
          <w:highlight w:val="yellow"/>
        </w:rPr>
        <w:t>sinergie.</w:t>
      </w:r>
      <w:r w:rsidRPr="003726BE">
        <w:rPr>
          <w:rFonts w:eastAsiaTheme="majorEastAsia"/>
          <w:highlight w:val="yellow"/>
        </w:rPr>
        <w:t xml:space="preserve"> Gli effetti trasversali si verificano se misure, aspetti specifici o priorità si indeboliscono o favoriscono </w:t>
      </w:r>
      <w:r w:rsidR="000B31E0">
        <w:rPr>
          <w:rFonts w:eastAsiaTheme="majorEastAsia"/>
          <w:highlight w:val="yellow"/>
        </w:rPr>
        <w:t>a vicenda</w:t>
      </w:r>
      <w:r w:rsidRPr="003726BE">
        <w:rPr>
          <w:rFonts w:eastAsiaTheme="majorEastAsia"/>
          <w:highlight w:val="yellow"/>
        </w:rPr>
        <w:t xml:space="preserve"> in termini di effetti. Gli effetti trasversali potrebbero essere intenzionali o non intenzionali. Nell'ambito del PSR si verifica spesso la possibilità che uno strumento di politica in un aspetto</w:t>
      </w:r>
      <w:r w:rsidR="000B31E0">
        <w:rPr>
          <w:rFonts w:eastAsiaTheme="majorEastAsia"/>
          <w:highlight w:val="yellow"/>
        </w:rPr>
        <w:t xml:space="preserve"> ne</w:t>
      </w:r>
      <w:r w:rsidRPr="003726BE">
        <w:rPr>
          <w:rFonts w:eastAsiaTheme="majorEastAsia"/>
          <w:highlight w:val="yellow"/>
        </w:rPr>
        <w:t xml:space="preserve"> influenzi un altro. Ad esempio, lo strumento di politica relativo alle zone soggette a vincoli naturali può migliorare le prestazioni delle imprese locali e portare </w:t>
      </w:r>
      <w:r w:rsidR="000B31E0" w:rsidRPr="003726BE">
        <w:rPr>
          <w:rFonts w:eastAsiaTheme="majorEastAsia"/>
          <w:highlight w:val="yellow"/>
        </w:rPr>
        <w:t>(</w:t>
      </w:r>
      <w:r w:rsidR="000B31E0">
        <w:rPr>
          <w:rFonts w:eastAsiaTheme="majorEastAsia"/>
          <w:highlight w:val="yellow"/>
        </w:rPr>
        <w:t>eventualmente</w:t>
      </w:r>
      <w:r w:rsidR="000B31E0" w:rsidRPr="003726BE">
        <w:rPr>
          <w:rFonts w:eastAsiaTheme="majorEastAsia"/>
          <w:highlight w:val="yellow"/>
        </w:rPr>
        <w:t xml:space="preserve">) </w:t>
      </w:r>
      <w:r w:rsidRPr="003726BE">
        <w:rPr>
          <w:rFonts w:eastAsiaTheme="majorEastAsia"/>
          <w:highlight w:val="yellow"/>
        </w:rPr>
        <w:t>alla crescita economica rurale e alla creazione di posti di lavoro. Per quanto riguarda le sinergie, un esempio potrebbe essere dato dal fatto che investire nella diversificazione in attività extra-agricole potrebbe promuovere la compe</w:t>
      </w:r>
      <w:r w:rsidR="00E7404C">
        <w:rPr>
          <w:rFonts w:eastAsiaTheme="majorEastAsia"/>
          <w:highlight w:val="yellow"/>
        </w:rPr>
        <w:t>titività del settore agricolo.</w:t>
      </w:r>
    </w:p>
    <w:p w14:paraId="53CE01BE" w14:textId="77777777" w:rsidR="00C711C0" w:rsidRPr="003726BE" w:rsidRDefault="00054B2D" w:rsidP="000172A2">
      <w:pPr>
        <w:pStyle w:val="HStandard"/>
        <w:rPr>
          <w:rFonts w:eastAsiaTheme="majorEastAsia" w:cs="Arial"/>
          <w:highlight w:val="yellow"/>
        </w:rPr>
      </w:pPr>
      <w:r w:rsidRPr="003726BE">
        <w:rPr>
          <w:rFonts w:eastAsiaTheme="majorEastAsia"/>
          <w:highlight w:val="yellow"/>
        </w:rPr>
        <w:t xml:space="preserve">La logica di intervento non dovrebbe essere valutata soltanto in termini di effetti diretti e del programma previsti, bensì anche per diversi tipi di altri effetti che possono svolgere un ruolo importante nel contesto delle prestazioni del programma. Questi effetti possono influenzare le realizzazioni previste del PSR, nonché i risultati e gli impatti attesi, in maniera positiva o negativa. Sebbene in seguito sia compito del valutatore epurare gli effetti del programma, le autorità del programma devono sviluppare una comprensione di ciò che il loro programma può "produrre", oltre a ciò che è stato pianificato. </w:t>
      </w:r>
    </w:p>
    <w:p w14:paraId="2125BFC0" w14:textId="77777777" w:rsidR="00054B2D" w:rsidRPr="003726BE" w:rsidRDefault="0046587F" w:rsidP="000172A2">
      <w:pPr>
        <w:pStyle w:val="HStandard"/>
        <w:rPr>
          <w:rFonts w:eastAsiaTheme="majorEastAsia" w:cs="Arial"/>
          <w:highlight w:val="yellow"/>
        </w:rPr>
      </w:pPr>
      <w:r w:rsidRPr="003726BE">
        <w:rPr>
          <w:rFonts w:eastAsiaTheme="majorEastAsia"/>
          <w:highlight w:val="yellow"/>
        </w:rPr>
        <w:t>La logica di intervento del PSR, ossia le sue priorità, i suoi aspetti specifici e le sue misure possono produrre effetti indiretti</w:t>
      </w:r>
      <w:r w:rsidRPr="003726BE">
        <w:rPr>
          <w:rStyle w:val="FootnoteReference"/>
          <w:rFonts w:eastAsiaTheme="majorEastAsia"/>
          <w:highlight w:val="yellow"/>
        </w:rPr>
        <w:footnoteReference w:id="33"/>
      </w:r>
      <w:r w:rsidRPr="003726BE">
        <w:rPr>
          <w:rFonts w:eastAsiaTheme="majorEastAsia"/>
          <w:highlight w:val="yellow"/>
        </w:rPr>
        <w:t xml:space="preserve"> che possono essere intenzionali (individuati nell'analisi del contesto) o non intenzionali (non previsti nell'analisi del contesto e non segnalati con l'indicatore di contesto). </w:t>
      </w:r>
    </w:p>
    <w:p w14:paraId="4039E78A" w14:textId="77777777" w:rsidR="00054B2D" w:rsidRPr="003726BE" w:rsidRDefault="00054B2D" w:rsidP="00673940">
      <w:pPr>
        <w:pStyle w:val="HStandard"/>
        <w:rPr>
          <w:rFonts w:eastAsiaTheme="majorEastAsia" w:cs="Arial"/>
          <w:highlight w:val="yellow"/>
        </w:rPr>
      </w:pPr>
      <w:r w:rsidRPr="003726BE">
        <w:rPr>
          <w:rFonts w:eastAsiaTheme="majorEastAsia"/>
          <w:highlight w:val="yellow"/>
        </w:rPr>
        <w:t xml:space="preserve">Gli </w:t>
      </w:r>
      <w:r w:rsidRPr="003726BE">
        <w:rPr>
          <w:rFonts w:eastAsiaTheme="majorEastAsia"/>
          <w:b/>
          <w:highlight w:val="yellow"/>
        </w:rPr>
        <w:t>effetti indiretti del programma</w:t>
      </w:r>
      <w:r w:rsidRPr="003726BE">
        <w:rPr>
          <w:rFonts w:eastAsiaTheme="majorEastAsia"/>
          <w:highlight w:val="yellow"/>
        </w:rPr>
        <w:t xml:space="preserve"> da considerare durante il riesame della logica di intervento del PSR sono:</w:t>
      </w:r>
    </w:p>
    <w:p w14:paraId="08747B38" w14:textId="77777777" w:rsidR="00054B2D" w:rsidRPr="003726BE" w:rsidRDefault="00054B2D" w:rsidP="00673940">
      <w:pPr>
        <w:pStyle w:val="Hlistbullet"/>
        <w:rPr>
          <w:rFonts w:cs="Arial"/>
          <w:highlight w:val="yellow"/>
        </w:rPr>
      </w:pPr>
      <w:r w:rsidRPr="003726BE">
        <w:rPr>
          <w:b/>
          <w:highlight w:val="yellow"/>
        </w:rPr>
        <w:t>effetti leva</w:t>
      </w:r>
      <w:r w:rsidRPr="003726BE">
        <w:rPr>
          <w:highlight w:val="yellow"/>
        </w:rPr>
        <w:t xml:space="preserve"> che rappresentano la propensione da parte degli interventi pubblici a indurre la spesa privata tra i beneficiari diretti (ad esempio, gli agricoltori che ricevono una sovvenzione possono investire meglio in beni che non costituiscono parte dell'attività aziendale). Gli effetti leva sono solitamente non intenzionali;</w:t>
      </w:r>
    </w:p>
    <w:p w14:paraId="77A7BDE6" w14:textId="77777777" w:rsidR="00054B2D" w:rsidRPr="003726BE" w:rsidRDefault="00054B2D" w:rsidP="00673940">
      <w:pPr>
        <w:pStyle w:val="Hlistbullet"/>
        <w:rPr>
          <w:rFonts w:cs="Arial"/>
          <w:highlight w:val="yellow"/>
        </w:rPr>
      </w:pPr>
      <w:r w:rsidRPr="003726BE">
        <w:rPr>
          <w:b/>
          <w:highlight w:val="yellow"/>
        </w:rPr>
        <w:t xml:space="preserve">effetti </w:t>
      </w:r>
      <w:r w:rsidR="000A5BD4">
        <w:rPr>
          <w:b/>
          <w:highlight w:val="yellow"/>
        </w:rPr>
        <w:t>i</w:t>
      </w:r>
      <w:r w:rsidR="000A5BD4" w:rsidRPr="00F33596">
        <w:rPr>
          <w:b/>
          <w:color w:val="auto"/>
          <w:highlight w:val="yellow"/>
        </w:rPr>
        <w:t>nerziali</w:t>
      </w:r>
      <w:r w:rsidRPr="003726BE">
        <w:rPr>
          <w:highlight w:val="yellow"/>
        </w:rPr>
        <w:t xml:space="preserve"> che sono rappresentati da cambiamenti osservati nella situazione economica, ambientale e sociale dei beneficiari del programma che si sarebbero verificati senza l'intervento (ad esempio gli agricoltori avrebbero investito </w:t>
      </w:r>
      <w:r w:rsidR="00F33596">
        <w:rPr>
          <w:highlight w:val="yellow"/>
        </w:rPr>
        <w:t>comunque</w:t>
      </w:r>
      <w:r w:rsidRPr="003726BE">
        <w:rPr>
          <w:highlight w:val="yellow"/>
        </w:rPr>
        <w:t xml:space="preserve"> senza sovvenzioni in un momento successivo, oppure utilizzando il proprio denaro, oppure sarebbero ricorsi a prestiti). </w:t>
      </w:r>
      <w:r w:rsidR="000A5BD4">
        <w:rPr>
          <w:highlight w:val="yellow"/>
        </w:rPr>
        <w:t>Gli effetti inerziali</w:t>
      </w:r>
      <w:r w:rsidRPr="003726BE">
        <w:rPr>
          <w:highlight w:val="yellow"/>
        </w:rPr>
        <w:t xml:space="preserve"> sono solitam</w:t>
      </w:r>
      <w:r w:rsidR="00E7404C">
        <w:rPr>
          <w:highlight w:val="yellow"/>
        </w:rPr>
        <w:t xml:space="preserve">ente effetti non intenzionali; </w:t>
      </w:r>
    </w:p>
    <w:p w14:paraId="792D2759" w14:textId="77777777" w:rsidR="00054B2D" w:rsidRPr="003726BE" w:rsidRDefault="00054B2D" w:rsidP="00673940">
      <w:pPr>
        <w:pStyle w:val="Hlistbullet"/>
        <w:rPr>
          <w:rFonts w:cs="Arial"/>
          <w:highlight w:val="yellow"/>
        </w:rPr>
      </w:pPr>
      <w:r w:rsidRPr="003726BE">
        <w:rPr>
          <w:b/>
          <w:highlight w:val="yellow"/>
        </w:rPr>
        <w:t>effetti di equilibrio generale</w:t>
      </w:r>
      <w:r w:rsidRPr="003726BE">
        <w:rPr>
          <w:highlight w:val="yellow"/>
        </w:rPr>
        <w:t xml:space="preserve"> che si verificano quando gli interventi del programma influenzano positivamente o negativamente non partecipanti al PSR. Di solito giocano un ruolo più importante </w:t>
      </w:r>
      <w:r w:rsidRPr="003726BE">
        <w:rPr>
          <w:highlight w:val="yellow"/>
        </w:rPr>
        <w:lastRenderedPageBreak/>
        <w:t>nella valutazione di programmi di grandi dimensioni che non in quella di programmi di pic</w:t>
      </w:r>
      <w:r w:rsidR="00E7404C">
        <w:rPr>
          <w:highlight w:val="yellow"/>
        </w:rPr>
        <w:t>cole dimensioni e comprendono:</w:t>
      </w:r>
    </w:p>
    <w:p w14:paraId="544B78D7" w14:textId="77777777" w:rsidR="00054B2D" w:rsidRPr="003726BE" w:rsidRDefault="00054B2D" w:rsidP="00855FB0">
      <w:pPr>
        <w:pStyle w:val="Hlistbullet2"/>
        <w:rPr>
          <w:rFonts w:eastAsiaTheme="majorEastAsia"/>
          <w:highlight w:val="yellow"/>
        </w:rPr>
      </w:pPr>
      <w:r w:rsidRPr="003726BE">
        <w:rPr>
          <w:i/>
          <w:highlight w:val="yellow"/>
        </w:rPr>
        <w:t>effetti moltiplicatori</w:t>
      </w:r>
      <w:r w:rsidRPr="003726BE">
        <w:rPr>
          <w:highlight w:val="yellow"/>
        </w:rPr>
        <w:t xml:space="preserve"> derivant</w:t>
      </w:r>
      <w:r w:rsidR="000B31E0">
        <w:rPr>
          <w:highlight w:val="yellow"/>
        </w:rPr>
        <w:t>i</w:t>
      </w:r>
      <w:r w:rsidRPr="003726BE">
        <w:rPr>
          <w:highlight w:val="yellow"/>
        </w:rPr>
        <w:t xml:space="preserve"> da un aumento del reddito e dei consumi generato dal PSR. Gli effetti moltiplicatori sono cumulativi e tengono conto del fatto che una parte del reddito generato viene speso </w:t>
      </w:r>
      <w:r w:rsidR="000B31E0">
        <w:rPr>
          <w:highlight w:val="yellow"/>
        </w:rPr>
        <w:t xml:space="preserve">nuovamente </w:t>
      </w:r>
      <w:r w:rsidRPr="003726BE">
        <w:rPr>
          <w:highlight w:val="yellow"/>
        </w:rPr>
        <w:t xml:space="preserve">e genera ulteriore reddito, e così via nel contesto di diversi cicli successivi. In termini ambientali, il sostegno previsto a favore di specie selezionate può portare anche al sostegno di altre specie. Gli effetti moltiplicatori sono positivi, spesso intenzionali e attesi; </w:t>
      </w:r>
    </w:p>
    <w:p w14:paraId="6E67C584" w14:textId="77777777" w:rsidR="00054B2D" w:rsidRPr="003726BE" w:rsidRDefault="00054B2D" w:rsidP="00855FB0">
      <w:pPr>
        <w:pStyle w:val="Hlistbullet2"/>
        <w:rPr>
          <w:rFonts w:eastAsiaTheme="majorEastAsia"/>
          <w:highlight w:val="yellow"/>
        </w:rPr>
      </w:pPr>
      <w:r w:rsidRPr="003726BE">
        <w:rPr>
          <w:i/>
          <w:highlight w:val="yellow"/>
        </w:rPr>
        <w:t>effetti di spostamento</w:t>
      </w:r>
      <w:r w:rsidRPr="003726BE">
        <w:rPr>
          <w:highlight w:val="yellow"/>
        </w:rPr>
        <w:t xml:space="preserve"> che si verificano in una zona interessata dal programma a scapito di altre zone. Ad esempio, il sostegno del programma influenza positivamente l'occupazione a scapito di un aumento della disoccupazione nelle zone limitrofe. In termini ambientali, il sostegno previsto a favore di un habitat agricolo ad elevata valenza naturale può portare a un deterioramento dell'habitat agricolo in zone limitrofe. Gli effetti di spostamento potrebbero essere non intenzionali (se causano ulteriori disparità regionali) o intenzionali (se contribuiscono a equilibrare le disparità tra le regioni);</w:t>
      </w:r>
    </w:p>
    <w:p w14:paraId="1E114AFF" w14:textId="77777777" w:rsidR="00054B2D" w:rsidRPr="003726BE" w:rsidRDefault="00054B2D" w:rsidP="00855FB0">
      <w:pPr>
        <w:pStyle w:val="Hlistbullet2"/>
        <w:rPr>
          <w:rFonts w:eastAsiaTheme="majorEastAsia"/>
          <w:highlight w:val="yellow"/>
        </w:rPr>
      </w:pPr>
      <w:r w:rsidRPr="003726BE">
        <w:rPr>
          <w:i/>
          <w:highlight w:val="yellow"/>
        </w:rPr>
        <w:t>effetti di sostituzione</w:t>
      </w:r>
      <w:r w:rsidRPr="003726BE">
        <w:rPr>
          <w:highlight w:val="yellow"/>
        </w:rPr>
        <w:t xml:space="preserve"> che si ottengono a favore dei beneficiari diretti dei programmi ma a scapito di unità che non possono beneficiare di un dato programma o non vi partecipano. Ad esempio, il sostegno ai piccoli agricoltori a favore della tecnologia di irrigazione può aumentare la loro competitività rispetto alle aziende di grandi dimensioni che non ricevono sostegno. Gli effetti di sostituzione possono essere non intenzionali (se il sostegno va a favore di coloro già raggiunti) oppure intenzionali (se contribuiscono a bilanciare la situazione socio-economica della zona interessata dal programma).</w:t>
      </w:r>
    </w:p>
    <w:p w14:paraId="1876DDCC" w14:textId="77777777" w:rsidR="00AA294F" w:rsidRPr="003726BE" w:rsidRDefault="002B2ED6" w:rsidP="00855FB0">
      <w:pPr>
        <w:pStyle w:val="HHeadingfigures"/>
        <w:rPr>
          <w:highlight w:val="yellow"/>
        </w:rPr>
      </w:pPr>
      <w:r w:rsidRPr="003726BE">
        <w:br w:type="column"/>
      </w:r>
      <w:bookmarkStart w:id="54" w:name="_Toc460936153"/>
      <w:bookmarkStart w:id="55" w:name="_Toc474132643"/>
      <w:r w:rsidRPr="003726BE">
        <w:rPr>
          <w:highlight w:val="yellow"/>
        </w:rPr>
        <w:lastRenderedPageBreak/>
        <w:t>Diversi tipi di effetti del programma</w:t>
      </w:r>
      <w:bookmarkEnd w:id="54"/>
      <w:bookmarkEnd w:id="55"/>
    </w:p>
    <w:tbl>
      <w:tblPr>
        <w:tblStyle w:val="TableGrid"/>
        <w:tblW w:w="8024" w:type="dxa"/>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2006"/>
        <w:gridCol w:w="2006"/>
        <w:gridCol w:w="2006"/>
        <w:gridCol w:w="2006"/>
      </w:tblGrid>
      <w:tr w:rsidR="005870E4" w:rsidRPr="003726BE" w14:paraId="38AA9755" w14:textId="77777777" w:rsidTr="0001223C">
        <w:trPr>
          <w:trHeight w:val="1176"/>
          <w:jc w:val="center"/>
        </w:trPr>
        <w:tc>
          <w:tcPr>
            <w:tcW w:w="2006" w:type="dxa"/>
            <w:tcBorders>
              <w:top w:val="nil"/>
              <w:left w:val="nil"/>
            </w:tcBorders>
          </w:tcPr>
          <w:p w14:paraId="2327A7B0" w14:textId="77777777" w:rsidR="00E12FD6" w:rsidRPr="003726BE" w:rsidRDefault="00E12FD6" w:rsidP="00CF67DB">
            <w:pPr>
              <w:rPr>
                <w:rFonts w:cs="Arial"/>
                <w:highlight w:val="yellow"/>
              </w:rPr>
            </w:pPr>
          </w:p>
        </w:tc>
        <w:tc>
          <w:tcPr>
            <w:tcW w:w="2006" w:type="dxa"/>
            <w:tcBorders>
              <w:bottom w:val="single" w:sz="4" w:space="0" w:color="6F6F6F" w:themeColor="text1"/>
            </w:tcBorders>
            <w:shd w:val="clear" w:color="auto" w:fill="57825E" w:themeFill="accent4"/>
          </w:tcPr>
          <w:p w14:paraId="4358D6D7" w14:textId="77777777" w:rsidR="00E12FD6" w:rsidRPr="003726BE" w:rsidRDefault="00E12FD6" w:rsidP="005870E4">
            <w:pPr>
              <w:jc w:val="left"/>
              <w:rPr>
                <w:rFonts w:cs="Arial"/>
                <w:b/>
                <w:color w:val="FFFFFF" w:themeColor="accent1"/>
                <w:highlight w:val="yellow"/>
              </w:rPr>
            </w:pPr>
            <w:r w:rsidRPr="003726BE">
              <w:rPr>
                <w:b/>
                <w:color w:val="FFFFFF" w:themeColor="accent1"/>
                <w:highlight w:val="yellow"/>
              </w:rPr>
              <w:t>Priorità SR/</w:t>
            </w:r>
          </w:p>
          <w:p w14:paraId="4236D005" w14:textId="77777777" w:rsidR="00E12FD6" w:rsidRPr="003726BE" w:rsidRDefault="00E12FD6" w:rsidP="005870E4">
            <w:pPr>
              <w:jc w:val="left"/>
              <w:rPr>
                <w:rFonts w:cs="Arial"/>
                <w:b/>
                <w:color w:val="FFFFFF" w:themeColor="accent1"/>
                <w:highlight w:val="yellow"/>
              </w:rPr>
            </w:pPr>
          </w:p>
          <w:p w14:paraId="4BD72875" w14:textId="77777777" w:rsidR="00E12FD6" w:rsidRPr="003726BE" w:rsidRDefault="00E12FD6" w:rsidP="005870E4">
            <w:pPr>
              <w:jc w:val="left"/>
              <w:rPr>
                <w:rFonts w:cs="Arial"/>
                <w:b/>
                <w:color w:val="FFFFFF" w:themeColor="accent1"/>
                <w:highlight w:val="yellow"/>
              </w:rPr>
            </w:pPr>
            <w:r w:rsidRPr="003726BE">
              <w:rPr>
                <w:b/>
                <w:color w:val="FFFFFF" w:themeColor="accent1"/>
                <w:highlight w:val="yellow"/>
              </w:rPr>
              <w:t>Impatti</w:t>
            </w:r>
          </w:p>
        </w:tc>
        <w:tc>
          <w:tcPr>
            <w:tcW w:w="2006" w:type="dxa"/>
            <w:shd w:val="clear" w:color="auto" w:fill="F07E31" w:themeFill="background2"/>
          </w:tcPr>
          <w:p w14:paraId="1837E5C6" w14:textId="77777777" w:rsidR="00E12FD6" w:rsidRPr="003726BE" w:rsidRDefault="00E12FD6" w:rsidP="005870E4">
            <w:pPr>
              <w:jc w:val="left"/>
              <w:rPr>
                <w:rFonts w:cs="Arial"/>
                <w:b/>
                <w:color w:val="FFFFFF" w:themeColor="accent1"/>
                <w:highlight w:val="yellow"/>
              </w:rPr>
            </w:pPr>
            <w:r w:rsidRPr="003726BE">
              <w:rPr>
                <w:b/>
                <w:color w:val="FFFFFF" w:themeColor="accent1"/>
                <w:highlight w:val="yellow"/>
              </w:rPr>
              <w:t>Aspetto specifico SR/</w:t>
            </w:r>
          </w:p>
          <w:p w14:paraId="3376AB88" w14:textId="77777777" w:rsidR="00E12FD6" w:rsidRPr="003726BE" w:rsidRDefault="00E12FD6" w:rsidP="005870E4">
            <w:pPr>
              <w:jc w:val="left"/>
              <w:rPr>
                <w:rFonts w:cs="Arial"/>
                <w:b/>
                <w:color w:val="FFFFFF" w:themeColor="accent1"/>
                <w:highlight w:val="yellow"/>
              </w:rPr>
            </w:pPr>
            <w:r w:rsidRPr="003726BE">
              <w:rPr>
                <w:b/>
                <w:color w:val="FFFFFF" w:themeColor="accent1"/>
                <w:highlight w:val="yellow"/>
              </w:rPr>
              <w:t xml:space="preserve">Risultati di misure e combinazioni di misure </w:t>
            </w:r>
          </w:p>
        </w:tc>
        <w:tc>
          <w:tcPr>
            <w:tcW w:w="2006" w:type="dxa"/>
            <w:shd w:val="clear" w:color="auto" w:fill="F7A833" w:themeFill="accent5"/>
          </w:tcPr>
          <w:p w14:paraId="6A9F48A3" w14:textId="77777777" w:rsidR="00E12FD6" w:rsidRPr="003726BE" w:rsidRDefault="00E12FD6" w:rsidP="005870E4">
            <w:pPr>
              <w:jc w:val="left"/>
              <w:rPr>
                <w:rFonts w:cs="Arial"/>
                <w:b/>
                <w:color w:val="FFFFFF" w:themeColor="accent1"/>
                <w:highlight w:val="yellow"/>
              </w:rPr>
            </w:pPr>
            <w:r w:rsidRPr="003726BE">
              <w:rPr>
                <w:b/>
                <w:color w:val="FFFFFF" w:themeColor="accent1"/>
                <w:highlight w:val="yellow"/>
              </w:rPr>
              <w:t>Misura SR</w:t>
            </w:r>
          </w:p>
          <w:p w14:paraId="7BB272F2" w14:textId="77777777" w:rsidR="00E12FD6" w:rsidRPr="003726BE" w:rsidRDefault="00E12FD6" w:rsidP="005870E4">
            <w:pPr>
              <w:jc w:val="left"/>
              <w:rPr>
                <w:rFonts w:cs="Arial"/>
                <w:b/>
                <w:color w:val="FFFFFF" w:themeColor="accent1"/>
                <w:highlight w:val="yellow"/>
              </w:rPr>
            </w:pPr>
          </w:p>
          <w:p w14:paraId="07F0B709" w14:textId="77777777" w:rsidR="00E12FD6" w:rsidRPr="003726BE" w:rsidRDefault="00E12FD6" w:rsidP="005870E4">
            <w:pPr>
              <w:jc w:val="left"/>
              <w:rPr>
                <w:rFonts w:cs="Arial"/>
                <w:b/>
                <w:color w:val="FFFFFF" w:themeColor="accent1"/>
                <w:highlight w:val="yellow"/>
              </w:rPr>
            </w:pPr>
          </w:p>
        </w:tc>
      </w:tr>
      <w:tr w:rsidR="005870E4" w:rsidRPr="003726BE" w14:paraId="11B5017F" w14:textId="77777777" w:rsidTr="0001223C">
        <w:trPr>
          <w:trHeight w:val="1208"/>
          <w:jc w:val="center"/>
        </w:trPr>
        <w:tc>
          <w:tcPr>
            <w:tcW w:w="2006" w:type="dxa"/>
            <w:shd w:val="clear" w:color="auto" w:fill="57825E" w:themeFill="accent4"/>
          </w:tcPr>
          <w:p w14:paraId="037C612A" w14:textId="77777777" w:rsidR="00E12FD6" w:rsidRPr="003726BE" w:rsidRDefault="00E12FD6" w:rsidP="005870E4">
            <w:pPr>
              <w:jc w:val="left"/>
              <w:rPr>
                <w:rFonts w:cs="Arial"/>
                <w:b/>
                <w:color w:val="FFFFFF" w:themeColor="accent1"/>
                <w:highlight w:val="yellow"/>
              </w:rPr>
            </w:pPr>
            <w:r w:rsidRPr="003726BE">
              <w:rPr>
                <w:b/>
                <w:color w:val="FFFFFF" w:themeColor="accent1"/>
                <w:highlight w:val="yellow"/>
              </w:rPr>
              <w:t>Priorità SR/</w:t>
            </w:r>
          </w:p>
          <w:p w14:paraId="55A82E18" w14:textId="77777777" w:rsidR="00E12FD6" w:rsidRPr="003726BE" w:rsidRDefault="00E12FD6" w:rsidP="005870E4">
            <w:pPr>
              <w:jc w:val="left"/>
              <w:rPr>
                <w:rFonts w:cs="Arial"/>
                <w:b/>
                <w:color w:val="FFFFFF" w:themeColor="accent1"/>
                <w:highlight w:val="yellow"/>
              </w:rPr>
            </w:pPr>
          </w:p>
          <w:p w14:paraId="2FFD4482" w14:textId="77777777" w:rsidR="00E12FD6" w:rsidRPr="003726BE" w:rsidRDefault="00E12FD6" w:rsidP="005870E4">
            <w:pPr>
              <w:jc w:val="left"/>
              <w:rPr>
                <w:rFonts w:cs="Arial"/>
                <w:b/>
                <w:color w:val="FFFFFF" w:themeColor="accent1"/>
                <w:highlight w:val="yellow"/>
              </w:rPr>
            </w:pPr>
            <w:r w:rsidRPr="003726BE">
              <w:rPr>
                <w:b/>
                <w:color w:val="FFFFFF" w:themeColor="accent1"/>
                <w:highlight w:val="yellow"/>
              </w:rPr>
              <w:t>Impatti</w:t>
            </w:r>
          </w:p>
        </w:tc>
        <w:tc>
          <w:tcPr>
            <w:tcW w:w="2006" w:type="dxa"/>
            <w:shd w:val="clear" w:color="auto" w:fill="B8D0BC" w:themeFill="accent4" w:themeFillTint="66"/>
          </w:tcPr>
          <w:p w14:paraId="2239F762" w14:textId="77777777" w:rsidR="00E12FD6" w:rsidRPr="003726BE" w:rsidRDefault="00E12FD6" w:rsidP="005870E4">
            <w:pPr>
              <w:jc w:val="left"/>
              <w:rPr>
                <w:rFonts w:cs="Arial"/>
                <w:highlight w:val="yellow"/>
              </w:rPr>
            </w:pPr>
            <w:r w:rsidRPr="003726BE">
              <w:rPr>
                <w:highlight w:val="yellow"/>
              </w:rPr>
              <w:t>Effetti trasversali (positivi = sinergie e negativi)</w:t>
            </w:r>
          </w:p>
          <w:p w14:paraId="24D4415F" w14:textId="77777777" w:rsidR="00E12FD6" w:rsidRPr="003726BE" w:rsidRDefault="00E12FD6" w:rsidP="005870E4">
            <w:pPr>
              <w:jc w:val="left"/>
              <w:rPr>
                <w:rFonts w:cs="Arial"/>
                <w:highlight w:val="yellow"/>
              </w:rPr>
            </w:pPr>
            <w:r w:rsidRPr="003726BE">
              <w:rPr>
                <w:highlight w:val="yellow"/>
              </w:rPr>
              <w:t>Intenzionali/non intenzionali</w:t>
            </w:r>
          </w:p>
        </w:tc>
        <w:tc>
          <w:tcPr>
            <w:tcW w:w="2006" w:type="dxa"/>
            <w:tcBorders>
              <w:bottom w:val="single" w:sz="4" w:space="0" w:color="6F6F6F" w:themeColor="text1"/>
            </w:tcBorders>
          </w:tcPr>
          <w:p w14:paraId="7DDC9A06" w14:textId="77777777" w:rsidR="00E12FD6" w:rsidRPr="003726BE" w:rsidRDefault="00E12FD6" w:rsidP="005870E4">
            <w:pPr>
              <w:jc w:val="left"/>
              <w:rPr>
                <w:rFonts w:cs="Arial"/>
                <w:highlight w:val="yellow"/>
              </w:rPr>
            </w:pPr>
          </w:p>
        </w:tc>
        <w:tc>
          <w:tcPr>
            <w:tcW w:w="2006" w:type="dxa"/>
          </w:tcPr>
          <w:p w14:paraId="130DC115" w14:textId="77777777" w:rsidR="00E12FD6" w:rsidRPr="003726BE" w:rsidRDefault="00E12FD6" w:rsidP="005870E4">
            <w:pPr>
              <w:jc w:val="left"/>
              <w:rPr>
                <w:rFonts w:cs="Arial"/>
                <w:highlight w:val="yellow"/>
              </w:rPr>
            </w:pPr>
          </w:p>
        </w:tc>
      </w:tr>
      <w:tr w:rsidR="005870E4" w:rsidRPr="003726BE" w14:paraId="3A84F01F" w14:textId="77777777" w:rsidTr="0001223C">
        <w:trPr>
          <w:trHeight w:val="1269"/>
          <w:jc w:val="center"/>
        </w:trPr>
        <w:tc>
          <w:tcPr>
            <w:tcW w:w="2006" w:type="dxa"/>
            <w:shd w:val="clear" w:color="auto" w:fill="F07E31" w:themeFill="background2"/>
          </w:tcPr>
          <w:p w14:paraId="680727D2" w14:textId="77777777" w:rsidR="00E12FD6" w:rsidRPr="003726BE" w:rsidRDefault="00E12FD6" w:rsidP="005870E4">
            <w:pPr>
              <w:jc w:val="left"/>
              <w:rPr>
                <w:rFonts w:cs="Arial"/>
                <w:b/>
                <w:color w:val="FFFFFF" w:themeColor="accent1"/>
                <w:highlight w:val="yellow"/>
              </w:rPr>
            </w:pPr>
            <w:r w:rsidRPr="003726BE">
              <w:rPr>
                <w:b/>
                <w:color w:val="FFFFFF" w:themeColor="accent1"/>
                <w:highlight w:val="yellow"/>
              </w:rPr>
              <w:t>Aspetto specifico SR/</w:t>
            </w:r>
          </w:p>
          <w:p w14:paraId="758F9673" w14:textId="77777777" w:rsidR="00E12FD6" w:rsidRPr="003726BE" w:rsidRDefault="00E12FD6" w:rsidP="005870E4">
            <w:pPr>
              <w:jc w:val="left"/>
              <w:rPr>
                <w:rFonts w:cs="Arial"/>
                <w:b/>
                <w:color w:val="FFFFFF" w:themeColor="accent1"/>
                <w:highlight w:val="yellow"/>
              </w:rPr>
            </w:pPr>
            <w:r w:rsidRPr="003726BE">
              <w:rPr>
                <w:b/>
                <w:color w:val="FFFFFF" w:themeColor="accent1"/>
                <w:highlight w:val="yellow"/>
              </w:rPr>
              <w:t>Risultati di misure e combinazioni di misure</w:t>
            </w:r>
          </w:p>
        </w:tc>
        <w:tc>
          <w:tcPr>
            <w:tcW w:w="2006" w:type="dxa"/>
          </w:tcPr>
          <w:p w14:paraId="208BC0F3" w14:textId="77777777" w:rsidR="00E12FD6" w:rsidRPr="003726BE" w:rsidRDefault="00E12FD6" w:rsidP="005870E4">
            <w:pPr>
              <w:jc w:val="left"/>
              <w:rPr>
                <w:rFonts w:cs="Arial"/>
                <w:highlight w:val="yellow"/>
              </w:rPr>
            </w:pPr>
            <w:r w:rsidRPr="003726BE">
              <w:rPr>
                <w:highlight w:val="yellow"/>
              </w:rPr>
              <w:t>Primari/secondari</w:t>
            </w:r>
          </w:p>
          <w:p w14:paraId="2C75F7D4" w14:textId="77777777" w:rsidR="00E12FD6" w:rsidRPr="003726BE" w:rsidRDefault="00E12FD6" w:rsidP="005870E4">
            <w:pPr>
              <w:jc w:val="left"/>
              <w:rPr>
                <w:rFonts w:cs="Arial"/>
                <w:highlight w:val="yellow"/>
              </w:rPr>
            </w:pPr>
            <w:r w:rsidRPr="003726BE">
              <w:rPr>
                <w:highlight w:val="yellow"/>
              </w:rPr>
              <w:t xml:space="preserve">Diretti/Indiretti </w:t>
            </w:r>
          </w:p>
          <w:p w14:paraId="44B159C8" w14:textId="77777777" w:rsidR="00E12FD6" w:rsidRPr="003726BE" w:rsidRDefault="00E12FD6" w:rsidP="005870E4">
            <w:pPr>
              <w:jc w:val="left"/>
              <w:rPr>
                <w:rFonts w:cs="Arial"/>
                <w:highlight w:val="yellow"/>
              </w:rPr>
            </w:pPr>
            <w:r w:rsidRPr="003726BE">
              <w:rPr>
                <w:highlight w:val="yellow"/>
              </w:rPr>
              <w:t>Intenzionali/non intenzionali</w:t>
            </w:r>
          </w:p>
        </w:tc>
        <w:tc>
          <w:tcPr>
            <w:tcW w:w="2006" w:type="dxa"/>
            <w:shd w:val="clear" w:color="auto" w:fill="F9CBAC" w:themeFill="background2" w:themeFillTint="66"/>
          </w:tcPr>
          <w:p w14:paraId="62CE185C" w14:textId="77777777" w:rsidR="00E12FD6" w:rsidRPr="003726BE" w:rsidRDefault="00E12FD6" w:rsidP="005870E4">
            <w:pPr>
              <w:jc w:val="left"/>
              <w:rPr>
                <w:rFonts w:cs="Arial"/>
                <w:highlight w:val="yellow"/>
              </w:rPr>
            </w:pPr>
            <w:r w:rsidRPr="003726BE">
              <w:rPr>
                <w:highlight w:val="yellow"/>
              </w:rPr>
              <w:t>Effetti trasversali (positivi = sinergie e negativi)</w:t>
            </w:r>
          </w:p>
          <w:p w14:paraId="17895EEF" w14:textId="77777777" w:rsidR="00E12FD6" w:rsidRPr="003726BE" w:rsidRDefault="00E12FD6" w:rsidP="005870E4">
            <w:pPr>
              <w:jc w:val="left"/>
              <w:rPr>
                <w:rFonts w:cs="Arial"/>
                <w:highlight w:val="yellow"/>
              </w:rPr>
            </w:pPr>
            <w:r w:rsidRPr="003726BE">
              <w:rPr>
                <w:highlight w:val="yellow"/>
              </w:rPr>
              <w:t>Intenzionali/non intenzionali</w:t>
            </w:r>
          </w:p>
        </w:tc>
        <w:tc>
          <w:tcPr>
            <w:tcW w:w="2006" w:type="dxa"/>
            <w:tcBorders>
              <w:bottom w:val="single" w:sz="4" w:space="0" w:color="6F6F6F" w:themeColor="text1"/>
            </w:tcBorders>
          </w:tcPr>
          <w:p w14:paraId="0C0BC4AE" w14:textId="77777777" w:rsidR="00E12FD6" w:rsidRPr="003726BE" w:rsidRDefault="00E12FD6" w:rsidP="005870E4">
            <w:pPr>
              <w:jc w:val="left"/>
              <w:rPr>
                <w:rFonts w:cs="Arial"/>
                <w:highlight w:val="yellow"/>
              </w:rPr>
            </w:pPr>
          </w:p>
        </w:tc>
      </w:tr>
      <w:tr w:rsidR="005870E4" w:rsidRPr="003726BE" w14:paraId="3FC88457" w14:textId="77777777" w:rsidTr="0001223C">
        <w:trPr>
          <w:trHeight w:val="1117"/>
          <w:jc w:val="center"/>
        </w:trPr>
        <w:tc>
          <w:tcPr>
            <w:tcW w:w="2006" w:type="dxa"/>
            <w:shd w:val="clear" w:color="auto" w:fill="F7A833" w:themeFill="accent5"/>
          </w:tcPr>
          <w:p w14:paraId="18FCB5D9" w14:textId="77777777" w:rsidR="00E12FD6" w:rsidRPr="003726BE" w:rsidRDefault="00E12FD6" w:rsidP="005870E4">
            <w:pPr>
              <w:jc w:val="left"/>
              <w:rPr>
                <w:rFonts w:cs="Arial"/>
                <w:b/>
                <w:color w:val="FFFFFF" w:themeColor="accent1"/>
                <w:highlight w:val="yellow"/>
              </w:rPr>
            </w:pPr>
            <w:r w:rsidRPr="003726BE">
              <w:rPr>
                <w:b/>
                <w:color w:val="FFFFFF" w:themeColor="accent1"/>
                <w:highlight w:val="yellow"/>
              </w:rPr>
              <w:t>Misura SR</w:t>
            </w:r>
          </w:p>
        </w:tc>
        <w:tc>
          <w:tcPr>
            <w:tcW w:w="2006" w:type="dxa"/>
          </w:tcPr>
          <w:p w14:paraId="31D8FE7B" w14:textId="77777777" w:rsidR="00E12FD6" w:rsidRPr="003726BE" w:rsidRDefault="00E12FD6" w:rsidP="005870E4">
            <w:pPr>
              <w:jc w:val="left"/>
              <w:rPr>
                <w:rFonts w:cs="Arial"/>
                <w:highlight w:val="yellow"/>
              </w:rPr>
            </w:pPr>
            <w:r w:rsidRPr="003726BE">
              <w:rPr>
                <w:highlight w:val="yellow"/>
              </w:rPr>
              <w:t>Primari/secondari</w:t>
            </w:r>
          </w:p>
          <w:p w14:paraId="6CA77472" w14:textId="77777777" w:rsidR="00E12FD6" w:rsidRPr="003726BE" w:rsidRDefault="00E12FD6" w:rsidP="005870E4">
            <w:pPr>
              <w:jc w:val="left"/>
              <w:rPr>
                <w:rFonts w:cs="Arial"/>
                <w:highlight w:val="yellow"/>
              </w:rPr>
            </w:pPr>
            <w:r w:rsidRPr="003726BE">
              <w:rPr>
                <w:highlight w:val="yellow"/>
              </w:rPr>
              <w:t xml:space="preserve">Diretti/Indiretti </w:t>
            </w:r>
          </w:p>
          <w:p w14:paraId="6F2B295B" w14:textId="77777777" w:rsidR="00E12FD6" w:rsidRPr="003726BE" w:rsidRDefault="00E12FD6" w:rsidP="005870E4">
            <w:pPr>
              <w:jc w:val="left"/>
              <w:rPr>
                <w:rFonts w:cs="Arial"/>
                <w:highlight w:val="yellow"/>
              </w:rPr>
            </w:pPr>
            <w:r w:rsidRPr="003726BE">
              <w:rPr>
                <w:highlight w:val="yellow"/>
              </w:rPr>
              <w:t>Intenzionali/non intenzionali</w:t>
            </w:r>
          </w:p>
        </w:tc>
        <w:tc>
          <w:tcPr>
            <w:tcW w:w="2006" w:type="dxa"/>
          </w:tcPr>
          <w:p w14:paraId="65DE7048" w14:textId="77777777" w:rsidR="00E12FD6" w:rsidRPr="003726BE" w:rsidRDefault="00E12FD6" w:rsidP="005870E4">
            <w:pPr>
              <w:jc w:val="left"/>
              <w:rPr>
                <w:rFonts w:cs="Arial"/>
                <w:highlight w:val="yellow"/>
              </w:rPr>
            </w:pPr>
            <w:r w:rsidRPr="003726BE">
              <w:rPr>
                <w:highlight w:val="yellow"/>
              </w:rPr>
              <w:t>Primari/secondari</w:t>
            </w:r>
          </w:p>
          <w:p w14:paraId="21866D79" w14:textId="77777777" w:rsidR="00E12FD6" w:rsidRPr="003726BE" w:rsidRDefault="00E12FD6" w:rsidP="005870E4">
            <w:pPr>
              <w:jc w:val="left"/>
              <w:rPr>
                <w:rFonts w:cs="Arial"/>
                <w:highlight w:val="yellow"/>
              </w:rPr>
            </w:pPr>
            <w:r w:rsidRPr="003726BE">
              <w:rPr>
                <w:highlight w:val="yellow"/>
              </w:rPr>
              <w:t xml:space="preserve">Diretti/Indiretti </w:t>
            </w:r>
          </w:p>
          <w:p w14:paraId="3D228357" w14:textId="77777777" w:rsidR="00E12FD6" w:rsidRPr="003726BE" w:rsidRDefault="00E12FD6" w:rsidP="005870E4">
            <w:pPr>
              <w:jc w:val="left"/>
              <w:rPr>
                <w:rFonts w:cs="Arial"/>
                <w:highlight w:val="yellow"/>
              </w:rPr>
            </w:pPr>
            <w:r w:rsidRPr="003726BE">
              <w:rPr>
                <w:highlight w:val="yellow"/>
              </w:rPr>
              <w:t>Intenzionali/non intenzionali</w:t>
            </w:r>
          </w:p>
        </w:tc>
        <w:tc>
          <w:tcPr>
            <w:tcW w:w="2006" w:type="dxa"/>
            <w:shd w:val="clear" w:color="auto" w:fill="FBDCAD" w:themeFill="accent5" w:themeFillTint="66"/>
          </w:tcPr>
          <w:p w14:paraId="701565E9" w14:textId="77777777" w:rsidR="00E12FD6" w:rsidRPr="003726BE" w:rsidRDefault="00E12FD6" w:rsidP="005870E4">
            <w:pPr>
              <w:jc w:val="left"/>
              <w:rPr>
                <w:rFonts w:cs="Arial"/>
                <w:highlight w:val="yellow"/>
              </w:rPr>
            </w:pPr>
            <w:r w:rsidRPr="003726BE">
              <w:rPr>
                <w:highlight w:val="yellow"/>
              </w:rPr>
              <w:t>Effetti trasversali (positivi = sinergie e negativi)</w:t>
            </w:r>
          </w:p>
          <w:p w14:paraId="7FF39C85" w14:textId="77777777" w:rsidR="00E12FD6" w:rsidRPr="003726BE" w:rsidRDefault="00E12FD6" w:rsidP="005870E4">
            <w:pPr>
              <w:jc w:val="left"/>
              <w:rPr>
                <w:rFonts w:cs="Arial"/>
                <w:highlight w:val="yellow"/>
              </w:rPr>
            </w:pPr>
            <w:r w:rsidRPr="003726BE">
              <w:rPr>
                <w:highlight w:val="yellow"/>
              </w:rPr>
              <w:t>Intenzionali/non intenzionali</w:t>
            </w:r>
          </w:p>
        </w:tc>
      </w:tr>
    </w:tbl>
    <w:p w14:paraId="0A89D859" w14:textId="77777777" w:rsidR="00054B2D" w:rsidRPr="003726BE" w:rsidRDefault="00E33EA9" w:rsidP="00855FB0">
      <w:pPr>
        <w:pStyle w:val="HStandard"/>
        <w:spacing w:before="120"/>
        <w:rPr>
          <w:rFonts w:eastAsiaTheme="majorEastAsia"/>
          <w:i/>
          <w:highlight w:val="yellow"/>
        </w:rPr>
      </w:pPr>
      <w:r w:rsidRPr="003726BE">
        <w:rPr>
          <w:rFonts w:eastAsiaTheme="majorEastAsia"/>
          <w:i/>
          <w:highlight w:val="yellow"/>
        </w:rPr>
        <w:t>Uno strumento per la valutazione qualitativa dei contributi primari e secondari delle operazioni del PSR, nonché per tracciare gli effetti trasversali/le sinergie è riportato</w:t>
      </w:r>
      <w:r w:rsidR="00A844E1">
        <w:rPr>
          <w:rFonts w:eastAsiaTheme="majorEastAsia"/>
          <w:i/>
          <w:highlight w:val="yellow"/>
        </w:rPr>
        <w:t xml:space="preserve"> nella Parte III, allegato 10. </w:t>
      </w:r>
    </w:p>
    <w:p w14:paraId="653D8088" w14:textId="77777777" w:rsidR="00054B2D" w:rsidRPr="003726BE" w:rsidRDefault="00054B2D" w:rsidP="00C147EB">
      <w:pPr>
        <w:pStyle w:val="HHeading5"/>
        <w:rPr>
          <w:rFonts w:eastAsiaTheme="majorEastAsia" w:cs="Arial"/>
          <w:highlight w:val="yellow"/>
        </w:rPr>
      </w:pPr>
      <w:r w:rsidRPr="003726BE">
        <w:rPr>
          <w:rFonts w:eastAsiaTheme="majorEastAsia"/>
          <w:highlight w:val="yellow"/>
        </w:rPr>
        <w:t>Specificità di LEADER</w:t>
      </w:r>
    </w:p>
    <w:p w14:paraId="0378D613" w14:textId="77777777" w:rsidR="0015421E" w:rsidRPr="003726BE" w:rsidRDefault="00F4013E" w:rsidP="00673940">
      <w:pPr>
        <w:pStyle w:val="HStandard"/>
        <w:rPr>
          <w:rFonts w:eastAsiaTheme="majorEastAsia" w:cs="Arial"/>
          <w:highlight w:val="yellow"/>
        </w:rPr>
      </w:pPr>
      <w:r w:rsidRPr="003726BE">
        <w:rPr>
          <w:rFonts w:eastAsiaTheme="majorEastAsia"/>
          <w:highlight w:val="yellow"/>
        </w:rPr>
        <w:t xml:space="preserve">Il progetto LEADER è programmato ai sensi dell'aspetto specifico 6B (aspetto specifico 6A nel Regno Unito). Questo è anche l'aspetto specifico per il quale sono previsti contributi primari, e nell'ambito del quale la creazione di posti di lavoro e la proporzione della popolazione rurale interessata sono inclusi come indicatori di obiettivo. </w:t>
      </w:r>
    </w:p>
    <w:p w14:paraId="4DB94342" w14:textId="77777777" w:rsidR="005E038C" w:rsidRPr="003726BE" w:rsidRDefault="00054B2D" w:rsidP="00673940">
      <w:pPr>
        <w:pStyle w:val="HStandard"/>
        <w:rPr>
          <w:rFonts w:eastAsiaTheme="majorEastAsia" w:cs="Arial"/>
          <w:highlight w:val="yellow"/>
        </w:rPr>
      </w:pPr>
      <w:r w:rsidRPr="003726BE">
        <w:rPr>
          <w:rFonts w:eastAsiaTheme="majorEastAsia"/>
          <w:highlight w:val="yellow"/>
        </w:rPr>
        <w:t>Tuttavia, LEADER è implementato tramite strategie di sviluppo locali (strategia CLLD) che sono in realtà simili a piccoli programmi che sostengono una vasta gamma di operazioni. Il campo di applicazione varia a seconda degli Stati membri/delle regioni</w:t>
      </w:r>
      <w:r w:rsidRPr="003726BE">
        <w:rPr>
          <w:rStyle w:val="FootnoteReference"/>
          <w:rFonts w:eastAsiaTheme="majorEastAsia"/>
          <w:highlight w:val="yellow"/>
        </w:rPr>
        <w:footnoteReference w:id="34"/>
      </w:r>
      <w:r w:rsidRPr="003726BE">
        <w:rPr>
          <w:rFonts w:eastAsiaTheme="majorEastAsia"/>
          <w:highlight w:val="yellow"/>
        </w:rPr>
        <w:t xml:space="preserve">. Ciò implica che i progetti finanziati nell'ambito delle misure della strategia CLLD contribuiranno a una vasta gamma di aspetti specifici, al di là del FA 6B (contributi secondari di LEADER). </w:t>
      </w:r>
    </w:p>
    <w:p w14:paraId="57562932" w14:textId="77777777" w:rsidR="00054B2D" w:rsidRPr="003726BE" w:rsidRDefault="00E02B35" w:rsidP="00673940">
      <w:pPr>
        <w:pStyle w:val="HStandard"/>
        <w:rPr>
          <w:rFonts w:eastAsiaTheme="majorEastAsia" w:cs="Arial"/>
          <w:highlight w:val="yellow"/>
        </w:rPr>
      </w:pPr>
      <w:r w:rsidRPr="003726BE">
        <w:rPr>
          <w:rFonts w:eastAsiaTheme="majorEastAsia"/>
          <w:highlight w:val="yellow"/>
        </w:rPr>
        <w:t xml:space="preserve">È possibile distinguere </w:t>
      </w:r>
      <w:r w:rsidRPr="003726BE">
        <w:rPr>
          <w:rFonts w:eastAsiaTheme="majorEastAsia"/>
          <w:b/>
          <w:highlight w:val="yellow"/>
        </w:rPr>
        <w:t>due tipi di contributi secondari</w:t>
      </w:r>
      <w:r w:rsidRPr="003726BE">
        <w:rPr>
          <w:rFonts w:eastAsiaTheme="majorEastAsia"/>
          <w:highlight w:val="yellow"/>
        </w:rPr>
        <w:t xml:space="preserve"> dei progetti LEADER a favore del FA (voci di dati rilevanti per LEADER da raccogliere per ciascun progetto)</w:t>
      </w:r>
      <w:r w:rsidRPr="003726BE">
        <w:rPr>
          <w:rStyle w:val="FootnoteReference"/>
          <w:highlight w:val="yellow"/>
        </w:rPr>
        <w:footnoteReference w:id="35"/>
      </w:r>
      <w:r w:rsidRPr="003726BE">
        <w:rPr>
          <w:rFonts w:eastAsiaTheme="majorEastAsia"/>
          <w:highlight w:val="yellow"/>
        </w:rPr>
        <w:t>:</w:t>
      </w:r>
    </w:p>
    <w:p w14:paraId="1F77446C" w14:textId="77777777" w:rsidR="00054B2D" w:rsidRPr="003726BE" w:rsidRDefault="00054B2D" w:rsidP="00673940">
      <w:pPr>
        <w:pStyle w:val="Hlistbullet"/>
        <w:rPr>
          <w:rFonts w:eastAsiaTheme="majorEastAsia" w:cs="Arial"/>
          <w:highlight w:val="yellow"/>
        </w:rPr>
      </w:pPr>
      <w:r w:rsidRPr="003726BE">
        <w:rPr>
          <w:highlight w:val="yellow"/>
        </w:rPr>
        <w:t xml:space="preserve">contributi predominanti al FA: </w:t>
      </w:r>
    </w:p>
    <w:p w14:paraId="3D88B43B" w14:textId="77777777" w:rsidR="00054B2D" w:rsidRPr="003726BE" w:rsidRDefault="00937B94" w:rsidP="00706AC9">
      <w:pPr>
        <w:pStyle w:val="Hlistbullet"/>
        <w:rPr>
          <w:rFonts w:eastAsiaTheme="majorEastAsia"/>
          <w:highlight w:val="yellow"/>
        </w:rPr>
      </w:pPr>
      <w:r w:rsidRPr="003726BE">
        <w:rPr>
          <w:highlight w:val="yellow"/>
        </w:rPr>
        <w:t xml:space="preserve">contributi aggiuntivi al/ai FA. </w:t>
      </w:r>
    </w:p>
    <w:p w14:paraId="407722D6" w14:textId="77777777" w:rsidR="00054B2D" w:rsidRPr="003726BE" w:rsidRDefault="00F3350F" w:rsidP="00673940">
      <w:pPr>
        <w:pStyle w:val="HStandard"/>
        <w:rPr>
          <w:rFonts w:eastAsiaTheme="majorEastAsia" w:cs="Arial"/>
          <w:highlight w:val="yellow"/>
        </w:rPr>
      </w:pPr>
      <w:r w:rsidRPr="003726BE">
        <w:rPr>
          <w:rFonts w:eastAsiaTheme="majorEastAsia"/>
          <w:highlight w:val="yellow"/>
        </w:rPr>
        <w:t xml:space="preserve">Ciò implica che nel valutare la logica di intervento del PSR si dovrebbero considerare i contributi secondari di LEADER a favore di aspetti specifici diversi da FA 6B, ai sensi del quale vengono solitamente programmati i progetti LEADER. Laddove ci si attenda contributi attraverso la strategia </w:t>
      </w:r>
      <w:r w:rsidRPr="003726BE">
        <w:rPr>
          <w:rFonts w:eastAsiaTheme="majorEastAsia"/>
          <w:highlight w:val="yellow"/>
        </w:rPr>
        <w:lastRenderedPageBreak/>
        <w:t xml:space="preserve">CLLD, la loro validità dovrebbe essere confermata. A tal fine, deve essere istituita una banca dati delle operazioni a livello di GAL, analoga alla banca dati delle operazioni del PSR, al fine di rilevare tutte le operazioni con contributi primari e secondari risultanti della strategia CLLD in relazione ai valori degli indicatori di risultato utilizzati per la valutazione delle realizzazioni ai sensi degli aspetti specifici. La stima dei contributi LEADER può essere calcolata utilizzando </w:t>
      </w:r>
      <w:r w:rsidRPr="003726BE">
        <w:rPr>
          <w:rFonts w:eastAsiaTheme="majorEastAsia"/>
          <w:b/>
          <w:highlight w:val="yellow"/>
        </w:rPr>
        <w:t>campioni</w:t>
      </w:r>
      <w:r w:rsidRPr="003726BE">
        <w:rPr>
          <w:rFonts w:eastAsiaTheme="majorEastAsia"/>
          <w:highlight w:val="yellow"/>
        </w:rPr>
        <w:t xml:space="preserve"> di beneficiari che hanno segnalato i relativi FA come contributi predominanti o aggiuntivi nella banca dati delle operazioni GAL.</w:t>
      </w:r>
    </w:p>
    <w:p w14:paraId="358038B2" w14:textId="77777777" w:rsidR="00054B2D" w:rsidRPr="003726BE" w:rsidRDefault="00054B2D" w:rsidP="00673940">
      <w:pPr>
        <w:pStyle w:val="HStandard"/>
        <w:rPr>
          <w:rFonts w:cs="Arial"/>
          <w:highlight w:val="yellow"/>
        </w:rPr>
      </w:pPr>
      <w:r w:rsidRPr="003726BE">
        <w:rPr>
          <w:highlight w:val="yellow"/>
        </w:rPr>
        <w:t xml:space="preserve">Un'altra specificità di LEADER è legata al </w:t>
      </w:r>
      <w:r w:rsidRPr="003726BE">
        <w:rPr>
          <w:b/>
          <w:highlight w:val="yellow"/>
        </w:rPr>
        <w:t>metodo LEADER</w:t>
      </w:r>
      <w:r w:rsidRPr="003726BE">
        <w:rPr>
          <w:highlight w:val="yellow"/>
        </w:rPr>
        <w:t xml:space="preserve">, tradotto in 7 principi (partenariato, struttura dal basso verso l'alto, strategie multisettoriali e territoriali, innovazione, creazione di reti e cooperazione), che genera il </w:t>
      </w:r>
      <w:r w:rsidRPr="003726BE">
        <w:rPr>
          <w:b/>
          <w:highlight w:val="yellow"/>
        </w:rPr>
        <w:t>valore aggiunto LEADER</w:t>
      </w:r>
      <w:r w:rsidRPr="003726BE">
        <w:rPr>
          <w:highlight w:val="yellow"/>
        </w:rPr>
        <w:t>, ad esempio aumento del capitale sociale o migliore governance locale. In molti casi i principi LEADER e il valore aggiunto LEADER non sono articolati come obiettivi specifici del programma legati a LEADER, né sono menzionati come un tema di valutazione nel piano di valutazione. In ogni caso, questi effetti devono essere presi in</w:t>
      </w:r>
      <w:r w:rsidR="000B31E0">
        <w:rPr>
          <w:highlight w:val="yellow"/>
        </w:rPr>
        <w:t xml:space="preserve"> </w:t>
      </w:r>
      <w:r w:rsidRPr="003726BE">
        <w:rPr>
          <w:highlight w:val="yellow"/>
        </w:rPr>
        <w:t>considerazione quando si riesamina LEADER nel contesto della logica di interve</w:t>
      </w:r>
      <w:r w:rsidR="000B31E0">
        <w:rPr>
          <w:highlight w:val="yellow"/>
        </w:rPr>
        <w:t>nto del PSR. Ciò contribuisce ad analizza</w:t>
      </w:r>
      <w:r w:rsidRPr="003726BE">
        <w:rPr>
          <w:highlight w:val="yellow"/>
        </w:rPr>
        <w:t>re questi effetti (positivi e negativi) e a</w:t>
      </w:r>
      <w:r w:rsidR="00074410">
        <w:rPr>
          <w:highlight w:val="yellow"/>
        </w:rPr>
        <w:t xml:space="preserve"> strutturar</w:t>
      </w:r>
      <w:r w:rsidRPr="003726BE">
        <w:rPr>
          <w:highlight w:val="yellow"/>
        </w:rPr>
        <w:t xml:space="preserve">li; inoltre, può anche portare all'individuazione di temi di valutazione aggiuntivi in relazione a LEADER. </w:t>
      </w:r>
    </w:p>
    <w:p w14:paraId="130BCD0C" w14:textId="77777777" w:rsidR="00054B2D" w:rsidRPr="003726BE" w:rsidRDefault="00054B2D" w:rsidP="00C147EB">
      <w:pPr>
        <w:pStyle w:val="HHeading5"/>
        <w:rPr>
          <w:rFonts w:eastAsiaTheme="majorEastAsia" w:cs="Arial"/>
          <w:highlight w:val="yellow"/>
        </w:rPr>
      </w:pPr>
      <w:r w:rsidRPr="003726BE">
        <w:rPr>
          <w:rFonts w:eastAsiaTheme="majorEastAsia"/>
          <w:highlight w:val="yellow"/>
        </w:rPr>
        <w:t>Specificità dell'assistenza tecnica (TA)</w:t>
      </w:r>
    </w:p>
    <w:p w14:paraId="46C60AAB" w14:textId="77777777" w:rsidR="00054B2D" w:rsidRPr="003726BE" w:rsidRDefault="005173E9" w:rsidP="00673940">
      <w:pPr>
        <w:pStyle w:val="HStandard"/>
        <w:rPr>
          <w:rFonts w:cs="Arial"/>
          <w:highlight w:val="yellow"/>
        </w:rPr>
      </w:pPr>
      <w:r w:rsidRPr="003726BE">
        <w:rPr>
          <w:highlight w:val="yellow"/>
        </w:rPr>
        <w:t>L'assistenza tecnica è finanziat</w:t>
      </w:r>
      <w:r w:rsidR="00074410">
        <w:rPr>
          <w:highlight w:val="yellow"/>
        </w:rPr>
        <w:t>a</w:t>
      </w:r>
      <w:r w:rsidRPr="003726BE">
        <w:rPr>
          <w:highlight w:val="yellow"/>
        </w:rPr>
        <w:t xml:space="preserve"> al massimo fino alla concorrenza del 4 % dell'importo totale del programma di sviluppo rurale ed è una misura orizzontale avviata dallo Stato membro</w:t>
      </w:r>
      <w:r w:rsidRPr="003726BE">
        <w:rPr>
          <w:highlight w:val="yellow"/>
          <w:vertAlign w:val="superscript"/>
        </w:rPr>
        <w:footnoteReference w:id="36"/>
      </w:r>
      <w:r w:rsidRPr="003726BE">
        <w:rPr>
          <w:highlight w:val="yellow"/>
          <w:vertAlign w:val="superscript"/>
        </w:rPr>
        <w:t xml:space="preserve"> </w:t>
      </w:r>
      <w:r w:rsidRPr="003726BE">
        <w:rPr>
          <w:highlight w:val="yellow"/>
        </w:rPr>
        <w:t>per sostenere azioni a favore di:</w:t>
      </w:r>
    </w:p>
    <w:p w14:paraId="36941CA3" w14:textId="77777777" w:rsidR="00054B2D" w:rsidRPr="003726BE" w:rsidRDefault="00054B2D" w:rsidP="00673940">
      <w:pPr>
        <w:pStyle w:val="Hlistbullet"/>
        <w:rPr>
          <w:rFonts w:cs="Arial"/>
          <w:highlight w:val="yellow"/>
        </w:rPr>
      </w:pPr>
      <w:r w:rsidRPr="003726BE">
        <w:rPr>
          <w:highlight w:val="yellow"/>
        </w:rPr>
        <w:t>preparazione, gestione, monitoraggio, valutazione, informazione e comunicazione, creazione di reti, risoluzione di reclami, cont</w:t>
      </w:r>
      <w:r w:rsidR="00A844E1">
        <w:rPr>
          <w:highlight w:val="yellow"/>
        </w:rPr>
        <w:t xml:space="preserve">rollo e audit; </w:t>
      </w:r>
    </w:p>
    <w:p w14:paraId="6B1B5CDF" w14:textId="77777777" w:rsidR="00054B2D" w:rsidRPr="003726BE" w:rsidRDefault="00054B2D" w:rsidP="00673940">
      <w:pPr>
        <w:pStyle w:val="Hlistbullet"/>
        <w:rPr>
          <w:rFonts w:cs="Arial"/>
          <w:highlight w:val="yellow"/>
        </w:rPr>
      </w:pPr>
      <w:r w:rsidRPr="003726BE">
        <w:rPr>
          <w:highlight w:val="yellow"/>
        </w:rPr>
        <w:t xml:space="preserve">riduzione degli oneri amministrativi a carico dei beneficiari, ivi incluso tramite sistemi di scambio di dati elettronici; e </w:t>
      </w:r>
    </w:p>
    <w:p w14:paraId="13C6D80B" w14:textId="77777777" w:rsidR="00054B2D" w:rsidRPr="003726BE" w:rsidRDefault="00054B2D" w:rsidP="00673940">
      <w:pPr>
        <w:pStyle w:val="Hlistbullet"/>
        <w:rPr>
          <w:rFonts w:cs="Arial"/>
          <w:highlight w:val="yellow"/>
        </w:rPr>
      </w:pPr>
      <w:r w:rsidRPr="003726BE">
        <w:rPr>
          <w:highlight w:val="yellow"/>
        </w:rPr>
        <w:t>rafforzamento della capacità:</w:t>
      </w:r>
    </w:p>
    <w:p w14:paraId="4E5AC961" w14:textId="77777777" w:rsidR="00054B2D" w:rsidRPr="003726BE" w:rsidRDefault="00054B2D" w:rsidP="009C30A3">
      <w:pPr>
        <w:pStyle w:val="Hlistbullet2"/>
        <w:rPr>
          <w:highlight w:val="yellow"/>
        </w:rPr>
      </w:pPr>
      <w:r w:rsidRPr="003726BE">
        <w:rPr>
          <w:highlight w:val="yellow"/>
        </w:rPr>
        <w:t>delle autorità degli Stati membri e dei beneficiari di amministrare e utilizzare il FEASR;</w:t>
      </w:r>
    </w:p>
    <w:p w14:paraId="0BEC6E99" w14:textId="77777777" w:rsidR="00054B2D" w:rsidRPr="003726BE" w:rsidRDefault="00054B2D" w:rsidP="009C30A3">
      <w:pPr>
        <w:pStyle w:val="Hlistbullet2"/>
        <w:rPr>
          <w:highlight w:val="yellow"/>
        </w:rPr>
      </w:pPr>
      <w:r w:rsidRPr="003726BE">
        <w:rPr>
          <w:highlight w:val="yellow"/>
        </w:rPr>
        <w:t xml:space="preserve">dei partner interessati in linea con </w:t>
      </w:r>
      <w:r w:rsidR="00074410">
        <w:rPr>
          <w:highlight w:val="yellow"/>
        </w:rPr>
        <w:t>i settori</w:t>
      </w:r>
      <w:r w:rsidRPr="003726BE">
        <w:rPr>
          <w:highlight w:val="yellow"/>
        </w:rPr>
        <w:t>, i temi e le buone prassi indicativi in merito a come le autorità competenti degli Stati membri possono utilizzare il FEASR per rafforzare la capacità istituzionale dei partner pertinenti in conformità con il quadro giuridico, nonché sostenere lo scambio di buone prassi tra detti partner</w:t>
      </w:r>
      <w:r w:rsidRPr="003726BE">
        <w:rPr>
          <w:rStyle w:val="FootnoteReference"/>
          <w:highlight w:val="yellow"/>
        </w:rPr>
        <w:footnoteReference w:id="37"/>
      </w:r>
      <w:r w:rsidRPr="003726BE">
        <w:rPr>
          <w:highlight w:val="yellow"/>
        </w:rPr>
        <w:t xml:space="preserve">. </w:t>
      </w:r>
    </w:p>
    <w:p w14:paraId="085BADB1" w14:textId="77777777" w:rsidR="00E02B35" w:rsidRPr="003726BE" w:rsidRDefault="00E02B35" w:rsidP="00673940">
      <w:pPr>
        <w:pStyle w:val="HStandard"/>
        <w:rPr>
          <w:rFonts w:cs="Arial"/>
          <w:highlight w:val="yellow"/>
        </w:rPr>
      </w:pPr>
      <w:r w:rsidRPr="003726BE">
        <w:rPr>
          <w:highlight w:val="yellow"/>
        </w:rPr>
        <w:t xml:space="preserve">Sebbene l'assistenza tecnica non sia necessariamente una parte "visibile" della logica di intervento del PSR, essa sostiene comunque l'attuazione del PSR e contribuisce alla realizzazione degli obiettivi del PSR. </w:t>
      </w:r>
    </w:p>
    <w:p w14:paraId="40230511" w14:textId="77777777" w:rsidR="00054B2D" w:rsidRPr="003726BE" w:rsidRDefault="00E02B35" w:rsidP="00673940">
      <w:pPr>
        <w:pStyle w:val="HStandard"/>
        <w:rPr>
          <w:rFonts w:cs="Arial"/>
          <w:highlight w:val="yellow"/>
        </w:rPr>
      </w:pPr>
      <w:r w:rsidRPr="003726BE">
        <w:rPr>
          <w:highlight w:val="yellow"/>
        </w:rPr>
        <w:t xml:space="preserve">Qualora in un dato momento (2017, 2019 ed </w:t>
      </w:r>
      <w:r w:rsidRPr="003726BE">
        <w:rPr>
          <w:i/>
          <w:highlight w:val="yellow"/>
        </w:rPr>
        <w:t>ex post</w:t>
      </w:r>
      <w:r w:rsidRPr="003726BE">
        <w:rPr>
          <w:highlight w:val="yellow"/>
        </w:rPr>
        <w:t xml:space="preserve">) siano previsti temi più specifici nella valutazione di azioni per l'assistenza tecnica, si raccomanda di definire una logica di intervento per questi temi e formulare obiettivi, prodotti, risultati e impatti attesi. Durante il riesame della logica di intervento, si consiglia di verificare nuovamente se gli obiettivi legati al tema di valutazione dell'assistenza tecnica e gli effetti attesi dalle attività e dai bilanci pianificati siano ancora validi. </w:t>
      </w:r>
    </w:p>
    <w:p w14:paraId="1A8625A2" w14:textId="77777777" w:rsidR="00054B2D" w:rsidRPr="003726BE" w:rsidRDefault="00054B2D" w:rsidP="00C147EB">
      <w:pPr>
        <w:pStyle w:val="HHeading5"/>
        <w:rPr>
          <w:rFonts w:cs="Arial"/>
          <w:highlight w:val="yellow"/>
        </w:rPr>
      </w:pPr>
      <w:r w:rsidRPr="003726BE">
        <w:rPr>
          <w:highlight w:val="yellow"/>
        </w:rPr>
        <w:t>Specificità della rete rurale nazionale (RRN)</w:t>
      </w:r>
    </w:p>
    <w:p w14:paraId="275E8421" w14:textId="77777777" w:rsidR="006336EF" w:rsidRPr="003726BE" w:rsidRDefault="00054B2D" w:rsidP="00673940">
      <w:pPr>
        <w:pStyle w:val="HStandard"/>
        <w:rPr>
          <w:rFonts w:cs="Arial"/>
          <w:highlight w:val="yellow"/>
        </w:rPr>
      </w:pPr>
      <w:r w:rsidRPr="003726BE">
        <w:rPr>
          <w:highlight w:val="yellow"/>
        </w:rPr>
        <w:t>La RRN è un</w:t>
      </w:r>
      <w:r w:rsidR="00074410">
        <w:rPr>
          <w:highlight w:val="yellow"/>
        </w:rPr>
        <w:t>’</w:t>
      </w:r>
      <w:r w:rsidRPr="003726BE">
        <w:rPr>
          <w:highlight w:val="yellow"/>
        </w:rPr>
        <w:t>importante azione di assistenza tecnica e la sua valutazione viene svolta nell'ambito della valutazione del PSR oppure come tema di valutazione autonomo/indipendente.</w:t>
      </w:r>
    </w:p>
    <w:p w14:paraId="6FFFBC61" w14:textId="77777777" w:rsidR="00054B2D" w:rsidRPr="003726BE" w:rsidRDefault="00521DE5" w:rsidP="00673940">
      <w:pPr>
        <w:pStyle w:val="HStandard"/>
        <w:rPr>
          <w:rFonts w:cs="Arial"/>
          <w:highlight w:val="yellow"/>
        </w:rPr>
      </w:pPr>
      <w:r w:rsidRPr="003726BE">
        <w:rPr>
          <w:highlight w:val="yellow"/>
        </w:rPr>
        <w:lastRenderedPageBreak/>
        <w:t>I gruppi, le organizzazioni e le amministrazioni della RRN sono impegnati nello sviluppo rurale con l'obiettivo di: a) aumentare il coinvolgimento delle parti interessate nell'attuazione dello sviluppo rurale; b) migliorare la qualità dell'attuazione di programmi di sviluppo rurale; c) informare il pubblico più ampio e i potenziali beneficiari sulla politica di sviluppo rurale e sulle opportunità di finanziamento; e d) stimolare l'innovazione nell'agricoltura, nella produzione alimentare, nella silvicoltura e nelle zone rurali</w:t>
      </w:r>
      <w:r w:rsidRPr="003726BE">
        <w:rPr>
          <w:rStyle w:val="FootnoteReference"/>
          <w:highlight w:val="yellow"/>
        </w:rPr>
        <w:footnoteReference w:id="38"/>
      </w:r>
      <w:r w:rsidRPr="003726BE">
        <w:rPr>
          <w:highlight w:val="yellow"/>
        </w:rPr>
        <w:t>. Così come altre azioni di assistenza tecnica, la RRN è una funzione di sostegno orizzontale che contribuisce a tutti gli obiettivi del PSR. Dal momento che la RRN ha un piano di azione e una struttura specifica (USR e rete), si raccomanda di articolare in maniera specifica la logica d'intervento della RRN. Inoltre, i programmi specifici della RRN, realizzati in alcuni Stati membri multiregionali, devono essere progettati a partire da un'adeguata logica di intervento della RRN</w:t>
      </w:r>
      <w:r w:rsidRPr="003726BE">
        <w:rPr>
          <w:rStyle w:val="FootnoteReference"/>
          <w:highlight w:val="yellow"/>
        </w:rPr>
        <w:footnoteReference w:id="39"/>
      </w:r>
      <w:r w:rsidRPr="003726BE">
        <w:rPr>
          <w:highlight w:val="yellow"/>
        </w:rPr>
        <w:t xml:space="preserve">. </w:t>
      </w:r>
    </w:p>
    <w:p w14:paraId="40EABFA3" w14:textId="77777777" w:rsidR="00054B2D" w:rsidRPr="003726BE" w:rsidRDefault="00054B2D" w:rsidP="00673940">
      <w:pPr>
        <w:pStyle w:val="HStandard"/>
        <w:rPr>
          <w:rFonts w:cs="Arial"/>
          <w:highlight w:val="yellow"/>
        </w:rPr>
      </w:pPr>
      <w:r w:rsidRPr="003726BE">
        <w:rPr>
          <w:highlight w:val="yellow"/>
        </w:rPr>
        <w:t>La pratica mostra che alcuni Stati membri hanno formulato una logica di intervento specifica per la loro RRN già durante la progettazione del programma. In questi casi, la logica di intervento dovrebbe essere rivista insieme alla logica di intervento del PSR. Lo stesso vale per i PRRN.</w:t>
      </w:r>
    </w:p>
    <w:p w14:paraId="08C6A75C" w14:textId="77777777" w:rsidR="00054B2D" w:rsidRPr="003726BE" w:rsidRDefault="00054B2D" w:rsidP="00673940">
      <w:pPr>
        <w:pStyle w:val="HStandard"/>
        <w:rPr>
          <w:rFonts w:cs="Arial"/>
          <w:highlight w:val="yellow"/>
        </w:rPr>
      </w:pPr>
      <w:r w:rsidRPr="003726BE">
        <w:rPr>
          <w:highlight w:val="yellow"/>
        </w:rPr>
        <w:t xml:space="preserve">In assenza di una propria logica di intervento della RRN, si raccomanda all'AG, o all'USR in cooperazione con l'AG, di formulare detta logica durante la fase di preparazione della valutazione. Ciò richiede la formulazione di obiettivi specifici, risultati e impatti attesi della RRN (valore aggiunto della RRN che va oltre gli obiettivi comuni e specifici del programma della RRN previsti). </w:t>
      </w:r>
    </w:p>
    <w:p w14:paraId="480F316A" w14:textId="77777777" w:rsidR="00054B2D" w:rsidRPr="003726BE" w:rsidRDefault="00123E95" w:rsidP="00C147EB">
      <w:pPr>
        <w:pStyle w:val="HHeading5"/>
        <w:rPr>
          <w:rFonts w:cs="Arial"/>
          <w:highlight w:val="yellow"/>
        </w:rPr>
      </w:pPr>
      <w:r w:rsidRPr="003726BE">
        <w:rPr>
          <w:highlight w:val="yellow"/>
        </w:rPr>
        <w:t>Per saperne di più</w:t>
      </w:r>
    </w:p>
    <w:p w14:paraId="09E783CE" w14:textId="77777777" w:rsidR="00123E95" w:rsidRPr="003726BE" w:rsidRDefault="00123E95" w:rsidP="00706AC9">
      <w:pPr>
        <w:pStyle w:val="HBox"/>
        <w:jc w:val="left"/>
        <w:rPr>
          <w:rFonts w:cs="Arial"/>
          <w:highlight w:val="yellow"/>
        </w:rPr>
      </w:pPr>
      <w:r w:rsidRPr="003726BE">
        <w:rPr>
          <w:i/>
          <w:highlight w:val="yellow"/>
        </w:rPr>
        <w:t>Getting the most of your RDP: guidelines for the ex ante evaluation of 2014-2020 RDPs</w:t>
      </w:r>
      <w:r w:rsidRPr="003726BE">
        <w:rPr>
          <w:highlight w:val="yellow"/>
        </w:rPr>
        <w:t xml:space="preserve"> [Come mettere a frutto i PSR: linee guida per la valutazione </w:t>
      </w:r>
      <w:r w:rsidRPr="003726BE">
        <w:rPr>
          <w:i/>
          <w:highlight w:val="yellow"/>
        </w:rPr>
        <w:t>ex ante</w:t>
      </w:r>
      <w:r w:rsidRPr="003726BE">
        <w:rPr>
          <w:highlight w:val="yellow"/>
        </w:rPr>
        <w:t xml:space="preserve"> dei PSR 2014-2020] (in inglese), PARTE II, capitolo 1 e 2, </w:t>
      </w:r>
      <w:hyperlink r:id="rId39" w:history="1">
        <w:r w:rsidR="00A242CA" w:rsidRPr="00A242CA">
          <w:rPr>
            <w:rStyle w:val="Hyperlink"/>
            <w:highlight w:val="yellow"/>
          </w:rPr>
          <w:t>http://enrd.ec.europa.eu/evaluation/publications/e-library_en</w:t>
        </w:r>
      </w:hyperlink>
      <w:r w:rsidRPr="003726BE">
        <w:rPr>
          <w:highlight w:val="yellow"/>
        </w:rPr>
        <w:t xml:space="preserve">. </w:t>
      </w:r>
    </w:p>
    <w:p w14:paraId="11B83694" w14:textId="77777777" w:rsidR="00123E95" w:rsidRPr="003726BE" w:rsidRDefault="00123E95" w:rsidP="00706AC9">
      <w:pPr>
        <w:pStyle w:val="HBox"/>
        <w:jc w:val="left"/>
        <w:rPr>
          <w:rFonts w:cs="Arial"/>
          <w:highlight w:val="yellow"/>
        </w:rPr>
      </w:pPr>
      <w:r w:rsidRPr="003726BE">
        <w:rPr>
          <w:i/>
          <w:highlight w:val="yellow"/>
        </w:rPr>
        <w:t>Capturing the success of your RDP: Guidelines for the ex post evaluation of 2007-2013 RDPs</w:t>
      </w:r>
      <w:r w:rsidRPr="003726BE">
        <w:rPr>
          <w:highlight w:val="yellow"/>
        </w:rPr>
        <w:t xml:space="preserve"> [Rilevamento del successo del proprio PSR: linee guida per la valutazione </w:t>
      </w:r>
      <w:r w:rsidRPr="003726BE">
        <w:rPr>
          <w:i/>
          <w:highlight w:val="yellow"/>
        </w:rPr>
        <w:t>ex post</w:t>
      </w:r>
      <w:r w:rsidRPr="003726BE">
        <w:rPr>
          <w:highlight w:val="yellow"/>
        </w:rPr>
        <w:t xml:space="preserve"> dei PSR per il periodo 2007-2013] (in inglese), PARTE II, capitolo 1, </w:t>
      </w:r>
      <w:hyperlink r:id="rId40">
        <w:r w:rsidRPr="003726BE">
          <w:rPr>
            <w:rStyle w:val="Hyperlink"/>
            <w:highlight w:val="yellow"/>
          </w:rPr>
          <w:t>http://enrd.ec.europa.eu/enrd-static/evaluation/library/evaluation-helpdesk-publications/en/evaluation-helpdesk-publications_en.html</w:t>
        </w:r>
      </w:hyperlink>
      <w:r w:rsidRPr="003726BE">
        <w:rPr>
          <w:highlight w:val="yellow"/>
        </w:rPr>
        <w:t xml:space="preserve">. </w:t>
      </w:r>
    </w:p>
    <w:p w14:paraId="63127CD8" w14:textId="77777777" w:rsidR="00123E95" w:rsidRPr="003726BE" w:rsidRDefault="00123E95" w:rsidP="00706AC9">
      <w:pPr>
        <w:pStyle w:val="HBox"/>
        <w:jc w:val="left"/>
        <w:rPr>
          <w:rFonts w:cs="Arial"/>
          <w:highlight w:val="yellow"/>
        </w:rPr>
      </w:pPr>
      <w:r w:rsidRPr="00CB34A3">
        <w:rPr>
          <w:highlight w:val="yellow"/>
          <w:lang w:val="en-GB"/>
        </w:rPr>
        <w:t xml:space="preserve">Metis/WIFO/AEIDL (2014). </w:t>
      </w:r>
      <w:r w:rsidRPr="00CB34A3">
        <w:rPr>
          <w:i/>
          <w:highlight w:val="yellow"/>
          <w:lang w:val="en-GB"/>
        </w:rPr>
        <w:t xml:space="preserve">Investment Support under the Rural Development Policy. </w:t>
      </w:r>
      <w:r w:rsidRPr="003726BE">
        <w:rPr>
          <w:i/>
          <w:highlight w:val="yellow"/>
        </w:rPr>
        <w:t>Final Report</w:t>
      </w:r>
      <w:r w:rsidRPr="003726BE">
        <w:rPr>
          <w:highlight w:val="yellow"/>
        </w:rPr>
        <w:t>. [Sostegno all'investimento ai sensi della politica di sviluppo rurale. Relazione finale] (in inglese), Commissione europea, Bruxelles.</w:t>
      </w:r>
    </w:p>
    <w:p w14:paraId="574C4355" w14:textId="77777777" w:rsidR="00AD2386" w:rsidRPr="003726BE" w:rsidRDefault="00F3350F" w:rsidP="00706AC9">
      <w:pPr>
        <w:pStyle w:val="HBox"/>
        <w:jc w:val="left"/>
        <w:rPr>
          <w:rFonts w:cs="Arial"/>
          <w:highlight w:val="yellow"/>
        </w:rPr>
      </w:pPr>
      <w:r w:rsidRPr="003726BE">
        <w:rPr>
          <w:highlight w:val="yellow"/>
        </w:rPr>
        <w:t xml:space="preserve">Psaltopoulos, D., Phimister, E., Ratinger, T., Roberts, D., Skuras, D., Balamou, E., Bednarikova, Z., Espinosa, M., Gomez y Paloma, S., Mary, S., Nohel, F. e Santini, F. (2012). </w:t>
      </w:r>
      <w:r w:rsidRPr="003726BE">
        <w:rPr>
          <w:i/>
          <w:highlight w:val="yellow"/>
        </w:rPr>
        <w:t>Ex ante Spatial Policy Impact Analysis of the Rural Development Policy in European Rural Areas</w:t>
      </w:r>
      <w:r w:rsidRPr="003726BE">
        <w:rPr>
          <w:highlight w:val="yellow"/>
        </w:rPr>
        <w:t xml:space="preserve"> [Analisi </w:t>
      </w:r>
      <w:r w:rsidRPr="003726BE">
        <w:rPr>
          <w:i/>
          <w:highlight w:val="yellow"/>
        </w:rPr>
        <w:t>ex ante</w:t>
      </w:r>
      <w:r w:rsidRPr="003726BE">
        <w:rPr>
          <w:highlight w:val="yellow"/>
        </w:rPr>
        <w:t xml:space="preserve"> degli impatti della politica territoriale della politiche di sviluppo rurale nelle zone rurali europee] (in inglese). </w:t>
      </w:r>
    </w:p>
    <w:p w14:paraId="23BFFE0E" w14:textId="77777777" w:rsidR="00123E95" w:rsidRPr="003726BE" w:rsidRDefault="00123E95" w:rsidP="00706AC9">
      <w:pPr>
        <w:pStyle w:val="HBox"/>
        <w:jc w:val="left"/>
        <w:rPr>
          <w:rFonts w:cs="Arial"/>
          <w:highlight w:val="yellow"/>
        </w:rPr>
      </w:pPr>
      <w:r w:rsidRPr="003726BE">
        <w:rPr>
          <w:highlight w:val="yellow"/>
        </w:rPr>
        <w:t>(RURAL ECMOD), relazioni scientifiche e tecniche del CCR, Ufficio delle pubblicazioni dell'Unione europea, Lussemburgo.</w:t>
      </w:r>
    </w:p>
    <w:p w14:paraId="17822153" w14:textId="77777777" w:rsidR="00054B2D" w:rsidRPr="003726BE" w:rsidRDefault="00054B2D" w:rsidP="00123E95">
      <w:pPr>
        <w:pStyle w:val="HHeading2"/>
        <w:rPr>
          <w:rFonts w:cs="Arial"/>
          <w:highlight w:val="yellow"/>
        </w:rPr>
      </w:pPr>
      <w:bookmarkStart w:id="56" w:name="_Toc428969471"/>
      <w:bookmarkStart w:id="57" w:name="_Toc460936110"/>
      <w:bookmarkStart w:id="58" w:name="_Toc474132150"/>
      <w:r w:rsidRPr="003726BE">
        <w:rPr>
          <w:highlight w:val="yellow"/>
        </w:rPr>
        <w:t>Collegare la logica di intervento agli elementi di valutazione</w:t>
      </w:r>
      <w:bookmarkEnd w:id="56"/>
      <w:bookmarkEnd w:id="57"/>
      <w:bookmarkEnd w:id="58"/>
      <w:r w:rsidRPr="003726BE">
        <w:rPr>
          <w:highlight w:val="yellow"/>
        </w:rPr>
        <w:t xml:space="preserve"> </w:t>
      </w:r>
    </w:p>
    <w:p w14:paraId="76453681" w14:textId="77777777" w:rsidR="00054B2D" w:rsidRPr="003726BE" w:rsidRDefault="00054B2D" w:rsidP="00123E95">
      <w:pPr>
        <w:pStyle w:val="HHeading3"/>
        <w:rPr>
          <w:rFonts w:cs="Arial"/>
          <w:highlight w:val="yellow"/>
        </w:rPr>
      </w:pPr>
      <w:bookmarkStart w:id="59" w:name="_Toc460936111"/>
      <w:bookmarkStart w:id="60" w:name="_Toc474132151"/>
      <w:r w:rsidRPr="003726BE">
        <w:rPr>
          <w:highlight w:val="yellow"/>
        </w:rPr>
        <w:t>Definire gli elementi di valutazione: domande di valutazione, criteri di giudizio, indicatori</w:t>
      </w:r>
      <w:bookmarkEnd w:id="59"/>
      <w:bookmarkEnd w:id="60"/>
    </w:p>
    <w:tbl>
      <w:tblPr>
        <w:tblStyle w:val="TableGrid"/>
        <w:tblW w:w="9071" w:type="dxa"/>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9071"/>
      </w:tblGrid>
      <w:tr w:rsidR="00673940" w:rsidRPr="003726BE" w14:paraId="00A1D083" w14:textId="77777777" w:rsidTr="004E4415">
        <w:trPr>
          <w:jc w:val="center"/>
        </w:trPr>
        <w:tc>
          <w:tcPr>
            <w:tcW w:w="9071" w:type="dxa"/>
            <w:shd w:val="clear" w:color="auto" w:fill="F6B183" w:themeFill="background2" w:themeFillTint="99"/>
          </w:tcPr>
          <w:p w14:paraId="5848EC65" w14:textId="77777777" w:rsidR="00FB6354" w:rsidRPr="003726BE" w:rsidRDefault="00FB6354" w:rsidP="00521DE5">
            <w:pPr>
              <w:pStyle w:val="HStandard"/>
              <w:rPr>
                <w:rFonts w:cs="Arial"/>
                <w:highlight w:val="yellow"/>
              </w:rPr>
            </w:pPr>
            <w:r w:rsidRPr="003726BE">
              <w:rPr>
                <w:highlight w:val="yellow"/>
              </w:rPr>
              <w:t xml:space="preserve">Al fine di fornire risposte affidabili alle domande di valutazione, è importante garantire che tutti gli elementi di valutazione comuni, aggiuntivi e specifici del programma (domande di valutazione, criteri di giudizio e indicatori) siano completi, chiari e ben definiti. Inoltre, tutti i termini utilizzati in </w:t>
            </w:r>
            <w:r w:rsidRPr="003726BE">
              <w:rPr>
                <w:highlight w:val="yellow"/>
              </w:rPr>
              <w:lastRenderedPageBreak/>
              <w:t>questi elementi di valutazione dovrebbero essere chiari e comprensibili per le parti interessate coinvolte.</w:t>
            </w:r>
          </w:p>
        </w:tc>
      </w:tr>
      <w:tr w:rsidR="00FB6354" w:rsidRPr="003726BE" w14:paraId="12F0963F" w14:textId="77777777" w:rsidTr="004E4415">
        <w:trPr>
          <w:jc w:val="center"/>
        </w:trPr>
        <w:tc>
          <w:tcPr>
            <w:tcW w:w="9071" w:type="dxa"/>
            <w:shd w:val="clear" w:color="auto" w:fill="FCE5D5" w:themeFill="background2" w:themeFillTint="33"/>
          </w:tcPr>
          <w:p w14:paraId="5AC8E1B1" w14:textId="77777777" w:rsidR="00FB6354" w:rsidRPr="003726BE" w:rsidRDefault="00FB6354" w:rsidP="00C147EB">
            <w:pPr>
              <w:pStyle w:val="HHeading5"/>
              <w:rPr>
                <w:rFonts w:cs="Arial"/>
                <w:highlight w:val="yellow"/>
              </w:rPr>
            </w:pPr>
            <w:r w:rsidRPr="003726BE">
              <w:rPr>
                <w:highlight w:val="yellow"/>
              </w:rPr>
              <w:lastRenderedPageBreak/>
              <w:t>Fasi di lavoro raccomandate</w:t>
            </w:r>
          </w:p>
          <w:p w14:paraId="678734AB" w14:textId="77777777" w:rsidR="00FB6354" w:rsidRPr="003726BE" w:rsidRDefault="00FB6354" w:rsidP="00673940">
            <w:pPr>
              <w:pStyle w:val="Hlistbullet"/>
              <w:rPr>
                <w:rFonts w:cs="Arial"/>
                <w:highlight w:val="yellow"/>
              </w:rPr>
            </w:pPr>
            <w:r w:rsidRPr="003726BE">
              <w:rPr>
                <w:b/>
                <w:highlight w:val="yellow"/>
              </w:rPr>
              <w:t>Esaminare se tutti i termini utilizzati nella formulazione dei QVC, nei loro criteri di giudizio e negli indicatori comuni sono chiari e comprensibili:</w:t>
            </w:r>
            <w:r w:rsidRPr="003726BE">
              <w:rPr>
                <w:highlight w:val="yellow"/>
              </w:rPr>
              <w:t xml:space="preserve"> Valutare la chiarezza di tutti i termini proposti nel documento di lavoro CE: "</w:t>
            </w:r>
            <w:r w:rsidRPr="003726BE">
              <w:rPr>
                <w:i/>
                <w:highlight w:val="yellow"/>
              </w:rPr>
              <w:t>Common evaluation questions for rural development programmes 2014-2020</w:t>
            </w:r>
            <w:r w:rsidRPr="003726BE">
              <w:rPr>
                <w:highlight w:val="yellow"/>
              </w:rPr>
              <w:t xml:space="preserve">" [Questionario valutativo comune per programmi di sviluppo rurale 2014-2020] (in inglese) e verificare se sono ancora necessari criteri di giudizio e definizioni aggiuntivi. Sviluppare indicatori aggiuntivi se gli indicatori comuni non sono sufficienti per rispondere al questionario valutativo comune. Controllare se tutti i termini utilizzati negli indicatori comuni sono chiari e sufficientemente definiti. </w:t>
            </w:r>
          </w:p>
          <w:p w14:paraId="48FC629B" w14:textId="77777777" w:rsidR="00FB6354" w:rsidRPr="003726BE" w:rsidRDefault="00FB6354" w:rsidP="00673940">
            <w:pPr>
              <w:pStyle w:val="Hlistbullet"/>
              <w:rPr>
                <w:rFonts w:cs="Arial"/>
                <w:highlight w:val="yellow"/>
              </w:rPr>
            </w:pPr>
            <w:r w:rsidRPr="003726BE">
              <w:rPr>
                <w:b/>
                <w:highlight w:val="yellow"/>
              </w:rPr>
              <w:t>Esaminare se tutti i termini utilizzati nella formulazione delle domande di valutazione specifiche del programma, nei loro criteri di giudizio e negli indicatori specifici per programma sono chiari e comprensibili</w:t>
            </w:r>
            <w:r w:rsidRPr="003726BE">
              <w:rPr>
                <w:highlight w:val="yellow"/>
              </w:rPr>
              <w:t>: Questa fase viene eseguita se il PSR contiene domande di valutazione specifiche del programma e indicatori specifici per programma. Per le domande di valutazione specifiche del programma è importante verificare se sono dotate di criteri di giudizio e se sono in linea con i risultati e gli impatti attesi del PSR. Si dovrebbe esaminare la chiarezza di tutti i termini utilizzati nelle domande di valutazione specifiche del programma e nei criteri di giudizio, e si dovrebbero fornire le corrispondenti definizioni, se necessario. Si dovrebbero sviluppare i criteri di giudizio per le domande di valutazione specifiche del programma, qualora non esistano già.</w:t>
            </w:r>
          </w:p>
          <w:p w14:paraId="155FB006" w14:textId="77777777" w:rsidR="00FB6354" w:rsidRPr="003726BE" w:rsidRDefault="00074410" w:rsidP="00074410">
            <w:pPr>
              <w:pStyle w:val="Hlistbullet"/>
              <w:rPr>
                <w:highlight w:val="yellow"/>
              </w:rPr>
            </w:pPr>
            <w:r>
              <w:rPr>
                <w:b/>
                <w:highlight w:val="yellow"/>
              </w:rPr>
              <w:t xml:space="preserve">Elaborare </w:t>
            </w:r>
            <w:r w:rsidR="00FB6354" w:rsidRPr="003726BE">
              <w:rPr>
                <w:b/>
                <w:highlight w:val="yellow"/>
              </w:rPr>
              <w:t>schede per tutti gli indicatori specifici per programma e aggiuntivi:</w:t>
            </w:r>
            <w:r w:rsidR="00FB6354" w:rsidRPr="003726BE">
              <w:rPr>
                <w:highlight w:val="yellow"/>
              </w:rPr>
              <w:t xml:space="preserve"> Se esistono già delle schede, verificare la chiarezza di tutti i termini, ad esempio, rispetto a unità di misura/formula, idoneità dei metodi di calcolo e accessibilità ai dati nel formato richiesto. Qualora questo non fosse il caso, </w:t>
            </w:r>
            <w:r>
              <w:rPr>
                <w:highlight w:val="yellow"/>
              </w:rPr>
              <w:t>elabora</w:t>
            </w:r>
            <w:r w:rsidR="00FB6354" w:rsidRPr="003726BE">
              <w:rPr>
                <w:highlight w:val="yellow"/>
              </w:rPr>
              <w:t>re schede per tutti gli indicatori specifici per programma.</w:t>
            </w:r>
          </w:p>
        </w:tc>
      </w:tr>
      <w:tr w:rsidR="00FB6354" w:rsidRPr="003726BE" w14:paraId="24DF276A" w14:textId="77777777" w:rsidTr="004E4415">
        <w:trPr>
          <w:jc w:val="center"/>
        </w:trPr>
        <w:tc>
          <w:tcPr>
            <w:tcW w:w="9071" w:type="dxa"/>
          </w:tcPr>
          <w:p w14:paraId="32C0ADFA" w14:textId="77777777" w:rsidR="00FB6354" w:rsidRPr="003726BE" w:rsidRDefault="00FB6354" w:rsidP="00DC3CDA">
            <w:pPr>
              <w:pStyle w:val="HStandard"/>
              <w:rPr>
                <w:rFonts w:cs="Arial"/>
                <w:highlight w:val="yellow"/>
              </w:rPr>
            </w:pPr>
            <w:r w:rsidRPr="003726BE">
              <w:rPr>
                <w:b/>
                <w:highlight w:val="yellow"/>
              </w:rPr>
              <w:t>Prodotto atteso:</w:t>
            </w:r>
            <w:r w:rsidRPr="003726BE">
              <w:rPr>
                <w:highlight w:val="yellow"/>
              </w:rPr>
              <w:t xml:space="preserve"> logica di intervento, schede degli indicatori, indicatori specifici per programma e domande di valutazione specifiche del programma rivisti; indicatori aggiuntivi (se necessario).</w:t>
            </w:r>
          </w:p>
        </w:tc>
      </w:tr>
    </w:tbl>
    <w:p w14:paraId="1FF7CDF3" w14:textId="77777777" w:rsidR="00054B2D" w:rsidRPr="003726BE" w:rsidRDefault="00054B2D" w:rsidP="00C147EB">
      <w:pPr>
        <w:pStyle w:val="HHeading5"/>
        <w:rPr>
          <w:rFonts w:cs="Arial"/>
          <w:highlight w:val="yellow"/>
        </w:rPr>
      </w:pPr>
      <w:r w:rsidRPr="003726BE">
        <w:rPr>
          <w:highlight w:val="yellow"/>
        </w:rPr>
        <w:t>Sviluppo di criteri di giudizio per le domande di valutazione</w:t>
      </w:r>
    </w:p>
    <w:p w14:paraId="00A49ED9" w14:textId="77777777" w:rsidR="003E6F5F" w:rsidRPr="003726BE" w:rsidRDefault="00054B2D" w:rsidP="00C241E9">
      <w:pPr>
        <w:pStyle w:val="HStandard"/>
        <w:rPr>
          <w:highlight w:val="yellow"/>
        </w:rPr>
      </w:pPr>
      <w:r w:rsidRPr="003726BE">
        <w:rPr>
          <w:highlight w:val="yellow"/>
        </w:rPr>
        <w:t xml:space="preserve">I criteri di giudizio definiscono ulteriormente la domanda di valutazione e contribuiscono a specificare il successo atteso degli interventi in materia di politica di sviluppo rurale a livello di aspetti specifici, obiettivi UE e altri aspetti peculiari del PSR. I criteri di giudizio dovrebbero essere formulati in modo chiaro e tutti i termini utilizzati dovrebbero essere ben definiti. </w:t>
      </w:r>
    </w:p>
    <w:p w14:paraId="466EADD1" w14:textId="77777777" w:rsidR="003E6F5F" w:rsidRPr="003726BE" w:rsidRDefault="003E6F5F" w:rsidP="0010223F">
      <w:pPr>
        <w:pStyle w:val="HHeadingfigures"/>
        <w:rPr>
          <w:highlight w:val="yellow"/>
        </w:rPr>
      </w:pPr>
      <w:bookmarkStart w:id="61" w:name="_Toc460936154"/>
      <w:bookmarkStart w:id="62" w:name="_Toc474132644"/>
      <w:r w:rsidRPr="003726BE">
        <w:rPr>
          <w:highlight w:val="yellow"/>
        </w:rPr>
        <w:t>Relazione tra gli elementi di valutazione</w:t>
      </w:r>
      <w:bookmarkEnd w:id="61"/>
      <w:bookmarkEnd w:id="62"/>
    </w:p>
    <w:p w14:paraId="1F0F139B" w14:textId="77777777" w:rsidR="003E6F5F" w:rsidRPr="003726BE" w:rsidRDefault="003726BE" w:rsidP="003E6F5F">
      <w:pPr>
        <w:rPr>
          <w:rFonts w:cs="Arial"/>
          <w:highlight w:val="yellow"/>
        </w:rPr>
      </w:pPr>
      <w:r>
        <w:rPr>
          <w:noProof/>
          <w:lang w:val="en-GB" w:eastAsia="en-GB" w:bidi="ar-SA"/>
        </w:rPr>
        <w:drawing>
          <wp:inline distT="0" distB="0" distL="0" distR="0" wp14:anchorId="6A2407C0" wp14:editId="034A4D0F">
            <wp:extent cx="5759450" cy="1479601"/>
            <wp:effectExtent l="0" t="0" r="0" b="635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6.emf"/>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759450" cy="1479601"/>
                    </a:xfrm>
                    <a:prstGeom prst="rect">
                      <a:avLst/>
                    </a:prstGeom>
                  </pic:spPr>
                </pic:pic>
              </a:graphicData>
            </a:graphic>
          </wp:inline>
        </w:drawing>
      </w:r>
    </w:p>
    <w:p w14:paraId="206FD6BC" w14:textId="77777777" w:rsidR="003E6F5F" w:rsidRPr="003726BE" w:rsidRDefault="003E6F5F" w:rsidP="000172A2">
      <w:pPr>
        <w:pStyle w:val="HSource"/>
        <w:rPr>
          <w:highlight w:val="yellow"/>
        </w:rPr>
      </w:pPr>
      <w:r w:rsidRPr="003726BE">
        <w:rPr>
          <w:highlight w:val="yellow"/>
        </w:rPr>
        <w:t xml:space="preserve">Fonte: Rete europea per la valutazione dello sviluppo rurale 2007- 2013. </w:t>
      </w:r>
    </w:p>
    <w:p w14:paraId="7D8DB153" w14:textId="77777777" w:rsidR="00054B2D" w:rsidRPr="003726BE" w:rsidRDefault="00054B2D" w:rsidP="00673940">
      <w:pPr>
        <w:pStyle w:val="HStandard"/>
        <w:rPr>
          <w:rFonts w:cs="Arial"/>
          <w:highlight w:val="yellow"/>
        </w:rPr>
      </w:pPr>
      <w:r w:rsidRPr="003726BE">
        <w:rPr>
          <w:highlight w:val="yellow"/>
        </w:rPr>
        <w:lastRenderedPageBreak/>
        <w:t>I criteri di giudizio del QVC sono stati proposti nel documento di lavoro</w:t>
      </w:r>
      <w:r w:rsidRPr="003726BE">
        <w:rPr>
          <w:i/>
          <w:highlight w:val="yellow"/>
        </w:rPr>
        <w:t>: Common Evaluation Questions for rural development programmes 2014-2020</w:t>
      </w:r>
      <w:r w:rsidRPr="003726BE">
        <w:rPr>
          <w:rStyle w:val="FootnoteReference"/>
          <w:highlight w:val="yellow"/>
        </w:rPr>
        <w:footnoteReference w:id="40"/>
      </w:r>
      <w:r w:rsidRPr="003726BE">
        <w:rPr>
          <w:highlight w:val="yellow"/>
        </w:rPr>
        <w:t xml:space="preserve"> [Questionario valutativo comune per programmi di sviluppo rurale 2014-2020] (in inglese). Gli Stati membri possono decidere di specificare ulteriormente il successo degli interventi del PSR con criteri di giudizio aggiuntivi per il QVC. I termini utilizzati nel QVC sono solitamente definiti nel glossario della DG AGRI</w:t>
      </w:r>
      <w:r w:rsidRPr="003726BE">
        <w:rPr>
          <w:rStyle w:val="FootnoteReference"/>
          <w:highlight w:val="yellow"/>
        </w:rPr>
        <w:footnoteReference w:id="41"/>
      </w:r>
      <w:r w:rsidRPr="003726BE">
        <w:rPr>
          <w:highlight w:val="yellow"/>
        </w:rPr>
        <w:t xml:space="preserve">. Se questi termini non sono definiti nel Glossario della DG AGRI, a tale fine si possono utilizzare altri glossari ufficiali (a livello UE, nazionale o regionale). </w:t>
      </w:r>
    </w:p>
    <w:p w14:paraId="3FD8C4D9" w14:textId="77777777" w:rsidR="00054B2D" w:rsidRPr="003726BE" w:rsidRDefault="00054B2D" w:rsidP="00673940">
      <w:pPr>
        <w:pStyle w:val="HStandard"/>
        <w:rPr>
          <w:rFonts w:cs="Arial"/>
          <w:highlight w:val="yellow"/>
        </w:rPr>
      </w:pPr>
      <w:r w:rsidRPr="003726BE">
        <w:rPr>
          <w:highlight w:val="yellow"/>
        </w:rPr>
        <w:t>Le domande di valutazione specifiche del programma sono formulate dalle autorità di gestione (nel piano di valutazione durante la progettazione del programma o in una fase successiva) oppure da valutatori (durante la valutazione del PSR). Analogamente a quanto detto per il QVC, tutti i termini utilizzati nelle domande di valutazione specifiche del programma devono</w:t>
      </w:r>
      <w:r w:rsidR="00A844E1">
        <w:rPr>
          <w:highlight w:val="yellow"/>
        </w:rPr>
        <w:t xml:space="preserve"> essere chiari e ben definiti. </w:t>
      </w:r>
      <w:r w:rsidRPr="003726BE">
        <w:rPr>
          <w:highlight w:val="yellow"/>
        </w:rPr>
        <w:t>Per quanto riguarda i QVC, si raccomanda di definire i criteri di giudizio, come aggiunta, per le domande di valutazione specifiche del programma.</w:t>
      </w:r>
    </w:p>
    <w:p w14:paraId="7A0490DF" w14:textId="77777777" w:rsidR="00054B2D" w:rsidRPr="003726BE" w:rsidRDefault="00054B2D" w:rsidP="00123E95">
      <w:pPr>
        <w:pStyle w:val="HHeadingtables"/>
        <w:rPr>
          <w:rFonts w:cs="Arial"/>
          <w:highlight w:val="yellow"/>
        </w:rPr>
      </w:pPr>
      <w:bookmarkStart w:id="63" w:name="_Toc460936137"/>
      <w:bookmarkStart w:id="64" w:name="_Toc474132625"/>
      <w:r w:rsidRPr="003726BE">
        <w:rPr>
          <w:highlight w:val="yellow"/>
        </w:rPr>
        <w:t>Esempio di criteri di giudizio per domande relative alla valutazione degli aspetti specifici e domande di valutazione specifiche del programma</w:t>
      </w:r>
      <w:bookmarkEnd w:id="63"/>
      <w:bookmarkEnd w:id="64"/>
      <w:r w:rsidR="00A844E1">
        <w:rPr>
          <w:highlight w:val="yellow"/>
        </w:rPr>
        <w:t xml:space="preserve"> </w:t>
      </w:r>
    </w:p>
    <w:tbl>
      <w:tblPr>
        <w:tblStyle w:val="TableGrid"/>
        <w:tblW w:w="7797" w:type="dxa"/>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1985"/>
        <w:gridCol w:w="5812"/>
      </w:tblGrid>
      <w:tr w:rsidR="00054B2D" w:rsidRPr="003726BE" w14:paraId="6F7CB3D5" w14:textId="77777777" w:rsidTr="004E4415">
        <w:trPr>
          <w:tblHeader/>
          <w:jc w:val="center"/>
        </w:trPr>
        <w:tc>
          <w:tcPr>
            <w:tcW w:w="1985" w:type="dxa"/>
            <w:shd w:val="clear" w:color="auto" w:fill="F07E31" w:themeFill="background2"/>
          </w:tcPr>
          <w:p w14:paraId="1C36A543" w14:textId="77777777" w:rsidR="00054B2D" w:rsidRPr="003726BE" w:rsidRDefault="00DC3CDA" w:rsidP="00123E95">
            <w:pPr>
              <w:pStyle w:val="Htableleftbolt"/>
              <w:rPr>
                <w:rFonts w:cs="Arial"/>
                <w:color w:val="FFFFFF" w:themeColor="accent1"/>
                <w:highlight w:val="yellow"/>
              </w:rPr>
            </w:pPr>
            <w:r w:rsidRPr="003726BE">
              <w:rPr>
                <w:color w:val="FFFFFF" w:themeColor="accent1"/>
                <w:highlight w:val="yellow"/>
              </w:rPr>
              <w:t>QVC</w:t>
            </w:r>
          </w:p>
        </w:tc>
        <w:tc>
          <w:tcPr>
            <w:tcW w:w="5812" w:type="dxa"/>
            <w:shd w:val="clear" w:color="auto" w:fill="F07E31" w:themeFill="background2"/>
          </w:tcPr>
          <w:p w14:paraId="776EC4B1" w14:textId="77777777" w:rsidR="00054B2D" w:rsidRPr="003726BE" w:rsidRDefault="004C2F08" w:rsidP="004C2F08">
            <w:pPr>
              <w:pStyle w:val="Htableleftbolt"/>
              <w:rPr>
                <w:rFonts w:cs="Arial"/>
                <w:color w:val="FFFFFF" w:themeColor="accent1"/>
                <w:highlight w:val="yellow"/>
              </w:rPr>
            </w:pPr>
            <w:r w:rsidRPr="003726BE">
              <w:rPr>
                <w:color w:val="FFFFFF" w:themeColor="accent1"/>
                <w:highlight w:val="yellow"/>
              </w:rPr>
              <w:t>Criteri di giudizio</w:t>
            </w:r>
          </w:p>
        </w:tc>
      </w:tr>
      <w:tr w:rsidR="00054B2D" w:rsidRPr="003726BE" w14:paraId="7712CC98" w14:textId="77777777" w:rsidTr="004E4415">
        <w:trPr>
          <w:jc w:val="center"/>
        </w:trPr>
        <w:tc>
          <w:tcPr>
            <w:tcW w:w="1985" w:type="dxa"/>
            <w:shd w:val="clear" w:color="auto" w:fill="auto"/>
          </w:tcPr>
          <w:p w14:paraId="1E0BE433" w14:textId="77777777" w:rsidR="00054B2D" w:rsidRPr="003726BE" w:rsidRDefault="00054B2D" w:rsidP="00123E95">
            <w:pPr>
              <w:pStyle w:val="Htableleft"/>
              <w:rPr>
                <w:rFonts w:cs="Arial"/>
                <w:highlight w:val="yellow"/>
              </w:rPr>
            </w:pPr>
            <w:r w:rsidRPr="003726BE">
              <w:rPr>
                <w:highlight w:val="yellow"/>
              </w:rPr>
              <w:t>In che misura gli interventi del PSR hanno fornito un sostegno all'innovazione, alla cooperazione e allo sviluppo della base di conoscenze nelle zone rurali?</w:t>
            </w:r>
            <w:r w:rsidRPr="003726BE">
              <w:rPr>
                <w:rStyle w:val="FootnoteReference"/>
                <w:i w:val="0"/>
                <w:color w:val="373737" w:themeColor="background1" w:themeShade="40"/>
                <w:position w:val="0"/>
                <w:sz w:val="18"/>
                <w:highlight w:val="yellow"/>
                <w:vertAlign w:val="superscript"/>
              </w:rPr>
              <w:footnoteReference w:id="42"/>
            </w:r>
            <w:r w:rsidRPr="003726BE">
              <w:rPr>
                <w:highlight w:val="yellow"/>
              </w:rPr>
              <w:t xml:space="preserve"> </w:t>
            </w:r>
          </w:p>
          <w:p w14:paraId="493E28B5" w14:textId="77777777" w:rsidR="00054B2D" w:rsidRPr="003726BE" w:rsidRDefault="00054B2D" w:rsidP="00123E95">
            <w:pPr>
              <w:pStyle w:val="Htableleft"/>
              <w:rPr>
                <w:rFonts w:cs="Arial"/>
                <w:color w:val="161616" w:themeColor="background1" w:themeShade="1A"/>
                <w:highlight w:val="yellow"/>
              </w:rPr>
            </w:pPr>
          </w:p>
        </w:tc>
        <w:tc>
          <w:tcPr>
            <w:tcW w:w="5812" w:type="dxa"/>
            <w:shd w:val="clear" w:color="auto" w:fill="auto"/>
          </w:tcPr>
          <w:p w14:paraId="70AC79B9" w14:textId="77777777" w:rsidR="00054B2D" w:rsidRPr="003726BE" w:rsidRDefault="00054B2D" w:rsidP="00123E95">
            <w:pPr>
              <w:pStyle w:val="Htableleft"/>
              <w:rPr>
                <w:rFonts w:cs="Arial"/>
                <w:highlight w:val="yellow"/>
              </w:rPr>
            </w:pPr>
            <w:r w:rsidRPr="003726BE">
              <w:rPr>
                <w:highlight w:val="yellow"/>
              </w:rPr>
              <w:t>Criteri di giudizio proposti comunemente</w:t>
            </w:r>
            <w:r w:rsidRPr="003726BE">
              <w:rPr>
                <w:rStyle w:val="FootnoteReference"/>
                <w:i w:val="0"/>
                <w:color w:val="373737" w:themeColor="background1" w:themeShade="40"/>
                <w:position w:val="0"/>
                <w:sz w:val="18"/>
                <w:highlight w:val="yellow"/>
                <w:vertAlign w:val="superscript"/>
              </w:rPr>
              <w:footnoteReference w:id="43"/>
            </w:r>
            <w:r w:rsidRPr="003726BE">
              <w:rPr>
                <w:highlight w:val="yellow"/>
              </w:rPr>
              <w:t>:</w:t>
            </w:r>
          </w:p>
          <w:p w14:paraId="23C6A379" w14:textId="77777777" w:rsidR="00054B2D" w:rsidRPr="003726BE" w:rsidRDefault="00054B2D" w:rsidP="00706AC9">
            <w:pPr>
              <w:pStyle w:val="Htableleft"/>
              <w:numPr>
                <w:ilvl w:val="0"/>
                <w:numId w:val="12"/>
              </w:numPr>
              <w:ind w:left="462" w:hanging="462"/>
              <w:rPr>
                <w:rFonts w:cs="Arial"/>
                <w:highlight w:val="yellow"/>
              </w:rPr>
            </w:pPr>
            <w:r w:rsidRPr="003726BE">
              <w:rPr>
                <w:highlight w:val="yellow"/>
              </w:rPr>
              <w:t xml:space="preserve">i progetti del PSR sono stati innovativi e basati sulla conoscenza sviluppata; </w:t>
            </w:r>
          </w:p>
          <w:p w14:paraId="167A16C7" w14:textId="77777777" w:rsidR="00054B2D" w:rsidRPr="003726BE" w:rsidRDefault="00054B2D" w:rsidP="00706AC9">
            <w:pPr>
              <w:pStyle w:val="Htableleft"/>
              <w:numPr>
                <w:ilvl w:val="0"/>
                <w:numId w:val="12"/>
              </w:numPr>
              <w:ind w:left="462" w:hanging="462"/>
              <w:rPr>
                <w:rFonts w:cs="Arial"/>
                <w:highlight w:val="yellow"/>
              </w:rPr>
            </w:pPr>
            <w:r w:rsidRPr="003726BE">
              <w:rPr>
                <w:highlight w:val="yellow"/>
              </w:rPr>
              <w:t xml:space="preserve">sono stati creati gruppi operativi; </w:t>
            </w:r>
          </w:p>
          <w:p w14:paraId="64C87E26" w14:textId="77777777" w:rsidR="00054B2D" w:rsidRPr="003726BE" w:rsidRDefault="0078353A" w:rsidP="00706AC9">
            <w:pPr>
              <w:pStyle w:val="Htableleft"/>
              <w:numPr>
                <w:ilvl w:val="0"/>
                <w:numId w:val="12"/>
              </w:numPr>
              <w:ind w:left="462" w:hanging="462"/>
              <w:rPr>
                <w:rFonts w:cs="Arial"/>
                <w:highlight w:val="yellow"/>
              </w:rPr>
            </w:pPr>
            <w:r w:rsidRPr="003726BE">
              <w:rPr>
                <w:highlight w:val="yellow"/>
              </w:rPr>
              <w:t>la varietà dei partner coinvolti nei gruppi operativi del PEI;</w:t>
            </w:r>
            <w:r w:rsidRPr="003726BE">
              <w:rPr>
                <w:color w:val="161616" w:themeColor="background1" w:themeShade="1A"/>
                <w:highlight w:val="yellow"/>
              </w:rPr>
              <w:t xml:space="preserve"> </w:t>
            </w:r>
          </w:p>
          <w:p w14:paraId="7A9C57EF" w14:textId="77777777" w:rsidR="00054B2D" w:rsidRPr="003726BE" w:rsidRDefault="00054B2D" w:rsidP="00706AC9">
            <w:pPr>
              <w:pStyle w:val="Htableleft"/>
              <w:numPr>
                <w:ilvl w:val="0"/>
                <w:numId w:val="12"/>
              </w:numPr>
              <w:ind w:left="462" w:hanging="462"/>
              <w:rPr>
                <w:rFonts w:cs="Arial"/>
                <w:highlight w:val="yellow"/>
              </w:rPr>
            </w:pPr>
            <w:r w:rsidRPr="003726BE">
              <w:rPr>
                <w:highlight w:val="yellow"/>
              </w:rPr>
              <w:t xml:space="preserve">azioni innovative sono state attuate e diffuse dai gruppi operativi del PEI. </w:t>
            </w:r>
          </w:p>
          <w:p w14:paraId="5AE66DC0" w14:textId="77777777" w:rsidR="00054B2D" w:rsidRPr="003726BE" w:rsidRDefault="00054B2D" w:rsidP="00123E95">
            <w:pPr>
              <w:pStyle w:val="Htableleft"/>
              <w:rPr>
                <w:rFonts w:cs="Arial"/>
                <w:highlight w:val="yellow"/>
              </w:rPr>
            </w:pPr>
            <w:r w:rsidRPr="003726BE">
              <w:rPr>
                <w:highlight w:val="yellow"/>
              </w:rPr>
              <w:t>Esempio di criteri di giudizio aggiuntivi (integrati da parte degli Stati membri, se necessario):</w:t>
            </w:r>
          </w:p>
          <w:p w14:paraId="550D3764" w14:textId="77777777" w:rsidR="00054B2D" w:rsidRPr="003726BE" w:rsidRDefault="00054B2D" w:rsidP="00706AC9">
            <w:pPr>
              <w:pStyle w:val="Htableleft"/>
              <w:numPr>
                <w:ilvl w:val="0"/>
                <w:numId w:val="13"/>
              </w:numPr>
              <w:ind w:left="462" w:hanging="462"/>
              <w:rPr>
                <w:rFonts w:cs="Arial"/>
                <w:highlight w:val="yellow"/>
              </w:rPr>
            </w:pPr>
            <w:r w:rsidRPr="003726BE">
              <w:rPr>
                <w:highlight w:val="yellow"/>
              </w:rPr>
              <w:t>quota di membri del mondo della ricerca ed accademico nella composizione dei partner nei gruppi operativi (&lt;50 %).</w:t>
            </w:r>
          </w:p>
        </w:tc>
      </w:tr>
    </w:tbl>
    <w:p w14:paraId="273FD82F" w14:textId="77777777" w:rsidR="0001223C" w:rsidRPr="003726BE" w:rsidRDefault="0001223C">
      <w:pPr>
        <w:rPr>
          <w:highlight w:val="yellow"/>
        </w:rPr>
      </w:pPr>
      <w:r w:rsidRPr="003726BE">
        <w:br w:type="page"/>
      </w:r>
    </w:p>
    <w:tbl>
      <w:tblPr>
        <w:tblStyle w:val="TableGrid"/>
        <w:tblW w:w="7797" w:type="dxa"/>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1985"/>
        <w:gridCol w:w="5812"/>
      </w:tblGrid>
      <w:tr w:rsidR="00054B2D" w:rsidRPr="003726BE" w14:paraId="05AC7830" w14:textId="77777777" w:rsidTr="004E4415">
        <w:trPr>
          <w:jc w:val="center"/>
        </w:trPr>
        <w:tc>
          <w:tcPr>
            <w:tcW w:w="1985" w:type="dxa"/>
            <w:shd w:val="clear" w:color="auto" w:fill="F07E31"/>
          </w:tcPr>
          <w:p w14:paraId="57554B61" w14:textId="77777777" w:rsidR="00054B2D" w:rsidRPr="003726BE" w:rsidRDefault="00DC3CDA" w:rsidP="007307A9">
            <w:pPr>
              <w:pStyle w:val="Htableleftbolt"/>
              <w:rPr>
                <w:rFonts w:cs="Arial"/>
                <w:color w:val="FFFFFF" w:themeColor="accent1"/>
                <w:highlight w:val="yellow"/>
              </w:rPr>
            </w:pPr>
            <w:r w:rsidRPr="003726BE">
              <w:rPr>
                <w:color w:val="FFFFFF" w:themeColor="accent1"/>
                <w:highlight w:val="yellow"/>
              </w:rPr>
              <w:lastRenderedPageBreak/>
              <w:t xml:space="preserve">DVSP </w:t>
            </w:r>
          </w:p>
        </w:tc>
        <w:tc>
          <w:tcPr>
            <w:tcW w:w="5812" w:type="dxa"/>
            <w:shd w:val="clear" w:color="auto" w:fill="F07E31"/>
          </w:tcPr>
          <w:p w14:paraId="7E39ACF0" w14:textId="77777777" w:rsidR="00054B2D" w:rsidRPr="003726BE" w:rsidRDefault="004C2F08" w:rsidP="007307A9">
            <w:pPr>
              <w:pStyle w:val="Htableleftbolt"/>
              <w:rPr>
                <w:rFonts w:cs="Arial"/>
                <w:color w:val="FFFFFF" w:themeColor="accent1"/>
                <w:highlight w:val="yellow"/>
              </w:rPr>
            </w:pPr>
            <w:r w:rsidRPr="003726BE">
              <w:rPr>
                <w:color w:val="FFFFFF" w:themeColor="accent1"/>
                <w:highlight w:val="yellow"/>
              </w:rPr>
              <w:t>Criteri di giudizio</w:t>
            </w:r>
          </w:p>
        </w:tc>
      </w:tr>
      <w:tr w:rsidR="00054B2D" w:rsidRPr="003726BE" w14:paraId="34E9C9F7" w14:textId="77777777" w:rsidTr="004E4415">
        <w:trPr>
          <w:jc w:val="center"/>
        </w:trPr>
        <w:tc>
          <w:tcPr>
            <w:tcW w:w="1985" w:type="dxa"/>
            <w:shd w:val="clear" w:color="auto" w:fill="auto"/>
          </w:tcPr>
          <w:p w14:paraId="448B8CCC" w14:textId="77777777" w:rsidR="00054B2D" w:rsidRPr="003726BE" w:rsidRDefault="00054B2D">
            <w:pPr>
              <w:pStyle w:val="Htableleft"/>
              <w:rPr>
                <w:rFonts w:cs="Arial"/>
                <w:highlight w:val="yellow"/>
              </w:rPr>
            </w:pPr>
            <w:r w:rsidRPr="003726BE">
              <w:rPr>
                <w:highlight w:val="yellow"/>
              </w:rPr>
              <w:t>In che misura gli interventi del PSR hanno evitato che i giovani lasciassero le zone rurali?</w:t>
            </w:r>
          </w:p>
        </w:tc>
        <w:tc>
          <w:tcPr>
            <w:tcW w:w="5812" w:type="dxa"/>
            <w:shd w:val="clear" w:color="auto" w:fill="auto"/>
          </w:tcPr>
          <w:p w14:paraId="38A55343" w14:textId="77777777" w:rsidR="00054B2D" w:rsidRPr="003726BE" w:rsidRDefault="00054B2D" w:rsidP="00706AC9">
            <w:pPr>
              <w:pStyle w:val="Htableleft"/>
              <w:numPr>
                <w:ilvl w:val="0"/>
                <w:numId w:val="13"/>
              </w:numPr>
              <w:ind w:left="462" w:hanging="425"/>
              <w:rPr>
                <w:rFonts w:cs="Arial"/>
                <w:highlight w:val="yellow"/>
              </w:rPr>
            </w:pPr>
            <w:r w:rsidRPr="003726BE">
              <w:rPr>
                <w:highlight w:val="yellow"/>
              </w:rPr>
              <w:t>i progetti del PSR hanno incoraggiato la creazione di imprese da parte dei giovani;</w:t>
            </w:r>
          </w:p>
          <w:p w14:paraId="3978136C" w14:textId="77777777" w:rsidR="00054B2D" w:rsidRPr="003726BE" w:rsidRDefault="00054B2D" w:rsidP="00706AC9">
            <w:pPr>
              <w:pStyle w:val="Htableleft"/>
              <w:numPr>
                <w:ilvl w:val="0"/>
                <w:numId w:val="13"/>
              </w:numPr>
              <w:ind w:left="462" w:hanging="425"/>
              <w:rPr>
                <w:rFonts w:cs="Arial"/>
                <w:highlight w:val="yellow"/>
              </w:rPr>
            </w:pPr>
            <w:r w:rsidRPr="003726BE">
              <w:rPr>
                <w:highlight w:val="yellow"/>
              </w:rPr>
              <w:t>i progetti del PSR hanno facilitato l'occupazione dei giovani;</w:t>
            </w:r>
          </w:p>
          <w:p w14:paraId="4E8DE728" w14:textId="77777777" w:rsidR="00054B2D" w:rsidRPr="003726BE" w:rsidRDefault="00054B2D" w:rsidP="00706AC9">
            <w:pPr>
              <w:pStyle w:val="Htableleft"/>
              <w:numPr>
                <w:ilvl w:val="0"/>
                <w:numId w:val="13"/>
              </w:numPr>
              <w:ind w:left="462" w:hanging="425"/>
              <w:rPr>
                <w:rFonts w:cs="Arial"/>
                <w:highlight w:val="yellow"/>
              </w:rPr>
            </w:pPr>
            <w:r w:rsidRPr="003726BE">
              <w:rPr>
                <w:highlight w:val="yellow"/>
              </w:rPr>
              <w:t xml:space="preserve">i progetti del PSR hanno sostenuto la partecipazione dei giovani alle attività di sviluppo rurale. </w:t>
            </w:r>
          </w:p>
        </w:tc>
      </w:tr>
    </w:tbl>
    <w:p w14:paraId="07F5D9CE" w14:textId="77777777" w:rsidR="00054B2D" w:rsidRPr="003726BE" w:rsidRDefault="00054B2D" w:rsidP="009C30A3">
      <w:pPr>
        <w:pStyle w:val="HHeading5"/>
        <w:rPr>
          <w:highlight w:val="yellow"/>
        </w:rPr>
      </w:pPr>
      <w:r w:rsidRPr="003726BE">
        <w:rPr>
          <w:highlight w:val="yellow"/>
        </w:rPr>
        <w:t xml:space="preserve">Sviluppo di indicatori specifici per programma e aggiuntivi </w:t>
      </w:r>
    </w:p>
    <w:p w14:paraId="7DB17BD7" w14:textId="77777777" w:rsidR="00054B2D" w:rsidRPr="003726BE" w:rsidRDefault="00054B2D" w:rsidP="00673940">
      <w:pPr>
        <w:pStyle w:val="HStandard"/>
        <w:rPr>
          <w:rFonts w:cs="Arial"/>
          <w:highlight w:val="yellow"/>
        </w:rPr>
      </w:pPr>
      <w:r w:rsidRPr="003726BE">
        <w:rPr>
          <w:highlight w:val="yellow"/>
        </w:rPr>
        <w:t>Si risponde ai questionari valutativi utilizzando degli indicatori. Gli atti giuridici e il CMES distinguono tra:</w:t>
      </w:r>
    </w:p>
    <w:p w14:paraId="1CE8D64D" w14:textId="77777777" w:rsidR="00054B2D" w:rsidRPr="003726BE" w:rsidRDefault="00054B2D" w:rsidP="00673940">
      <w:pPr>
        <w:pStyle w:val="Hlistbullet"/>
        <w:rPr>
          <w:rFonts w:cs="Arial"/>
          <w:highlight w:val="yellow"/>
        </w:rPr>
      </w:pPr>
      <w:r w:rsidRPr="003726BE">
        <w:rPr>
          <w:b/>
          <w:highlight w:val="yellow"/>
        </w:rPr>
        <w:t>indicatori comuni</w:t>
      </w:r>
      <w:r w:rsidRPr="003726BE">
        <w:rPr>
          <w:rStyle w:val="FootnoteReference"/>
          <w:highlight w:val="yellow"/>
        </w:rPr>
        <w:footnoteReference w:id="44"/>
      </w:r>
      <w:r w:rsidRPr="003726BE">
        <w:rPr>
          <w:highlight w:val="yellow"/>
        </w:rPr>
        <w:t xml:space="preserve"> per il contesto (descrivono il contesto del programma, facilitano le valutazioni SWOT e delle esigenze), i prodotti (misurano i prodotti del PSR per quanto riguarda le misure), i risultati (misurano i risultati del PSR a livello di aspetto specifico) e gli impatti (misurano gli impatti del PSR a livello di programma) sono elaborati nel dettaglio nei vari documenti di lavoro della CE sotto forma di schede degli indicatori</w:t>
      </w:r>
      <w:r w:rsidRPr="003726BE">
        <w:rPr>
          <w:rStyle w:val="FootnoteReference"/>
          <w:highlight w:val="yellow"/>
        </w:rPr>
        <w:footnoteReference w:id="45"/>
      </w:r>
      <w:r w:rsidRPr="003726BE">
        <w:rPr>
          <w:highlight w:val="yellow"/>
        </w:rPr>
        <w:t>. Gli indicatori comuni sono utilizzati per rispondere al QVC;</w:t>
      </w:r>
    </w:p>
    <w:p w14:paraId="2B7210BB" w14:textId="77777777" w:rsidR="000172A2" w:rsidRPr="003726BE" w:rsidRDefault="002B1937" w:rsidP="00706AC9">
      <w:pPr>
        <w:pStyle w:val="Hlistbullet"/>
        <w:rPr>
          <w:highlight w:val="yellow"/>
        </w:rPr>
      </w:pPr>
      <w:r w:rsidRPr="003726BE">
        <w:rPr>
          <w:b/>
          <w:highlight w:val="yellow"/>
        </w:rPr>
        <w:t>indicatori aggiuntivi</w:t>
      </w:r>
      <w:r w:rsidRPr="003726BE">
        <w:rPr>
          <w:highlight w:val="yellow"/>
        </w:rPr>
        <w:t xml:space="preserve"> che sono sviluppati </w:t>
      </w:r>
      <w:r w:rsidRPr="003726BE">
        <w:rPr>
          <w:b/>
          <w:highlight w:val="yellow"/>
        </w:rPr>
        <w:t>"in aggiunta"</w:t>
      </w:r>
      <w:r w:rsidRPr="003726BE">
        <w:rPr>
          <w:highlight w:val="yellow"/>
        </w:rPr>
        <w:t xml:space="preserve"> agli indicatori comuni quando gli indicatori comuni non riescono a rispondere appieno ai QVC in maniera soddisfacente. Non dovrebbero essere mescolati con gli indicatori specifici per programma che vengono utilizzati soltanto per rispondere alle domande di valutazione specifiche del programma. Gli indicatori aggiuntivi dovrebbero inoltre soddisfare i criteri RACER; </w:t>
      </w:r>
    </w:p>
    <w:p w14:paraId="51F897B8" w14:textId="77777777" w:rsidR="00222FDC" w:rsidRPr="003726BE" w:rsidRDefault="00231DB0" w:rsidP="00222FDC">
      <w:pPr>
        <w:pStyle w:val="HBox"/>
        <w:ind w:left="360"/>
        <w:rPr>
          <w:highlight w:val="yellow"/>
        </w:rPr>
      </w:pPr>
      <w:r>
        <w:rPr>
          <w:highlight w:val="yellow"/>
        </w:rPr>
        <w:t>L</w:t>
      </w:r>
      <w:r w:rsidRPr="003726BE">
        <w:rPr>
          <w:highlight w:val="yellow"/>
        </w:rPr>
        <w:t xml:space="preserve">a Commissione incoraggia gli Stati membri </w:t>
      </w:r>
      <w:r>
        <w:rPr>
          <w:highlight w:val="yellow"/>
        </w:rPr>
        <w:t>in cui</w:t>
      </w:r>
      <w:r w:rsidR="00222FDC" w:rsidRPr="003726BE">
        <w:rPr>
          <w:highlight w:val="yellow"/>
        </w:rPr>
        <w:t xml:space="preserve"> il sostegno ai sensi di una data misura/sottomisura </w:t>
      </w:r>
      <w:r>
        <w:rPr>
          <w:highlight w:val="yellow"/>
        </w:rPr>
        <w:t>è</w:t>
      </w:r>
      <w:r w:rsidR="00222FDC" w:rsidRPr="003726BE">
        <w:rPr>
          <w:highlight w:val="yellow"/>
        </w:rPr>
        <w:t xml:space="preserve"> significativo, come ad esempio nel contesto della sottomisura 4.4 "Investimenti non produttivi", a definire indicatori di risultato aggiuntivi al fine di garantire un monitoraggio e una valutazione migliori del contributo di tali misure/sottomisure alla realizzazione degli obiettivi dell'UE; </w:t>
      </w:r>
    </w:p>
    <w:p w14:paraId="48E15A1D" w14:textId="77777777" w:rsidR="00054B2D" w:rsidRPr="003726BE" w:rsidRDefault="00054B2D" w:rsidP="00706AC9">
      <w:pPr>
        <w:pStyle w:val="Hlistbullet"/>
        <w:rPr>
          <w:highlight w:val="yellow"/>
        </w:rPr>
      </w:pPr>
      <w:r w:rsidRPr="003726BE">
        <w:rPr>
          <w:b/>
          <w:highlight w:val="yellow"/>
        </w:rPr>
        <w:t>indicatori specifici del programma</w:t>
      </w:r>
      <w:r w:rsidRPr="003726BE">
        <w:rPr>
          <w:highlight w:val="yellow"/>
        </w:rPr>
        <w:t xml:space="preserve"> che sono stati sviluppati da parti interessate negli Stati membri (autorità di gestione e valutatori) come indicatori di contesto, prodotto, risultato e impatto, al fine di rispondere alle domande di valutazione specifiche del programma. Questi indicatori dovrebbero inoltre soddisfare i criteri RACER. </w:t>
      </w:r>
    </w:p>
    <w:p w14:paraId="084AF670" w14:textId="77777777" w:rsidR="00054B2D" w:rsidRPr="003726BE" w:rsidRDefault="002B1937" w:rsidP="00673940">
      <w:pPr>
        <w:pStyle w:val="HStandard"/>
        <w:rPr>
          <w:rFonts w:cs="Arial"/>
          <w:highlight w:val="yellow"/>
        </w:rPr>
      </w:pPr>
      <w:r w:rsidRPr="003726BE">
        <w:rPr>
          <w:highlight w:val="yellow"/>
        </w:rPr>
        <w:t xml:space="preserve">Ogni indicatore dovrebbe idealmente essere definito tramite una scheda. Le schede per tutti gli indicatori comuni sono state </w:t>
      </w:r>
      <w:r w:rsidR="00231DB0">
        <w:rPr>
          <w:highlight w:val="yellow"/>
        </w:rPr>
        <w:t>elabora</w:t>
      </w:r>
      <w:r w:rsidRPr="003726BE">
        <w:rPr>
          <w:highlight w:val="yellow"/>
        </w:rPr>
        <w:t>te dalla Commissione europea. Le schede degli indicatori per gli indicatori specifici per programma e gli indicatori aggiuntivi dovrebbero essere definite dagli Stati membri. Si raccomanda di seguire la struttura delle schede degli indicatori progettate dalla Commissione europea per gli indicatori comuni. La scheda dovrebbe fornire almeno le seguenti informazioni:</w:t>
      </w:r>
    </w:p>
    <w:p w14:paraId="3EDCC961" w14:textId="77777777" w:rsidR="00054B2D" w:rsidRPr="003726BE" w:rsidRDefault="00054B2D" w:rsidP="00673940">
      <w:pPr>
        <w:pStyle w:val="Hlistbullet"/>
        <w:rPr>
          <w:rFonts w:cs="Arial"/>
          <w:highlight w:val="yellow"/>
        </w:rPr>
      </w:pPr>
      <w:r w:rsidRPr="003726BE">
        <w:rPr>
          <w:highlight w:val="yellow"/>
        </w:rPr>
        <w:t xml:space="preserve">nome e definizione dell'indicatore; </w:t>
      </w:r>
    </w:p>
    <w:p w14:paraId="37266BE6" w14:textId="77777777" w:rsidR="00054B2D" w:rsidRPr="003726BE" w:rsidRDefault="00054B2D" w:rsidP="00673940">
      <w:pPr>
        <w:pStyle w:val="Hlistbullet"/>
        <w:rPr>
          <w:rFonts w:cs="Arial"/>
          <w:highlight w:val="yellow"/>
        </w:rPr>
      </w:pPr>
      <w:r w:rsidRPr="003726BE">
        <w:rPr>
          <w:highlight w:val="yellow"/>
        </w:rPr>
        <w:t xml:space="preserve">collegamento all'obiettivo/aspetto specifico del PSR, e domanda di valutazione; </w:t>
      </w:r>
    </w:p>
    <w:p w14:paraId="58063257" w14:textId="77777777" w:rsidR="00054B2D" w:rsidRPr="003726BE" w:rsidRDefault="00054B2D" w:rsidP="00673940">
      <w:pPr>
        <w:pStyle w:val="Hlistbullet"/>
        <w:rPr>
          <w:rFonts w:cs="Arial"/>
          <w:highlight w:val="yellow"/>
        </w:rPr>
      </w:pPr>
      <w:r w:rsidRPr="003726BE">
        <w:rPr>
          <w:highlight w:val="yellow"/>
        </w:rPr>
        <w:t xml:space="preserve">unità di misura o formula dell'indicatore; </w:t>
      </w:r>
    </w:p>
    <w:p w14:paraId="00C62101" w14:textId="77777777" w:rsidR="00054B2D" w:rsidRPr="003726BE" w:rsidRDefault="00054B2D" w:rsidP="00673940">
      <w:pPr>
        <w:pStyle w:val="Hlistbullet"/>
        <w:rPr>
          <w:rFonts w:cs="Arial"/>
          <w:highlight w:val="yellow"/>
        </w:rPr>
      </w:pPr>
      <w:r w:rsidRPr="003726BE">
        <w:rPr>
          <w:highlight w:val="yellow"/>
        </w:rPr>
        <w:t xml:space="preserve">metodo di calcolo; </w:t>
      </w:r>
    </w:p>
    <w:p w14:paraId="4BECDE55" w14:textId="77777777" w:rsidR="00054B2D" w:rsidRPr="003726BE" w:rsidRDefault="00054B2D" w:rsidP="00706AC9">
      <w:pPr>
        <w:pStyle w:val="Hlistbullet"/>
        <w:rPr>
          <w:highlight w:val="yellow"/>
        </w:rPr>
      </w:pPr>
      <w:r w:rsidRPr="003726BE">
        <w:rPr>
          <w:highlight w:val="yellow"/>
        </w:rPr>
        <w:t>tipi, fonti e accessibilità dei dati per calcolare l'indicatore.</w:t>
      </w:r>
    </w:p>
    <w:p w14:paraId="591A3AD8" w14:textId="77777777" w:rsidR="00054B2D" w:rsidRPr="003726BE" w:rsidRDefault="002B1937" w:rsidP="00673940">
      <w:pPr>
        <w:pStyle w:val="HStandard"/>
        <w:rPr>
          <w:rFonts w:cs="Arial"/>
          <w:highlight w:val="yellow"/>
        </w:rPr>
      </w:pPr>
      <w:r w:rsidRPr="003726BE">
        <w:rPr>
          <w:highlight w:val="yellow"/>
        </w:rPr>
        <w:lastRenderedPageBreak/>
        <w:t xml:space="preserve">Le parti interessate della valutazione (autorità di gestione e valutatori) devono esaminare e comprendere le schede degli indicatori, </w:t>
      </w:r>
      <w:r w:rsidR="00231DB0">
        <w:rPr>
          <w:highlight w:val="yellow"/>
        </w:rPr>
        <w:t>comprese</w:t>
      </w:r>
      <w:r w:rsidRPr="003726BE">
        <w:rPr>
          <w:highlight w:val="yellow"/>
        </w:rPr>
        <w:t xml:space="preserve"> le definizioni utilizzate, la chiarezza delle definizioni, l'accessibilità degli indicatori rispetto alla raccolta e alle fonti di dati, nonché il metodo proposto per il calcolo dell'indicatore. </w:t>
      </w:r>
      <w:r w:rsidR="00231DB0">
        <w:rPr>
          <w:highlight w:val="yellow"/>
        </w:rPr>
        <w:t>Nel caso degli</w:t>
      </w:r>
      <w:r w:rsidRPr="003726BE">
        <w:rPr>
          <w:highlight w:val="yellow"/>
        </w:rPr>
        <w:t xml:space="preserve"> indicatori specifici per programma e aggiuntivi, le autorità del programma o le altre parti interessate coinvolte nella valutazione (valutatori) sono </w:t>
      </w:r>
      <w:r w:rsidR="00231DB0">
        <w:rPr>
          <w:highlight w:val="yellow"/>
        </w:rPr>
        <w:t>responsabili del</w:t>
      </w:r>
      <w:r w:rsidRPr="003726BE">
        <w:rPr>
          <w:highlight w:val="yellow"/>
        </w:rPr>
        <w:t xml:space="preserve">la chiarezza di tutti i termini utilizzati nelle rispettive schede degli indicatori. </w:t>
      </w:r>
    </w:p>
    <w:p w14:paraId="5E505F36" w14:textId="77777777" w:rsidR="00054B2D" w:rsidRPr="003726BE" w:rsidRDefault="00054B2D" w:rsidP="00C147EB">
      <w:pPr>
        <w:pStyle w:val="HHeading5"/>
        <w:rPr>
          <w:rFonts w:cs="Arial"/>
          <w:highlight w:val="yellow"/>
        </w:rPr>
      </w:pPr>
      <w:r w:rsidRPr="003726BE">
        <w:rPr>
          <w:highlight w:val="yellow"/>
        </w:rPr>
        <w:t xml:space="preserve">Specificità di LEADER </w:t>
      </w:r>
    </w:p>
    <w:p w14:paraId="4C61864A" w14:textId="77777777" w:rsidR="00706AC9" w:rsidRPr="003726BE" w:rsidRDefault="00054B2D" w:rsidP="00673940">
      <w:pPr>
        <w:pStyle w:val="HStandard"/>
        <w:rPr>
          <w:rFonts w:cs="Arial"/>
          <w:highlight w:val="yellow"/>
        </w:rPr>
      </w:pPr>
      <w:r w:rsidRPr="003726BE">
        <w:rPr>
          <w:highlight w:val="yellow"/>
        </w:rPr>
        <w:t>Il CMES fornisce un questionario valutativo co</w:t>
      </w:r>
      <w:r w:rsidR="00231DB0">
        <w:rPr>
          <w:highlight w:val="yellow"/>
        </w:rPr>
        <w:t>mune che si applica a LEADER: "I</w:t>
      </w:r>
      <w:r w:rsidRPr="003726BE">
        <w:rPr>
          <w:highlight w:val="yellow"/>
        </w:rPr>
        <w:t xml:space="preserve">n che misura gli interventi di LEADER hanno stimolato lo sviluppo locale nelle zone rurali?" (domanda numero 17 del QVC </w:t>
      </w:r>
      <w:r w:rsidR="00231DB0">
        <w:rPr>
          <w:highlight w:val="yellow"/>
        </w:rPr>
        <w:t xml:space="preserve">adattata </w:t>
      </w:r>
      <w:r w:rsidRPr="003726BE">
        <w:rPr>
          <w:highlight w:val="yellow"/>
        </w:rPr>
        <w:t>relativamente a LEADER). Il CMES contiene inoltre i seguenti indicatori comuni per LEADER a livello di PSR (prodotto e obiettivo)</w:t>
      </w:r>
      <w:r w:rsidRPr="003726BE">
        <w:rPr>
          <w:b/>
          <w:i/>
          <w:color w:val="6F6F6F" w:themeColor="text1"/>
          <w:highlight w:val="yellow"/>
          <w:vertAlign w:val="superscript"/>
        </w:rPr>
        <w:footnoteReference w:id="46"/>
      </w:r>
      <w:r w:rsidRPr="003726BE">
        <w:rPr>
          <w:highlight w:val="yellow"/>
        </w:rPr>
        <w:t>:</w:t>
      </w:r>
    </w:p>
    <w:tbl>
      <w:tblPr>
        <w:tblStyle w:val="TableGrid"/>
        <w:tblW w:w="0" w:type="auto"/>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4948"/>
        <w:gridCol w:w="1400"/>
        <w:gridCol w:w="1352"/>
      </w:tblGrid>
      <w:tr w:rsidR="00054B2D" w:rsidRPr="003726BE" w14:paraId="1C67AF31" w14:textId="77777777" w:rsidTr="0001223C">
        <w:trPr>
          <w:jc w:val="center"/>
        </w:trPr>
        <w:tc>
          <w:tcPr>
            <w:tcW w:w="4948" w:type="dxa"/>
            <w:shd w:val="clear" w:color="auto" w:fill="F07E31" w:themeFill="background2"/>
          </w:tcPr>
          <w:p w14:paraId="54699F65" w14:textId="77777777" w:rsidR="00054B2D" w:rsidRPr="003726BE" w:rsidRDefault="00054B2D" w:rsidP="009B2D49">
            <w:pPr>
              <w:pStyle w:val="Htableleftbolt"/>
              <w:rPr>
                <w:rFonts w:cs="Arial"/>
                <w:color w:val="FFFFFF" w:themeColor="accent1"/>
                <w:highlight w:val="yellow"/>
              </w:rPr>
            </w:pPr>
            <w:r w:rsidRPr="003726BE">
              <w:rPr>
                <w:color w:val="FFFFFF" w:themeColor="accent1"/>
                <w:highlight w:val="yellow"/>
              </w:rPr>
              <w:t>Indicatore</w:t>
            </w:r>
          </w:p>
        </w:tc>
        <w:tc>
          <w:tcPr>
            <w:tcW w:w="1400" w:type="dxa"/>
            <w:shd w:val="clear" w:color="auto" w:fill="F07E31" w:themeFill="background2"/>
          </w:tcPr>
          <w:p w14:paraId="7314CFB6" w14:textId="77777777" w:rsidR="00054B2D" w:rsidRPr="003726BE" w:rsidRDefault="00054B2D" w:rsidP="00A27B13">
            <w:pPr>
              <w:pStyle w:val="Htableleftbolt"/>
              <w:jc w:val="center"/>
              <w:rPr>
                <w:rFonts w:cs="Arial"/>
                <w:color w:val="FFFFFF" w:themeColor="accent1"/>
                <w:highlight w:val="yellow"/>
              </w:rPr>
            </w:pPr>
            <w:r w:rsidRPr="003726BE">
              <w:rPr>
                <w:color w:val="FFFFFF" w:themeColor="accent1"/>
                <w:highlight w:val="yellow"/>
              </w:rPr>
              <w:t>Prodotto</w:t>
            </w:r>
          </w:p>
        </w:tc>
        <w:tc>
          <w:tcPr>
            <w:tcW w:w="1352" w:type="dxa"/>
            <w:shd w:val="clear" w:color="auto" w:fill="F07E31" w:themeFill="background2"/>
          </w:tcPr>
          <w:p w14:paraId="00717A26" w14:textId="77777777" w:rsidR="00054B2D" w:rsidRPr="003726BE" w:rsidRDefault="00054B2D" w:rsidP="00A27B13">
            <w:pPr>
              <w:pStyle w:val="Htableleftbolt"/>
              <w:jc w:val="center"/>
              <w:rPr>
                <w:rFonts w:cs="Arial"/>
                <w:color w:val="FFFFFF" w:themeColor="accent1"/>
                <w:highlight w:val="yellow"/>
              </w:rPr>
            </w:pPr>
            <w:r w:rsidRPr="003726BE">
              <w:rPr>
                <w:color w:val="FFFFFF" w:themeColor="accent1"/>
                <w:highlight w:val="yellow"/>
              </w:rPr>
              <w:t>Obiettivo</w:t>
            </w:r>
          </w:p>
        </w:tc>
      </w:tr>
      <w:tr w:rsidR="00054B2D" w:rsidRPr="003726BE" w14:paraId="2C1DFAC8" w14:textId="77777777" w:rsidTr="0001223C">
        <w:trPr>
          <w:jc w:val="center"/>
        </w:trPr>
        <w:tc>
          <w:tcPr>
            <w:tcW w:w="4948" w:type="dxa"/>
            <w:shd w:val="clear" w:color="auto" w:fill="auto"/>
          </w:tcPr>
          <w:p w14:paraId="50B8A4CC" w14:textId="77777777" w:rsidR="00054B2D" w:rsidRPr="003726BE" w:rsidRDefault="00054B2D" w:rsidP="009B2D49">
            <w:pPr>
              <w:pStyle w:val="Htableleft"/>
              <w:rPr>
                <w:rFonts w:cs="Arial"/>
                <w:highlight w:val="yellow"/>
              </w:rPr>
            </w:pPr>
            <w:r w:rsidRPr="003726BE">
              <w:rPr>
                <w:highlight w:val="yellow"/>
              </w:rPr>
              <w:t>Popolazione coperta dai GAL</w:t>
            </w:r>
          </w:p>
        </w:tc>
        <w:tc>
          <w:tcPr>
            <w:tcW w:w="1400" w:type="dxa"/>
            <w:shd w:val="clear" w:color="auto" w:fill="auto"/>
          </w:tcPr>
          <w:p w14:paraId="5696FBB7" w14:textId="77777777" w:rsidR="00054B2D" w:rsidRPr="003726BE" w:rsidRDefault="00054B2D" w:rsidP="00A27B13">
            <w:pPr>
              <w:pStyle w:val="Htableleft"/>
              <w:jc w:val="center"/>
              <w:rPr>
                <w:rFonts w:cs="Arial"/>
                <w:highlight w:val="yellow"/>
              </w:rPr>
            </w:pPr>
            <w:r w:rsidRPr="003726BE">
              <w:rPr>
                <w:highlight w:val="yellow"/>
              </w:rPr>
              <w:t>O18</w:t>
            </w:r>
          </w:p>
        </w:tc>
        <w:tc>
          <w:tcPr>
            <w:tcW w:w="1352" w:type="dxa"/>
            <w:shd w:val="clear" w:color="auto" w:fill="auto"/>
          </w:tcPr>
          <w:p w14:paraId="7943764A" w14:textId="77777777" w:rsidR="00054B2D" w:rsidRPr="003726BE" w:rsidRDefault="00054B2D" w:rsidP="00A27B13">
            <w:pPr>
              <w:pStyle w:val="Htableleft"/>
              <w:jc w:val="center"/>
              <w:rPr>
                <w:rFonts w:cs="Arial"/>
                <w:highlight w:val="yellow"/>
              </w:rPr>
            </w:pPr>
            <w:r w:rsidRPr="003726BE">
              <w:rPr>
                <w:highlight w:val="yellow"/>
              </w:rPr>
              <w:t>T21</w:t>
            </w:r>
          </w:p>
        </w:tc>
      </w:tr>
      <w:tr w:rsidR="00054B2D" w:rsidRPr="003726BE" w14:paraId="6B317FE7" w14:textId="77777777" w:rsidTr="0001223C">
        <w:trPr>
          <w:jc w:val="center"/>
        </w:trPr>
        <w:tc>
          <w:tcPr>
            <w:tcW w:w="4948" w:type="dxa"/>
            <w:shd w:val="clear" w:color="auto" w:fill="auto"/>
          </w:tcPr>
          <w:p w14:paraId="152A94EA" w14:textId="77777777" w:rsidR="00054B2D" w:rsidRPr="003726BE" w:rsidRDefault="00054B2D" w:rsidP="009B2D49">
            <w:pPr>
              <w:pStyle w:val="Htableleft"/>
              <w:rPr>
                <w:rFonts w:cs="Arial"/>
                <w:highlight w:val="yellow"/>
              </w:rPr>
            </w:pPr>
            <w:r w:rsidRPr="003726BE">
              <w:rPr>
                <w:highlight w:val="yellow"/>
              </w:rPr>
              <w:t xml:space="preserve">Numero di GAL selezionati </w:t>
            </w:r>
          </w:p>
        </w:tc>
        <w:tc>
          <w:tcPr>
            <w:tcW w:w="1400" w:type="dxa"/>
            <w:shd w:val="clear" w:color="auto" w:fill="auto"/>
          </w:tcPr>
          <w:p w14:paraId="1D9F88B6" w14:textId="77777777" w:rsidR="00054B2D" w:rsidRPr="003726BE" w:rsidRDefault="00054B2D" w:rsidP="00A27B13">
            <w:pPr>
              <w:pStyle w:val="Htableleft"/>
              <w:jc w:val="center"/>
              <w:rPr>
                <w:rFonts w:cs="Arial"/>
                <w:highlight w:val="yellow"/>
              </w:rPr>
            </w:pPr>
            <w:r w:rsidRPr="003726BE">
              <w:rPr>
                <w:highlight w:val="yellow"/>
              </w:rPr>
              <w:t>O19</w:t>
            </w:r>
          </w:p>
        </w:tc>
        <w:tc>
          <w:tcPr>
            <w:tcW w:w="1352" w:type="dxa"/>
            <w:shd w:val="clear" w:color="auto" w:fill="auto"/>
          </w:tcPr>
          <w:p w14:paraId="0C4C6E56" w14:textId="77777777" w:rsidR="00054B2D" w:rsidRPr="003726BE" w:rsidRDefault="00054B2D" w:rsidP="00A27B13">
            <w:pPr>
              <w:pStyle w:val="Htableleft"/>
              <w:jc w:val="center"/>
              <w:rPr>
                <w:rFonts w:cs="Arial"/>
                <w:highlight w:val="yellow"/>
              </w:rPr>
            </w:pPr>
          </w:p>
        </w:tc>
      </w:tr>
      <w:tr w:rsidR="00054B2D" w:rsidRPr="003726BE" w14:paraId="473CC6B6" w14:textId="77777777" w:rsidTr="0001223C">
        <w:trPr>
          <w:jc w:val="center"/>
        </w:trPr>
        <w:tc>
          <w:tcPr>
            <w:tcW w:w="4948" w:type="dxa"/>
            <w:shd w:val="clear" w:color="auto" w:fill="auto"/>
          </w:tcPr>
          <w:p w14:paraId="6504B6A1" w14:textId="77777777" w:rsidR="00054B2D" w:rsidRPr="003726BE" w:rsidRDefault="00054B2D" w:rsidP="00986B3D">
            <w:pPr>
              <w:pStyle w:val="Htableleft"/>
              <w:rPr>
                <w:rFonts w:cs="Arial"/>
                <w:highlight w:val="yellow"/>
              </w:rPr>
            </w:pPr>
            <w:r w:rsidRPr="003726BE">
              <w:rPr>
                <w:highlight w:val="yellow"/>
              </w:rPr>
              <w:t xml:space="preserve">Numero di progetti LEADER beneficiari di un sostegno </w:t>
            </w:r>
          </w:p>
        </w:tc>
        <w:tc>
          <w:tcPr>
            <w:tcW w:w="1400" w:type="dxa"/>
            <w:shd w:val="clear" w:color="auto" w:fill="auto"/>
          </w:tcPr>
          <w:p w14:paraId="00DF261E" w14:textId="77777777" w:rsidR="00054B2D" w:rsidRPr="003726BE" w:rsidRDefault="00054B2D" w:rsidP="00A27B13">
            <w:pPr>
              <w:pStyle w:val="Htableleft"/>
              <w:jc w:val="center"/>
              <w:rPr>
                <w:rFonts w:cs="Arial"/>
                <w:highlight w:val="yellow"/>
              </w:rPr>
            </w:pPr>
            <w:r w:rsidRPr="003726BE">
              <w:rPr>
                <w:highlight w:val="yellow"/>
              </w:rPr>
              <w:t>O21</w:t>
            </w:r>
          </w:p>
        </w:tc>
        <w:tc>
          <w:tcPr>
            <w:tcW w:w="1352" w:type="dxa"/>
            <w:shd w:val="clear" w:color="auto" w:fill="auto"/>
          </w:tcPr>
          <w:p w14:paraId="0BC60865" w14:textId="77777777" w:rsidR="00054B2D" w:rsidRPr="003726BE" w:rsidRDefault="00054B2D" w:rsidP="00A27B13">
            <w:pPr>
              <w:pStyle w:val="Htableleft"/>
              <w:jc w:val="center"/>
              <w:rPr>
                <w:rFonts w:cs="Arial"/>
                <w:highlight w:val="yellow"/>
              </w:rPr>
            </w:pPr>
          </w:p>
        </w:tc>
      </w:tr>
      <w:tr w:rsidR="00054B2D" w:rsidRPr="003726BE" w14:paraId="130DB2AA" w14:textId="77777777" w:rsidTr="0001223C">
        <w:trPr>
          <w:jc w:val="center"/>
        </w:trPr>
        <w:tc>
          <w:tcPr>
            <w:tcW w:w="4948" w:type="dxa"/>
            <w:shd w:val="clear" w:color="auto" w:fill="auto"/>
          </w:tcPr>
          <w:p w14:paraId="01A0060E" w14:textId="77777777" w:rsidR="00054B2D" w:rsidRPr="003726BE" w:rsidRDefault="00054B2D" w:rsidP="002E7B6F">
            <w:pPr>
              <w:pStyle w:val="Htableleft"/>
              <w:rPr>
                <w:rFonts w:cs="Arial"/>
                <w:highlight w:val="yellow"/>
              </w:rPr>
            </w:pPr>
            <w:r w:rsidRPr="003726BE">
              <w:rPr>
                <w:highlight w:val="yellow"/>
              </w:rPr>
              <w:t xml:space="preserve">Numero di progetti di cooperazione beneficiari di un sostegno </w:t>
            </w:r>
          </w:p>
        </w:tc>
        <w:tc>
          <w:tcPr>
            <w:tcW w:w="1400" w:type="dxa"/>
            <w:shd w:val="clear" w:color="auto" w:fill="auto"/>
          </w:tcPr>
          <w:p w14:paraId="7314FF48" w14:textId="77777777" w:rsidR="00054B2D" w:rsidRPr="003726BE" w:rsidRDefault="00054B2D" w:rsidP="00A27B13">
            <w:pPr>
              <w:pStyle w:val="Htableleft"/>
              <w:jc w:val="center"/>
              <w:rPr>
                <w:rFonts w:cs="Arial"/>
                <w:highlight w:val="yellow"/>
              </w:rPr>
            </w:pPr>
            <w:r w:rsidRPr="003726BE">
              <w:rPr>
                <w:highlight w:val="yellow"/>
              </w:rPr>
              <w:t>O21</w:t>
            </w:r>
          </w:p>
        </w:tc>
        <w:tc>
          <w:tcPr>
            <w:tcW w:w="1352" w:type="dxa"/>
            <w:shd w:val="clear" w:color="auto" w:fill="auto"/>
          </w:tcPr>
          <w:p w14:paraId="07924FD7" w14:textId="77777777" w:rsidR="00054B2D" w:rsidRPr="003726BE" w:rsidRDefault="00054B2D" w:rsidP="00A27B13">
            <w:pPr>
              <w:pStyle w:val="Htableleft"/>
              <w:jc w:val="center"/>
              <w:rPr>
                <w:rFonts w:cs="Arial"/>
                <w:highlight w:val="yellow"/>
              </w:rPr>
            </w:pPr>
          </w:p>
        </w:tc>
      </w:tr>
      <w:tr w:rsidR="00054B2D" w:rsidRPr="003726BE" w14:paraId="2EC2303C" w14:textId="77777777" w:rsidTr="0001223C">
        <w:trPr>
          <w:jc w:val="center"/>
        </w:trPr>
        <w:tc>
          <w:tcPr>
            <w:tcW w:w="4948" w:type="dxa"/>
            <w:shd w:val="clear" w:color="auto" w:fill="auto"/>
          </w:tcPr>
          <w:p w14:paraId="0F8BE925" w14:textId="77777777" w:rsidR="00054B2D" w:rsidRPr="003726BE" w:rsidRDefault="00054B2D" w:rsidP="002E7B6F">
            <w:pPr>
              <w:pStyle w:val="Htableleft"/>
              <w:rPr>
                <w:rFonts w:cs="Arial"/>
                <w:highlight w:val="yellow"/>
              </w:rPr>
            </w:pPr>
            <w:r w:rsidRPr="003726BE">
              <w:rPr>
                <w:highlight w:val="yellow"/>
              </w:rPr>
              <w:t>Numero e tipologie dei promotori di progetti</w:t>
            </w:r>
          </w:p>
        </w:tc>
        <w:tc>
          <w:tcPr>
            <w:tcW w:w="1400" w:type="dxa"/>
            <w:shd w:val="clear" w:color="auto" w:fill="auto"/>
          </w:tcPr>
          <w:p w14:paraId="057BEB90" w14:textId="77777777" w:rsidR="00054B2D" w:rsidRPr="003726BE" w:rsidRDefault="00054B2D" w:rsidP="00A27B13">
            <w:pPr>
              <w:pStyle w:val="Htableleft"/>
              <w:jc w:val="center"/>
              <w:rPr>
                <w:rFonts w:cs="Arial"/>
                <w:highlight w:val="yellow"/>
              </w:rPr>
            </w:pPr>
            <w:r w:rsidRPr="003726BE">
              <w:rPr>
                <w:highlight w:val="yellow"/>
              </w:rPr>
              <w:t>O22</w:t>
            </w:r>
          </w:p>
        </w:tc>
        <w:tc>
          <w:tcPr>
            <w:tcW w:w="1352" w:type="dxa"/>
            <w:shd w:val="clear" w:color="auto" w:fill="auto"/>
          </w:tcPr>
          <w:p w14:paraId="7E08B2D9" w14:textId="77777777" w:rsidR="00054B2D" w:rsidRPr="003726BE" w:rsidRDefault="00054B2D" w:rsidP="00A27B13">
            <w:pPr>
              <w:pStyle w:val="Htableleft"/>
              <w:jc w:val="center"/>
              <w:rPr>
                <w:rFonts w:cs="Arial"/>
                <w:highlight w:val="yellow"/>
              </w:rPr>
            </w:pPr>
          </w:p>
        </w:tc>
      </w:tr>
      <w:tr w:rsidR="00054B2D" w:rsidRPr="003726BE" w14:paraId="18C31A28" w14:textId="77777777" w:rsidTr="0001223C">
        <w:trPr>
          <w:jc w:val="center"/>
        </w:trPr>
        <w:tc>
          <w:tcPr>
            <w:tcW w:w="4948" w:type="dxa"/>
            <w:shd w:val="clear" w:color="auto" w:fill="auto"/>
          </w:tcPr>
          <w:p w14:paraId="6AC13BF2" w14:textId="77777777" w:rsidR="00054B2D" w:rsidRPr="003726BE" w:rsidRDefault="00054B2D" w:rsidP="009B2D49">
            <w:pPr>
              <w:pStyle w:val="Htableleft"/>
              <w:rPr>
                <w:rFonts w:cs="Arial"/>
                <w:highlight w:val="yellow"/>
              </w:rPr>
            </w:pPr>
            <w:r w:rsidRPr="003726BE">
              <w:rPr>
                <w:highlight w:val="yellow"/>
              </w:rPr>
              <w:t>Numero unico del GAL che partecipa al progetto di cooperazione</w:t>
            </w:r>
          </w:p>
        </w:tc>
        <w:tc>
          <w:tcPr>
            <w:tcW w:w="1400" w:type="dxa"/>
            <w:shd w:val="clear" w:color="auto" w:fill="auto"/>
          </w:tcPr>
          <w:p w14:paraId="12259E11" w14:textId="77777777" w:rsidR="00054B2D" w:rsidRPr="003726BE" w:rsidRDefault="00054B2D" w:rsidP="00A27B13">
            <w:pPr>
              <w:pStyle w:val="Htableleft"/>
              <w:jc w:val="center"/>
              <w:rPr>
                <w:rFonts w:cs="Arial"/>
                <w:highlight w:val="yellow"/>
              </w:rPr>
            </w:pPr>
            <w:r w:rsidRPr="003726BE">
              <w:rPr>
                <w:highlight w:val="yellow"/>
              </w:rPr>
              <w:t>O23</w:t>
            </w:r>
          </w:p>
        </w:tc>
        <w:tc>
          <w:tcPr>
            <w:tcW w:w="1352" w:type="dxa"/>
            <w:shd w:val="clear" w:color="auto" w:fill="auto"/>
          </w:tcPr>
          <w:p w14:paraId="482D9BE9" w14:textId="77777777" w:rsidR="00054B2D" w:rsidRPr="003726BE" w:rsidRDefault="00054B2D" w:rsidP="00A27B13">
            <w:pPr>
              <w:pStyle w:val="Htableleft"/>
              <w:jc w:val="center"/>
              <w:rPr>
                <w:rFonts w:cs="Arial"/>
                <w:highlight w:val="yellow"/>
              </w:rPr>
            </w:pPr>
          </w:p>
        </w:tc>
      </w:tr>
      <w:tr w:rsidR="00054B2D" w:rsidRPr="003726BE" w14:paraId="6FD8FAC5" w14:textId="77777777" w:rsidTr="0001223C">
        <w:trPr>
          <w:jc w:val="center"/>
        </w:trPr>
        <w:tc>
          <w:tcPr>
            <w:tcW w:w="4948" w:type="dxa"/>
            <w:shd w:val="clear" w:color="auto" w:fill="auto"/>
          </w:tcPr>
          <w:p w14:paraId="0FCF2236" w14:textId="77777777" w:rsidR="00054B2D" w:rsidRPr="003726BE" w:rsidRDefault="00054B2D" w:rsidP="002E7B6F">
            <w:pPr>
              <w:pStyle w:val="Htableleft"/>
              <w:rPr>
                <w:rFonts w:cs="Arial"/>
                <w:highlight w:val="yellow"/>
              </w:rPr>
            </w:pPr>
            <w:r w:rsidRPr="003726BE">
              <w:rPr>
                <w:highlight w:val="yellow"/>
              </w:rPr>
              <w:t xml:space="preserve">Numero di posti di lavoro creati </w:t>
            </w:r>
          </w:p>
        </w:tc>
        <w:tc>
          <w:tcPr>
            <w:tcW w:w="1400" w:type="dxa"/>
            <w:shd w:val="clear" w:color="auto" w:fill="auto"/>
          </w:tcPr>
          <w:p w14:paraId="18603581" w14:textId="77777777" w:rsidR="00054B2D" w:rsidRPr="003726BE" w:rsidRDefault="00054B2D" w:rsidP="00A27B13">
            <w:pPr>
              <w:pStyle w:val="Htableleft"/>
              <w:jc w:val="center"/>
              <w:rPr>
                <w:rFonts w:cs="Arial"/>
                <w:highlight w:val="yellow"/>
              </w:rPr>
            </w:pPr>
          </w:p>
        </w:tc>
        <w:tc>
          <w:tcPr>
            <w:tcW w:w="1352" w:type="dxa"/>
            <w:shd w:val="clear" w:color="auto" w:fill="auto"/>
          </w:tcPr>
          <w:p w14:paraId="3DF15F12" w14:textId="77777777" w:rsidR="00054B2D" w:rsidRPr="003726BE" w:rsidRDefault="00054B2D" w:rsidP="00A27B13">
            <w:pPr>
              <w:pStyle w:val="Htableleft"/>
              <w:jc w:val="center"/>
              <w:rPr>
                <w:rFonts w:cs="Arial"/>
                <w:highlight w:val="yellow"/>
              </w:rPr>
            </w:pPr>
            <w:r w:rsidRPr="003726BE">
              <w:rPr>
                <w:highlight w:val="yellow"/>
              </w:rPr>
              <w:t>T23</w:t>
            </w:r>
          </w:p>
        </w:tc>
      </w:tr>
    </w:tbl>
    <w:p w14:paraId="72195179" w14:textId="77777777" w:rsidR="00054B2D" w:rsidRPr="003726BE" w:rsidRDefault="00231DB0" w:rsidP="00673940">
      <w:pPr>
        <w:pStyle w:val="HStandard"/>
        <w:rPr>
          <w:rFonts w:cs="Arial"/>
          <w:highlight w:val="yellow"/>
        </w:rPr>
      </w:pPr>
      <w:r>
        <w:rPr>
          <w:highlight w:val="yellow"/>
        </w:rPr>
        <w:t>Tenuto conto dell</w:t>
      </w:r>
      <w:r w:rsidR="00054B2D" w:rsidRPr="003726BE">
        <w:rPr>
          <w:highlight w:val="yellow"/>
        </w:rPr>
        <w:t>a flessibilità nell'applicazione di LEADER negli Stati membri, il questionario valutativo comune e gli indicatori summenzionati potrebbero non cogliere tutte le specificità di LEADER e dei suoi effetti attesi/previsti (</w:t>
      </w:r>
      <w:r>
        <w:rPr>
          <w:highlight w:val="yellow"/>
        </w:rPr>
        <w:t>c</w:t>
      </w:r>
      <w:r w:rsidR="00054B2D" w:rsidRPr="003726BE">
        <w:rPr>
          <w:highlight w:val="yellow"/>
        </w:rPr>
        <w:t xml:space="preserve">ompreso il valore aggiunto di LEADER). Pertanto, gli Stati membri possono aver </w:t>
      </w:r>
      <w:r>
        <w:rPr>
          <w:highlight w:val="yellow"/>
        </w:rPr>
        <w:t>elaborat</w:t>
      </w:r>
      <w:r w:rsidR="00054B2D" w:rsidRPr="003726BE">
        <w:rPr>
          <w:highlight w:val="yellow"/>
        </w:rPr>
        <w:t>o delle DVSP relative a LEADER e agli indicatori specifici per programma nel piano di indicatori o nel piano di valutazione del PSR. In tal caso, tutti i termini utilizzati nelle DVSP e negli indicatori specifici per programma devono essere ben definiti e si deve predisporre una sche</w:t>
      </w:r>
      <w:r>
        <w:rPr>
          <w:highlight w:val="yellow"/>
        </w:rPr>
        <w:t xml:space="preserve">da indicatore dedicata. Se </w:t>
      </w:r>
      <w:r w:rsidR="00054B2D" w:rsidRPr="003726BE">
        <w:rPr>
          <w:highlight w:val="yellow"/>
        </w:rPr>
        <w:t>non s</w:t>
      </w:r>
      <w:r>
        <w:rPr>
          <w:highlight w:val="yellow"/>
        </w:rPr>
        <w:t>on</w:t>
      </w:r>
      <w:r w:rsidR="00054B2D" w:rsidRPr="003726BE">
        <w:rPr>
          <w:highlight w:val="yellow"/>
        </w:rPr>
        <w:t>o stati sviluppati né domande di valutazione specifiche del programma né indicatori specifici</w:t>
      </w:r>
      <w:r w:rsidRPr="00231DB0">
        <w:rPr>
          <w:highlight w:val="yellow"/>
        </w:rPr>
        <w:t xml:space="preserve"> </w:t>
      </w:r>
      <w:r w:rsidRPr="003726BE">
        <w:rPr>
          <w:highlight w:val="yellow"/>
        </w:rPr>
        <w:t>per LEADER</w:t>
      </w:r>
      <w:r>
        <w:rPr>
          <w:highlight w:val="yellow"/>
        </w:rPr>
        <w:t>, ma sono previst</w:t>
      </w:r>
      <w:r w:rsidR="00054B2D" w:rsidRPr="003726BE">
        <w:rPr>
          <w:highlight w:val="yellow"/>
        </w:rPr>
        <w:t xml:space="preserve">i dei temi di valutazione specifici, si potrà procedere a tale definizione in un secondo momento (cfr. capitolo 5.2.3 "Sviluppare elementi di valutazione specifici del PSR"). </w:t>
      </w:r>
    </w:p>
    <w:p w14:paraId="50577D2D" w14:textId="77777777" w:rsidR="00600A11" w:rsidRPr="003726BE" w:rsidRDefault="00600A11" w:rsidP="00673940">
      <w:pPr>
        <w:pStyle w:val="HStandard"/>
        <w:rPr>
          <w:rFonts w:cs="Arial"/>
          <w:highlight w:val="yellow"/>
        </w:rPr>
      </w:pPr>
      <w:r w:rsidRPr="003726BE">
        <w:rPr>
          <w:highlight w:val="yellow"/>
        </w:rPr>
        <w:t>Inoltre, le operazioni attuate ai sensi di ciascuna strategia CLLD verranno codificate nella banca dati delle operazioni a livello di GAL, consentendo la raccolta di dati e informazioni per la valutazione dei contributi di LEADER alle realizzazioni degli obiettivi, dei risultati e degli impatti del PSR, nonché dell'efficacia e dell'efficienza degli interventi dei PSR attuati tramite LEADER.</w:t>
      </w:r>
    </w:p>
    <w:p w14:paraId="476A08AE" w14:textId="77777777" w:rsidR="00054B2D" w:rsidRPr="003726BE" w:rsidRDefault="00054B2D" w:rsidP="00C147EB">
      <w:pPr>
        <w:pStyle w:val="HHeading5"/>
        <w:rPr>
          <w:rFonts w:cs="Arial"/>
          <w:highlight w:val="yellow"/>
        </w:rPr>
      </w:pPr>
      <w:r w:rsidRPr="003726BE">
        <w:rPr>
          <w:highlight w:val="yellow"/>
        </w:rPr>
        <w:t>Specificità dell'assistenza tecnica</w:t>
      </w:r>
    </w:p>
    <w:p w14:paraId="49DBD32D" w14:textId="77777777" w:rsidR="00054B2D" w:rsidRPr="003726BE" w:rsidRDefault="00054B2D" w:rsidP="00673940">
      <w:pPr>
        <w:pStyle w:val="HStandard"/>
        <w:rPr>
          <w:rFonts w:cs="Arial"/>
          <w:highlight w:val="yellow"/>
        </w:rPr>
      </w:pPr>
      <w:r w:rsidRPr="003726BE">
        <w:rPr>
          <w:highlight w:val="yellow"/>
        </w:rPr>
        <w:t>Qualora uno Stato membro abbia incluso nel piano di valutazione dei temi di valutazione che riguardano azioni soggette all'assistenza tecnica, questi argomenti possono essere accompagnati da DVSP chiaramente definite e indicatori specifici per programma correlati. Tuttavia, qualora questo non fosse il caso, gli elementi di cui sopra possono essere formulati in seguito. Il capitolo 5.2.3 "Sviluppare elementi di valutazione specifici del PSR" fornisce maggiori orientamenti a tale proposito.</w:t>
      </w:r>
    </w:p>
    <w:p w14:paraId="114148A1" w14:textId="77777777" w:rsidR="00054B2D" w:rsidRPr="003726BE" w:rsidRDefault="00054B2D" w:rsidP="00C147EB">
      <w:pPr>
        <w:pStyle w:val="HHeading5"/>
        <w:rPr>
          <w:rFonts w:cs="Arial"/>
          <w:highlight w:val="yellow"/>
        </w:rPr>
      </w:pPr>
      <w:r w:rsidRPr="003726BE">
        <w:rPr>
          <w:highlight w:val="yellow"/>
        </w:rPr>
        <w:t xml:space="preserve">Specificità della RRN </w:t>
      </w:r>
    </w:p>
    <w:p w14:paraId="108C15D1" w14:textId="77777777" w:rsidR="00706AC9" w:rsidRPr="003726BE" w:rsidRDefault="00054B2D" w:rsidP="00673940">
      <w:pPr>
        <w:pStyle w:val="HStandard"/>
        <w:rPr>
          <w:rFonts w:cs="Arial"/>
          <w:highlight w:val="yellow"/>
        </w:rPr>
      </w:pPr>
      <w:r w:rsidRPr="003726BE">
        <w:rPr>
          <w:highlight w:val="yellow"/>
        </w:rPr>
        <w:t xml:space="preserve">Una situazione simile si applica agli elementi di valutazione comuni per la valutazione della RRN. Esiste solo una domanda di valutazione comune per le RRN: "In che misura la rete rurale nazionale </w:t>
      </w:r>
      <w:r w:rsidRPr="003726BE">
        <w:rPr>
          <w:highlight w:val="yellow"/>
        </w:rPr>
        <w:lastRenderedPageBreak/>
        <w:t>ha contribuito al conseguimento degli obiettivi di cui all'articolo 54, paragrafo 2, del regolamento (UE) n. 1305/2013?" Questa domanda di valutazione è supportata da tre indicatori comuni</w:t>
      </w:r>
      <w:r w:rsidRPr="003726BE">
        <w:rPr>
          <w:b/>
          <w:i/>
          <w:color w:val="6F6F6F" w:themeColor="text1"/>
          <w:highlight w:val="yellow"/>
          <w:vertAlign w:val="superscript"/>
        </w:rPr>
        <w:footnoteReference w:id="47"/>
      </w:r>
      <w:r w:rsidRPr="003726BE">
        <w:rPr>
          <w:highlight w:val="yellow"/>
        </w:rPr>
        <w:t xml:space="preserve">: </w:t>
      </w:r>
    </w:p>
    <w:tbl>
      <w:tblPr>
        <w:tblStyle w:val="TableGrid"/>
        <w:tblW w:w="0" w:type="auto"/>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5949"/>
        <w:gridCol w:w="1701"/>
      </w:tblGrid>
      <w:tr w:rsidR="00054B2D" w:rsidRPr="003726BE" w14:paraId="382F3561" w14:textId="77777777" w:rsidTr="0001223C">
        <w:trPr>
          <w:jc w:val="center"/>
        </w:trPr>
        <w:tc>
          <w:tcPr>
            <w:tcW w:w="5949" w:type="dxa"/>
            <w:shd w:val="clear" w:color="auto" w:fill="F07E31" w:themeFill="background2"/>
          </w:tcPr>
          <w:p w14:paraId="692DB7C8" w14:textId="77777777" w:rsidR="00054B2D" w:rsidRPr="003726BE" w:rsidRDefault="00054B2D" w:rsidP="009B2D49">
            <w:pPr>
              <w:pStyle w:val="Htableleftbolt"/>
              <w:rPr>
                <w:rFonts w:cs="Arial"/>
                <w:color w:val="FFFFFF" w:themeColor="accent1"/>
                <w:highlight w:val="yellow"/>
              </w:rPr>
            </w:pPr>
            <w:r w:rsidRPr="003726BE">
              <w:rPr>
                <w:color w:val="FFFFFF" w:themeColor="accent1"/>
                <w:highlight w:val="yellow"/>
              </w:rPr>
              <w:t>Indicatore</w:t>
            </w:r>
          </w:p>
        </w:tc>
        <w:tc>
          <w:tcPr>
            <w:tcW w:w="1701" w:type="dxa"/>
            <w:shd w:val="clear" w:color="auto" w:fill="F07E31" w:themeFill="background2"/>
          </w:tcPr>
          <w:p w14:paraId="19F07117" w14:textId="77777777" w:rsidR="00054B2D" w:rsidRPr="003726BE" w:rsidRDefault="00054B2D" w:rsidP="0053585B">
            <w:pPr>
              <w:pStyle w:val="Htableleftbolt"/>
              <w:jc w:val="center"/>
              <w:rPr>
                <w:rFonts w:cs="Arial"/>
                <w:color w:val="FFFFFF" w:themeColor="accent1"/>
                <w:highlight w:val="yellow"/>
              </w:rPr>
            </w:pPr>
            <w:r w:rsidRPr="003726BE">
              <w:rPr>
                <w:color w:val="FFFFFF" w:themeColor="accent1"/>
                <w:highlight w:val="yellow"/>
              </w:rPr>
              <w:t>Prodotto</w:t>
            </w:r>
          </w:p>
        </w:tc>
      </w:tr>
      <w:tr w:rsidR="00054B2D" w:rsidRPr="003726BE" w14:paraId="208148A8" w14:textId="77777777" w:rsidTr="0001223C">
        <w:trPr>
          <w:jc w:val="center"/>
        </w:trPr>
        <w:tc>
          <w:tcPr>
            <w:tcW w:w="5949" w:type="dxa"/>
            <w:shd w:val="clear" w:color="auto" w:fill="auto"/>
          </w:tcPr>
          <w:p w14:paraId="061FA2A8" w14:textId="77777777" w:rsidR="00054B2D" w:rsidRPr="003726BE" w:rsidRDefault="00054B2D" w:rsidP="009B2D49">
            <w:pPr>
              <w:pStyle w:val="Htableleft"/>
              <w:rPr>
                <w:rFonts w:cs="Arial"/>
                <w:highlight w:val="yellow"/>
              </w:rPr>
            </w:pPr>
            <w:r w:rsidRPr="003726BE">
              <w:rPr>
                <w:highlight w:val="yellow"/>
              </w:rPr>
              <w:t>Numero di scambi tematici e analitici istituiti con il sostegno della RRN</w:t>
            </w:r>
          </w:p>
        </w:tc>
        <w:tc>
          <w:tcPr>
            <w:tcW w:w="1701" w:type="dxa"/>
            <w:shd w:val="clear" w:color="auto" w:fill="auto"/>
          </w:tcPr>
          <w:p w14:paraId="06AFC766" w14:textId="77777777" w:rsidR="00054B2D" w:rsidRPr="003726BE" w:rsidRDefault="00054B2D" w:rsidP="0053585B">
            <w:pPr>
              <w:pStyle w:val="Htableleft"/>
              <w:jc w:val="center"/>
              <w:rPr>
                <w:rFonts w:cs="Arial"/>
                <w:highlight w:val="yellow"/>
              </w:rPr>
            </w:pPr>
            <w:r w:rsidRPr="003726BE">
              <w:rPr>
                <w:highlight w:val="yellow"/>
              </w:rPr>
              <w:t>O24</w:t>
            </w:r>
          </w:p>
        </w:tc>
      </w:tr>
      <w:tr w:rsidR="00054B2D" w:rsidRPr="003726BE" w14:paraId="7F26944B" w14:textId="77777777" w:rsidTr="0001223C">
        <w:trPr>
          <w:jc w:val="center"/>
        </w:trPr>
        <w:tc>
          <w:tcPr>
            <w:tcW w:w="5949" w:type="dxa"/>
            <w:shd w:val="clear" w:color="auto" w:fill="auto"/>
          </w:tcPr>
          <w:p w14:paraId="1ACD1C24" w14:textId="77777777" w:rsidR="00054B2D" w:rsidRPr="003726BE" w:rsidRDefault="00054B2D" w:rsidP="009B2D49">
            <w:pPr>
              <w:pStyle w:val="Htableleft"/>
              <w:rPr>
                <w:rFonts w:cs="Arial"/>
                <w:highlight w:val="yellow"/>
              </w:rPr>
            </w:pPr>
            <w:r w:rsidRPr="003726BE">
              <w:rPr>
                <w:highlight w:val="yellow"/>
              </w:rPr>
              <w:t xml:space="preserve">Numero di strumenti di comunicazione della RRN </w:t>
            </w:r>
          </w:p>
        </w:tc>
        <w:tc>
          <w:tcPr>
            <w:tcW w:w="1701" w:type="dxa"/>
            <w:shd w:val="clear" w:color="auto" w:fill="auto"/>
          </w:tcPr>
          <w:p w14:paraId="49BD5304" w14:textId="77777777" w:rsidR="00054B2D" w:rsidRPr="003726BE" w:rsidRDefault="00054B2D" w:rsidP="0053585B">
            <w:pPr>
              <w:pStyle w:val="Htableleft"/>
              <w:jc w:val="center"/>
              <w:rPr>
                <w:rFonts w:cs="Arial"/>
                <w:highlight w:val="yellow"/>
              </w:rPr>
            </w:pPr>
            <w:r w:rsidRPr="003726BE">
              <w:rPr>
                <w:highlight w:val="yellow"/>
              </w:rPr>
              <w:t>O25</w:t>
            </w:r>
          </w:p>
        </w:tc>
      </w:tr>
      <w:tr w:rsidR="00054B2D" w:rsidRPr="003726BE" w14:paraId="22768696" w14:textId="77777777" w:rsidTr="0001223C">
        <w:trPr>
          <w:jc w:val="center"/>
        </w:trPr>
        <w:tc>
          <w:tcPr>
            <w:tcW w:w="5949" w:type="dxa"/>
            <w:shd w:val="clear" w:color="auto" w:fill="auto"/>
          </w:tcPr>
          <w:p w14:paraId="06140B45" w14:textId="77777777" w:rsidR="00054B2D" w:rsidRPr="003726BE" w:rsidRDefault="00054B2D" w:rsidP="009B2D49">
            <w:pPr>
              <w:pStyle w:val="Htableleft"/>
              <w:rPr>
                <w:rFonts w:cs="Arial"/>
                <w:highlight w:val="yellow"/>
              </w:rPr>
            </w:pPr>
            <w:r w:rsidRPr="003726BE">
              <w:rPr>
                <w:highlight w:val="yellow"/>
              </w:rPr>
              <w:t xml:space="preserve">Numero di attività della RESR alle quali ha partecipato la RRN </w:t>
            </w:r>
          </w:p>
        </w:tc>
        <w:tc>
          <w:tcPr>
            <w:tcW w:w="1701" w:type="dxa"/>
            <w:shd w:val="clear" w:color="auto" w:fill="auto"/>
          </w:tcPr>
          <w:p w14:paraId="4A00F9A8" w14:textId="77777777" w:rsidR="00054B2D" w:rsidRPr="003726BE" w:rsidRDefault="00054B2D" w:rsidP="0053585B">
            <w:pPr>
              <w:pStyle w:val="Htableleft"/>
              <w:jc w:val="center"/>
              <w:rPr>
                <w:rFonts w:cs="Arial"/>
                <w:highlight w:val="yellow"/>
              </w:rPr>
            </w:pPr>
            <w:r w:rsidRPr="003726BE">
              <w:rPr>
                <w:highlight w:val="yellow"/>
              </w:rPr>
              <w:t>O26</w:t>
            </w:r>
          </w:p>
        </w:tc>
      </w:tr>
    </w:tbl>
    <w:p w14:paraId="3815F931" w14:textId="77777777" w:rsidR="000725F3" w:rsidRPr="003726BE" w:rsidRDefault="00CC2322" w:rsidP="009C30A3">
      <w:pPr>
        <w:pStyle w:val="HStandard"/>
        <w:spacing w:before="120"/>
        <w:rPr>
          <w:rFonts w:cs="Arial"/>
          <w:highlight w:val="yellow"/>
        </w:rPr>
      </w:pPr>
      <w:r w:rsidRPr="003726BE">
        <w:rPr>
          <w:highlight w:val="yellow"/>
        </w:rPr>
        <w:t xml:space="preserve">A causa del numero limitato di elementi di valutazione comuni, gli Stati membri sono invitati a definire indicatori aggiuntivi che permetteranno di rispondere a questa domanda di valutazione comune relativa alla RRN. Se </w:t>
      </w:r>
      <w:r w:rsidR="00231DB0">
        <w:rPr>
          <w:highlight w:val="yellow"/>
        </w:rPr>
        <w:t>lo</w:t>
      </w:r>
      <w:r w:rsidRPr="003726BE">
        <w:rPr>
          <w:highlight w:val="yellow"/>
        </w:rPr>
        <w:t xml:space="preserve"> desidera</w:t>
      </w:r>
      <w:r w:rsidR="00231DB0">
        <w:rPr>
          <w:highlight w:val="yellow"/>
        </w:rPr>
        <w:t>no</w:t>
      </w:r>
      <w:r w:rsidRPr="003726BE">
        <w:rPr>
          <w:highlight w:val="yellow"/>
        </w:rPr>
        <w:t>, gli Sta</w:t>
      </w:r>
      <w:r w:rsidR="00231DB0">
        <w:rPr>
          <w:highlight w:val="yellow"/>
        </w:rPr>
        <w:t>ti membri possono inoltre elabor</w:t>
      </w:r>
      <w:r w:rsidRPr="003726BE">
        <w:rPr>
          <w:highlight w:val="yellow"/>
        </w:rPr>
        <w:t xml:space="preserve">are ulteriori domande di valutazione specifiche del programma relative alla RRN e indicatori specifici per programma per rispondere alle stesse. </w:t>
      </w:r>
    </w:p>
    <w:p w14:paraId="3E059854" w14:textId="77777777" w:rsidR="00054B2D" w:rsidRPr="003726BE" w:rsidRDefault="000725F3" w:rsidP="00673940">
      <w:pPr>
        <w:pStyle w:val="HStandard"/>
        <w:rPr>
          <w:rFonts w:cs="Arial"/>
          <w:highlight w:val="yellow"/>
        </w:rPr>
      </w:pPr>
      <w:r w:rsidRPr="003726BE">
        <w:rPr>
          <w:highlight w:val="yellow"/>
        </w:rPr>
        <w:t>Risulta evidente che si dovrebbero sviluppare domande di valutazione specifiche del programma e indicatori specifici per programma (ivi inclusi indicatori di risultato e di impatto) per i PRRN in modo da misurare il valore aggiunto atteso. In maniera analoga a LEADER, tutti gli indicatori specifici per programma dovrebbero essere sviluppati sotto forma di schede degli indicatori (cfr. capitolo 5.2.3 "Sviluppare elementi di valutazione specifici del PSR").</w:t>
      </w:r>
    </w:p>
    <w:p w14:paraId="77B1ABF3" w14:textId="77777777" w:rsidR="00054B2D" w:rsidRPr="003726BE" w:rsidRDefault="00054B2D" w:rsidP="00C147EB">
      <w:pPr>
        <w:pStyle w:val="HHeading5"/>
        <w:rPr>
          <w:rFonts w:cs="Arial"/>
          <w:highlight w:val="yellow"/>
        </w:rPr>
      </w:pPr>
      <w:r w:rsidRPr="003726BE">
        <w:rPr>
          <w:highlight w:val="yellow"/>
        </w:rPr>
        <w:t>Per saperne di più</w:t>
      </w:r>
    </w:p>
    <w:p w14:paraId="761E7685" w14:textId="77777777" w:rsidR="009B2D49" w:rsidRPr="003726BE" w:rsidRDefault="009B2D49" w:rsidP="009B2D49">
      <w:pPr>
        <w:pStyle w:val="HBox"/>
        <w:rPr>
          <w:rFonts w:cs="Arial"/>
          <w:highlight w:val="yellow"/>
        </w:rPr>
      </w:pPr>
      <w:r w:rsidRPr="003726BE">
        <w:rPr>
          <w:i/>
          <w:highlight w:val="yellow"/>
        </w:rPr>
        <w:t>Getting the most of your RDP: guidelines for the ex ante evaluation of 2014-2020 RDPs</w:t>
      </w:r>
      <w:r w:rsidRPr="003726BE">
        <w:rPr>
          <w:highlight w:val="yellow"/>
        </w:rPr>
        <w:t xml:space="preserve"> [Come mettere a frutto i PSR: linee guida per la valutazione ex ante dei PSR 2014-2020] (in inglese) PARTE II, capitolo 3, collegamento (da aggiungere dopo la pubblicazione sul web della versione rivista).</w:t>
      </w:r>
    </w:p>
    <w:p w14:paraId="09B5C63A" w14:textId="77777777" w:rsidR="009B2D49" w:rsidRPr="003726BE" w:rsidRDefault="009B2D49" w:rsidP="009B2D49">
      <w:pPr>
        <w:pStyle w:val="HBox"/>
        <w:rPr>
          <w:rFonts w:cs="Arial"/>
          <w:color w:val="546393" w:themeColor="accent3"/>
          <w:highlight w:val="yellow"/>
        </w:rPr>
      </w:pPr>
      <w:r w:rsidRPr="003726BE">
        <w:rPr>
          <w:i/>
          <w:highlight w:val="yellow"/>
        </w:rPr>
        <w:t>Capturing the success of your RDP: Guidelines for the ex post evaluation of 2007-2013 RDPs</w:t>
      </w:r>
      <w:r w:rsidRPr="003726BE">
        <w:rPr>
          <w:highlight w:val="yellow"/>
        </w:rPr>
        <w:t xml:space="preserve"> [Rilevamento del successo del proprio PSR: linee guida per la valutazione </w:t>
      </w:r>
      <w:r w:rsidRPr="003726BE">
        <w:rPr>
          <w:i/>
          <w:highlight w:val="yellow"/>
        </w:rPr>
        <w:t>ex post</w:t>
      </w:r>
      <w:r w:rsidRPr="003726BE">
        <w:rPr>
          <w:highlight w:val="yellow"/>
        </w:rPr>
        <w:t xml:space="preserve"> dei PSR per il periodo 2007-2013] (in inglese), PARTE II, capitolo 1, 2 e 3, collegamento: </w:t>
      </w:r>
      <w:r w:rsidRPr="003726BE">
        <w:rPr>
          <w:rStyle w:val="Hyperlink"/>
          <w:highlight w:val="yellow"/>
        </w:rPr>
        <w:t>http://enrd.ec.europa.eu/enrd-static/evaluation/library/evaluation-helpdesk-publications/en/evaluation-helpdesk-publications_en.html.</w:t>
      </w:r>
    </w:p>
    <w:p w14:paraId="1D8266EE" w14:textId="77777777" w:rsidR="009B2D49" w:rsidRPr="003726BE" w:rsidRDefault="009B2D49" w:rsidP="009B2D49">
      <w:pPr>
        <w:pStyle w:val="HBox"/>
        <w:rPr>
          <w:rFonts w:cs="Arial"/>
          <w:highlight w:val="yellow"/>
        </w:rPr>
      </w:pPr>
      <w:r w:rsidRPr="003726BE">
        <w:rPr>
          <w:highlight w:val="yellow"/>
        </w:rPr>
        <w:t xml:space="preserve">Documento di lavoro: </w:t>
      </w:r>
      <w:r w:rsidRPr="003726BE">
        <w:rPr>
          <w:i/>
          <w:highlight w:val="yellow"/>
        </w:rPr>
        <w:t>Common Evaluation Questions for rural development programmes 2014-2020</w:t>
      </w:r>
      <w:r w:rsidRPr="003726BE">
        <w:rPr>
          <w:highlight w:val="yellow"/>
        </w:rPr>
        <w:t xml:space="preserve"> [Questionario valutativo comune per programmi di sviluppo rurale 2014-2020] (in inglese), collegamento: </w:t>
      </w:r>
      <w:hyperlink r:id="rId42" w:history="1">
        <w:r w:rsidR="00E97B0C" w:rsidRPr="00E97B0C">
          <w:rPr>
            <w:rStyle w:val="Hyperlink"/>
            <w:highlight w:val="yellow"/>
          </w:rPr>
          <w:t>http://enrd.ec.europa.eu/evaluation/publications/e-library_en</w:t>
        </w:r>
      </w:hyperlink>
      <w:r w:rsidRPr="003726BE">
        <w:rPr>
          <w:rStyle w:val="Hyperlink"/>
          <w:highlight w:val="yellow"/>
        </w:rPr>
        <w:t xml:space="preserve">. </w:t>
      </w:r>
    </w:p>
    <w:p w14:paraId="2EB3735B" w14:textId="77777777" w:rsidR="009B2D49" w:rsidRPr="003726BE" w:rsidRDefault="009B2D49" w:rsidP="009B2D49">
      <w:pPr>
        <w:pStyle w:val="HBox"/>
        <w:rPr>
          <w:rFonts w:cs="Arial"/>
          <w:highlight w:val="yellow"/>
        </w:rPr>
      </w:pPr>
      <w:r w:rsidRPr="003726BE">
        <w:rPr>
          <w:highlight w:val="yellow"/>
        </w:rPr>
        <w:t xml:space="preserve">Documento di lavoro: </w:t>
      </w:r>
      <w:r w:rsidRPr="003726BE">
        <w:rPr>
          <w:i/>
          <w:highlight w:val="yellow"/>
        </w:rPr>
        <w:t>Common context indicators fiches</w:t>
      </w:r>
      <w:r w:rsidRPr="003726BE">
        <w:rPr>
          <w:highlight w:val="yellow"/>
        </w:rPr>
        <w:t xml:space="preserve"> [Schede indicatori comuni di contesto] (in inglese). </w:t>
      </w:r>
    </w:p>
    <w:p w14:paraId="355D3B0F" w14:textId="77777777" w:rsidR="009B2D49" w:rsidRPr="003726BE" w:rsidRDefault="009B2D49" w:rsidP="009B2D49">
      <w:pPr>
        <w:pStyle w:val="HBox"/>
        <w:rPr>
          <w:rFonts w:cs="Arial"/>
          <w:highlight w:val="yellow"/>
        </w:rPr>
      </w:pPr>
      <w:r w:rsidRPr="003726BE">
        <w:rPr>
          <w:highlight w:val="yellow"/>
        </w:rPr>
        <w:t xml:space="preserve">Documento di lavoro: </w:t>
      </w:r>
      <w:r w:rsidRPr="003726BE">
        <w:rPr>
          <w:i/>
          <w:highlight w:val="yellow"/>
        </w:rPr>
        <w:t>Impact indicators fiches</w:t>
      </w:r>
      <w:r w:rsidRPr="003726BE">
        <w:rPr>
          <w:highlight w:val="yellow"/>
        </w:rPr>
        <w:t xml:space="preserve"> [Schede indicatori di impatto] (in inglese).</w:t>
      </w:r>
    </w:p>
    <w:p w14:paraId="54AF6F7C" w14:textId="77777777" w:rsidR="009B2D49" w:rsidRPr="003726BE" w:rsidRDefault="009B2D49" w:rsidP="009B2D49">
      <w:pPr>
        <w:pStyle w:val="HBox"/>
        <w:rPr>
          <w:rFonts w:cs="Arial"/>
          <w:highlight w:val="yellow"/>
        </w:rPr>
      </w:pPr>
      <w:r w:rsidRPr="003726BE">
        <w:rPr>
          <w:highlight w:val="yellow"/>
        </w:rPr>
        <w:t>Documento di lavoro:</w:t>
      </w:r>
      <w:r w:rsidRPr="003726BE">
        <w:rPr>
          <w:i/>
          <w:highlight w:val="yellow"/>
        </w:rPr>
        <w:t xml:space="preserve"> Target indicators fiches for Pillar II</w:t>
      </w:r>
      <w:r w:rsidRPr="003726BE">
        <w:rPr>
          <w:highlight w:val="yellow"/>
        </w:rPr>
        <w:t xml:space="preserve"> [indicatori di obiettivo per il pilastro II] (in inglese).</w:t>
      </w:r>
    </w:p>
    <w:p w14:paraId="6954DB5C" w14:textId="77777777" w:rsidR="009B2D49" w:rsidRPr="003726BE" w:rsidRDefault="009B2D49" w:rsidP="009B2D49">
      <w:pPr>
        <w:pStyle w:val="HBox"/>
        <w:rPr>
          <w:rFonts w:cs="Arial"/>
          <w:highlight w:val="yellow"/>
        </w:rPr>
      </w:pPr>
      <w:r w:rsidRPr="003726BE">
        <w:rPr>
          <w:highlight w:val="yellow"/>
        </w:rPr>
        <w:t xml:space="preserve">Documento di lavoro: </w:t>
      </w:r>
      <w:r w:rsidRPr="003726BE">
        <w:rPr>
          <w:i/>
          <w:highlight w:val="yellow"/>
        </w:rPr>
        <w:t>Complementary result indicators fiches for Pillar II</w:t>
      </w:r>
      <w:r w:rsidRPr="003726BE">
        <w:rPr>
          <w:highlight w:val="yellow"/>
        </w:rPr>
        <w:t xml:space="preserve"> [Indicatori di risultato complementari per il pilastro II] (in inglese).</w:t>
      </w:r>
    </w:p>
    <w:p w14:paraId="7770472A" w14:textId="77777777" w:rsidR="00DC76BE" w:rsidRPr="003726BE" w:rsidRDefault="009B2D49" w:rsidP="009B2D49">
      <w:pPr>
        <w:pStyle w:val="HBox"/>
        <w:rPr>
          <w:rFonts w:cs="Arial"/>
          <w:highlight w:val="yellow"/>
        </w:rPr>
      </w:pPr>
      <w:r w:rsidRPr="003726BE">
        <w:rPr>
          <w:highlight w:val="yellow"/>
        </w:rPr>
        <w:t xml:space="preserve">Documento di lavoro: </w:t>
      </w:r>
      <w:r w:rsidRPr="003726BE">
        <w:rPr>
          <w:i/>
          <w:highlight w:val="yellow"/>
        </w:rPr>
        <w:t>Data items list for Pillar II operations database (Outputs and targets)</w:t>
      </w:r>
      <w:r w:rsidRPr="003726BE">
        <w:rPr>
          <w:highlight w:val="yellow"/>
        </w:rPr>
        <w:t xml:space="preserve"> [Elenco delle voci di dati per la banca dati delle operazioni del Pilastro II (prodotti e obiettivi)] (in inglese). </w:t>
      </w:r>
    </w:p>
    <w:p w14:paraId="296701EE" w14:textId="77777777" w:rsidR="009B2D49" w:rsidRPr="003726BE" w:rsidRDefault="00A14FF8" w:rsidP="009B2D49">
      <w:pPr>
        <w:pStyle w:val="HBox"/>
        <w:rPr>
          <w:rFonts w:cs="Arial"/>
          <w:highlight w:val="yellow"/>
        </w:rPr>
      </w:pPr>
      <w:r w:rsidRPr="003726BE">
        <w:rPr>
          <w:highlight w:val="yellow"/>
        </w:rPr>
        <w:t xml:space="preserve">Documento di lavoro: </w:t>
      </w:r>
      <w:r w:rsidRPr="003726BE">
        <w:rPr>
          <w:i/>
          <w:highlight w:val="yellow"/>
        </w:rPr>
        <w:t>Rural Development Monitoring (2014-2020)-Implementation Report Tables</w:t>
      </w:r>
      <w:r w:rsidRPr="003726BE">
        <w:rPr>
          <w:highlight w:val="yellow"/>
        </w:rPr>
        <w:t xml:space="preserve"> [Monitoraggio dello sviluppo rurale (2014-2020) - tabelle di comunicazione sull'attuazione] (in inglese).</w:t>
      </w:r>
    </w:p>
    <w:p w14:paraId="6FC1E20C" w14:textId="77777777" w:rsidR="00054B2D" w:rsidRPr="003726BE" w:rsidRDefault="009B2D49" w:rsidP="009B2D49">
      <w:pPr>
        <w:pStyle w:val="HBox"/>
        <w:rPr>
          <w:rFonts w:cs="Arial"/>
          <w:highlight w:val="yellow"/>
        </w:rPr>
      </w:pPr>
      <w:r w:rsidRPr="003726BE">
        <w:rPr>
          <w:highlight w:val="yellow"/>
        </w:rPr>
        <w:lastRenderedPageBreak/>
        <w:t xml:space="preserve">Documento di lavoro: </w:t>
      </w:r>
      <w:r w:rsidRPr="003726BE">
        <w:rPr>
          <w:i/>
          <w:highlight w:val="yellow"/>
        </w:rPr>
        <w:t>Rural development programming and target setting (2014-2020)</w:t>
      </w:r>
      <w:r w:rsidRPr="003726BE">
        <w:rPr>
          <w:highlight w:val="yellow"/>
        </w:rPr>
        <w:t xml:space="preserve"> [Programmazione dello sviluppo rurale e definizione degli obiettivi (2014-2020)] (in inglese).</w:t>
      </w:r>
    </w:p>
    <w:p w14:paraId="7C09D759" w14:textId="77777777" w:rsidR="009B2D49" w:rsidRPr="003726BE" w:rsidRDefault="009B2D49" w:rsidP="009B2D49">
      <w:pPr>
        <w:pStyle w:val="HHeading3"/>
        <w:rPr>
          <w:rFonts w:cs="Arial"/>
          <w:highlight w:val="yellow"/>
        </w:rPr>
      </w:pPr>
      <w:bookmarkStart w:id="65" w:name="_Toc460936112"/>
      <w:bookmarkStart w:id="66" w:name="_Toc474132152"/>
      <w:r w:rsidRPr="003726BE">
        <w:rPr>
          <w:highlight w:val="yellow"/>
        </w:rPr>
        <w:t>Verifica della coerenza delle domande di valutazione e degli indicatori con la logica di intervento della RRN.</w:t>
      </w:r>
      <w:bookmarkEnd w:id="65"/>
      <w:bookmarkEnd w:id="66"/>
      <w:r w:rsidRPr="003726BE">
        <w:rPr>
          <w:highlight w:val="yellow"/>
        </w:rPr>
        <w:t xml:space="preserve"> </w:t>
      </w:r>
    </w:p>
    <w:tbl>
      <w:tblPr>
        <w:tblStyle w:val="TableGrid"/>
        <w:tblW w:w="9071" w:type="dxa"/>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9071"/>
      </w:tblGrid>
      <w:tr w:rsidR="000B7EBA" w:rsidRPr="003726BE" w14:paraId="6C6CEC34" w14:textId="77777777" w:rsidTr="004E4415">
        <w:trPr>
          <w:jc w:val="center"/>
        </w:trPr>
        <w:tc>
          <w:tcPr>
            <w:tcW w:w="9071" w:type="dxa"/>
            <w:tcBorders>
              <w:bottom w:val="single" w:sz="4" w:space="0" w:color="6F6F6F" w:themeColor="text1"/>
            </w:tcBorders>
            <w:shd w:val="clear" w:color="auto" w:fill="F6B183" w:themeFill="background2" w:themeFillTint="99"/>
          </w:tcPr>
          <w:p w14:paraId="20976E3D" w14:textId="77777777" w:rsidR="005C5343" w:rsidRPr="003726BE" w:rsidRDefault="005C5343">
            <w:pPr>
              <w:pStyle w:val="HStandard"/>
              <w:rPr>
                <w:rFonts w:cs="Arial"/>
                <w:highlight w:val="yellow"/>
              </w:rPr>
            </w:pPr>
            <w:r w:rsidRPr="003726BE">
              <w:rPr>
                <w:highlight w:val="yellow"/>
              </w:rPr>
              <w:t>Per rispondere correttamente alle domande del questionario valutativo comune e alle domande di valutazione specifiche del programma, in linea con i corrispondenti criteri di giudizio, è necessario assicurare la coerenza delle stesse con la logica di intervento e gli indicatori. La valutazione della coerenza orizzontale e verticale tra gli obiettivi, le domande di valutazione e gli indicatori contribuisce a facilitare il giudizio in merito all'adeguatezza degli indicatori e criteri di giudizio definiti per misurare i risultati conseguiti rispetto agli obiettivi e per rispondere alle domande di valutazione stesse. Inoltre, questa fase contribuisce all'individuazione di potenziali lacune e modalità per superarle.</w:t>
            </w:r>
          </w:p>
        </w:tc>
      </w:tr>
      <w:tr w:rsidR="005C5343" w:rsidRPr="003726BE" w14:paraId="36774B24" w14:textId="77777777" w:rsidTr="004E4415">
        <w:trPr>
          <w:jc w:val="center"/>
        </w:trPr>
        <w:tc>
          <w:tcPr>
            <w:tcW w:w="9071" w:type="dxa"/>
            <w:shd w:val="clear" w:color="auto" w:fill="FCE5D5" w:themeFill="background2" w:themeFillTint="33"/>
          </w:tcPr>
          <w:p w14:paraId="29AE8320" w14:textId="77777777" w:rsidR="005C5343" w:rsidRPr="003726BE" w:rsidRDefault="005C5343" w:rsidP="00C147EB">
            <w:pPr>
              <w:pStyle w:val="HHeading5"/>
              <w:rPr>
                <w:rFonts w:cs="Arial"/>
                <w:highlight w:val="yellow"/>
              </w:rPr>
            </w:pPr>
            <w:r w:rsidRPr="003726BE">
              <w:rPr>
                <w:highlight w:val="yellow"/>
              </w:rPr>
              <w:t xml:space="preserve">Fasi di lavoro raccomandate </w:t>
            </w:r>
          </w:p>
          <w:p w14:paraId="26E91C66" w14:textId="77777777" w:rsidR="005C5343" w:rsidRPr="003726BE" w:rsidRDefault="000725F3" w:rsidP="00673940">
            <w:pPr>
              <w:pStyle w:val="Hlistbullet"/>
              <w:rPr>
                <w:rFonts w:cs="Arial"/>
                <w:highlight w:val="yellow"/>
              </w:rPr>
            </w:pPr>
            <w:r w:rsidRPr="003726BE">
              <w:rPr>
                <w:b/>
                <w:highlight w:val="yellow"/>
              </w:rPr>
              <w:t xml:space="preserve">Riesaminare le risultanze </w:t>
            </w:r>
            <w:r w:rsidRPr="003726BE">
              <w:rPr>
                <w:b/>
                <w:i/>
                <w:highlight w:val="yellow"/>
              </w:rPr>
              <w:t>ex ante</w:t>
            </w:r>
            <w:r w:rsidRPr="003726BE">
              <w:rPr>
                <w:b/>
                <w:highlight w:val="yellow"/>
              </w:rPr>
              <w:t xml:space="preserve"> con riferimento alla coerenza tra obiettivi, domande di valutazione/criteri giudizio e indicatori del PSR:</w:t>
            </w:r>
            <w:r w:rsidRPr="003726BE">
              <w:rPr>
                <w:highlight w:val="yellow"/>
              </w:rPr>
              <w:t xml:space="preserve"> qualora si rilevino delle lacune, procedere adottando</w:t>
            </w:r>
            <w:r w:rsidR="00A844E1">
              <w:rPr>
                <w:highlight w:val="yellow"/>
              </w:rPr>
              <w:t xml:space="preserve"> le fasi di lavoro che seguono.</w:t>
            </w:r>
            <w:r w:rsidRPr="003726BE">
              <w:rPr>
                <w:highlight w:val="yellow"/>
              </w:rPr>
              <w:t xml:space="preserve"> </w:t>
            </w:r>
          </w:p>
          <w:p w14:paraId="57F32A41" w14:textId="77777777" w:rsidR="005C5343" w:rsidRPr="0078116C" w:rsidRDefault="005C5343" w:rsidP="00673940">
            <w:pPr>
              <w:pStyle w:val="Hlistbullet"/>
              <w:rPr>
                <w:rFonts w:cs="Arial"/>
                <w:highlight w:val="yellow"/>
              </w:rPr>
            </w:pPr>
            <w:r w:rsidRPr="003726BE">
              <w:rPr>
                <w:b/>
                <w:highlight w:val="yellow"/>
              </w:rPr>
              <w:t>Verificare la coerenza orizzontale tra obiettivi, domande di valutazione/criteri giudizio e indicatori del PSR:</w:t>
            </w:r>
            <w:r w:rsidRPr="003726BE">
              <w:rPr>
                <w:highlight w:val="yellow"/>
              </w:rPr>
              <w:t xml:space="preserve"> la coerenza triangolare tra obiettivi, domande di valutazione/criteri giudizio e indicatori dovrebbe essere ben definita a ogni livello della logica di intervento. Identificare eventuali lacune nella capacità della domanda di valutazione di rilevare gli effetti del PSR in termini di realizzazione dell'obiettivo, nonché nella capacità degli indicatori di rispondere alla domanda di valutazione. Proporre soluzioni per colmare le lacune. </w:t>
            </w:r>
            <w:r w:rsidRPr="0078116C">
              <w:rPr>
                <w:b/>
                <w:color w:val="F07E31" w:themeColor="background2"/>
                <w:highlight w:val="yellow"/>
              </w:rPr>
              <w:t>(</w:t>
            </w:r>
            <w:r w:rsidR="00673940" w:rsidRPr="003726BE">
              <w:rPr>
                <w:rFonts w:cs="Arial"/>
                <w:b/>
                <w:color w:val="F07E31" w:themeColor="background2"/>
                <w:highlight w:val="yellow"/>
              </w:rPr>
              <w:sym w:font="Wingdings" w:char="F0E0"/>
            </w:r>
            <w:r w:rsidRPr="0078116C">
              <w:rPr>
                <w:b/>
                <w:color w:val="F07E31" w:themeColor="background2"/>
                <w:highlight w:val="yellow"/>
              </w:rPr>
              <w:t xml:space="preserve"> </w:t>
            </w:r>
            <w:r w:rsidR="00B7004F" w:rsidRPr="003726BE">
              <w:rPr>
                <w:rFonts w:cs="Arial"/>
                <w:color w:val="F07E31" w:themeColor="background2"/>
                <w:highlight w:val="yellow"/>
              </w:rPr>
              <w:fldChar w:fldCharType="begin"/>
            </w:r>
            <w:r w:rsidR="00B7004F" w:rsidRPr="0078116C">
              <w:rPr>
                <w:rFonts w:cs="Arial"/>
                <w:color w:val="F07E31" w:themeColor="background2"/>
                <w:highlight w:val="yellow"/>
              </w:rPr>
              <w:instrText xml:space="preserve"> REF _Ref434764265 \w \h  \* MERGEFORMAT </w:instrText>
            </w:r>
            <w:r w:rsidR="00B7004F" w:rsidRPr="003726BE">
              <w:rPr>
                <w:rFonts w:cs="Arial"/>
                <w:color w:val="F07E31" w:themeColor="background2"/>
                <w:highlight w:val="yellow"/>
              </w:rPr>
            </w:r>
            <w:r w:rsidR="00B7004F" w:rsidRPr="003726BE">
              <w:rPr>
                <w:rFonts w:cs="Arial"/>
                <w:color w:val="F07E31" w:themeColor="background2"/>
                <w:highlight w:val="yellow"/>
              </w:rPr>
              <w:fldChar w:fldCharType="separate"/>
            </w:r>
            <w:r w:rsidR="00F8292E" w:rsidRPr="00F8292E">
              <w:rPr>
                <w:rFonts w:cs="Arial"/>
                <w:b/>
                <w:color w:val="F07E31" w:themeColor="background2"/>
                <w:highlight w:val="yellow"/>
                <w:cs/>
              </w:rPr>
              <w:t>‎</w:t>
            </w:r>
            <w:r w:rsidR="00F8292E" w:rsidRPr="0078116C">
              <w:rPr>
                <w:rFonts w:cs="Arial"/>
                <w:b/>
                <w:color w:val="F07E31" w:themeColor="background2"/>
                <w:highlight w:val="yellow"/>
              </w:rPr>
              <w:t xml:space="preserve">Strumento </w:t>
            </w:r>
            <w:r w:rsidR="00F8292E" w:rsidRPr="0078116C">
              <w:rPr>
                <w:rFonts w:cs="Arial"/>
                <w:color w:val="F07E31" w:themeColor="background2"/>
                <w:highlight w:val="yellow"/>
              </w:rPr>
              <w:t>1</w:t>
            </w:r>
            <w:r w:rsidR="00B7004F" w:rsidRPr="003726BE">
              <w:rPr>
                <w:rFonts w:cs="Arial"/>
                <w:color w:val="F07E31" w:themeColor="background2"/>
                <w:highlight w:val="yellow"/>
              </w:rPr>
              <w:fldChar w:fldCharType="end"/>
            </w:r>
            <w:r w:rsidRPr="0078116C">
              <w:rPr>
                <w:color w:val="F07E31" w:themeColor="background2"/>
                <w:highlight w:val="yellow"/>
              </w:rPr>
              <w:t>:</w:t>
            </w:r>
            <w:r w:rsidRPr="0078116C">
              <w:rPr>
                <w:b/>
                <w:color w:val="F07E31" w:themeColor="background2"/>
                <w:highlight w:val="yellow"/>
              </w:rPr>
              <w:t xml:space="preserve"> </w:t>
            </w:r>
            <w:r w:rsidR="00B7004F" w:rsidRPr="003726BE">
              <w:rPr>
                <w:rFonts w:cs="Arial"/>
                <w:color w:val="F07E31" w:themeColor="background2"/>
                <w:highlight w:val="yellow"/>
              </w:rPr>
              <w:fldChar w:fldCharType="begin"/>
            </w:r>
            <w:r w:rsidR="00B7004F" w:rsidRPr="0078116C">
              <w:rPr>
                <w:rFonts w:cs="Arial"/>
                <w:color w:val="F07E31" w:themeColor="background2"/>
                <w:highlight w:val="yellow"/>
              </w:rPr>
              <w:instrText xml:space="preserve"> REF _Ref434764265 \h  \* MERGEFORMAT </w:instrText>
            </w:r>
            <w:r w:rsidR="00B7004F" w:rsidRPr="003726BE">
              <w:rPr>
                <w:rFonts w:cs="Arial"/>
                <w:color w:val="F07E31" w:themeColor="background2"/>
                <w:highlight w:val="yellow"/>
              </w:rPr>
            </w:r>
            <w:r w:rsidR="00B7004F" w:rsidRPr="003726BE">
              <w:rPr>
                <w:rFonts w:cs="Arial"/>
                <w:color w:val="F07E31" w:themeColor="background2"/>
                <w:highlight w:val="yellow"/>
              </w:rPr>
              <w:fldChar w:fldCharType="separate"/>
            </w:r>
            <w:r w:rsidR="00336794" w:rsidRPr="0078116C">
              <w:rPr>
                <w:rFonts w:cs="Arial"/>
                <w:b/>
                <w:color w:val="F07E31" w:themeColor="background2"/>
                <w:highlight w:val="yellow"/>
              </w:rPr>
              <w:t>Matrix for checking horizontal consistency at the focus area level (example)</w:t>
            </w:r>
            <w:r w:rsidR="00B7004F" w:rsidRPr="003726BE">
              <w:rPr>
                <w:rFonts w:cs="Arial"/>
                <w:color w:val="F07E31" w:themeColor="background2"/>
                <w:highlight w:val="yellow"/>
              </w:rPr>
              <w:fldChar w:fldCharType="end"/>
            </w:r>
            <w:r w:rsidRPr="0078116C">
              <w:rPr>
                <w:b/>
                <w:color w:val="57825E" w:themeColor="accent4"/>
                <w:highlight w:val="yellow"/>
              </w:rPr>
              <w:t>.</w:t>
            </w:r>
            <w:r w:rsidRPr="0078116C">
              <w:rPr>
                <w:color w:val="8BAB80" w:themeColor="accent6"/>
                <w:highlight w:val="yellow"/>
              </w:rPr>
              <w:t xml:space="preserve"> </w:t>
            </w:r>
          </w:p>
          <w:p w14:paraId="26A8D81B" w14:textId="77777777" w:rsidR="005C5343" w:rsidRPr="003726BE" w:rsidRDefault="005C5343">
            <w:pPr>
              <w:pStyle w:val="Hlistbullet2"/>
              <w:rPr>
                <w:rFonts w:cs="Arial"/>
                <w:highlight w:val="yellow"/>
              </w:rPr>
            </w:pPr>
            <w:r w:rsidRPr="003726BE">
              <w:rPr>
                <w:b/>
                <w:highlight w:val="yellow"/>
              </w:rPr>
              <w:t>Esaminare la coerenza verticale nella gerarchia d</w:t>
            </w:r>
            <w:r w:rsidR="00231DB0">
              <w:rPr>
                <w:b/>
                <w:highlight w:val="yellow"/>
              </w:rPr>
              <w:t>egl</w:t>
            </w:r>
            <w:r w:rsidRPr="003726BE">
              <w:rPr>
                <w:b/>
                <w:highlight w:val="yellow"/>
              </w:rPr>
              <w:t xml:space="preserve">i obiettivi, </w:t>
            </w:r>
            <w:r w:rsidR="00231DB0">
              <w:rPr>
                <w:b/>
                <w:highlight w:val="yellow"/>
              </w:rPr>
              <w:t xml:space="preserve">delle </w:t>
            </w:r>
            <w:r w:rsidRPr="003726BE">
              <w:rPr>
                <w:b/>
                <w:highlight w:val="yellow"/>
              </w:rPr>
              <w:t xml:space="preserve">domande di valutazione e </w:t>
            </w:r>
            <w:r w:rsidR="00231DB0">
              <w:rPr>
                <w:b/>
                <w:highlight w:val="yellow"/>
              </w:rPr>
              <w:t xml:space="preserve">degli </w:t>
            </w:r>
            <w:r w:rsidRPr="003726BE">
              <w:rPr>
                <w:b/>
                <w:highlight w:val="yellow"/>
              </w:rPr>
              <w:t>indicatori:</w:t>
            </w:r>
            <w:r w:rsidRPr="003726BE">
              <w:rPr>
                <w:highlight w:val="yellow"/>
              </w:rPr>
              <w:t xml:space="preserve"> controllare se le risposte alle domande di valutazione di livello più basso (in relazione agli aspetti specifici) possono fornire informazioni utili e sufficienti sui risultati del programma, al fine di consentire la possibilità di rispondere alle domande di valutazione di livello superiore. Valutare se gli indicatori a livello inferiore forniscono prove sufficienti per condurre l'analisi a livello più elevato, ad esempio, verificare se gli indicatori di risultato comuni e specifici per programma proposti sono in grado di fornire informazioni sufficienti per valutare gli impatti del programma. Qualora si rilevino tali lacune, si dovrebbero fornire suggerimenti su come risolverle. </w:t>
            </w:r>
            <w:r w:rsidRPr="003726BE">
              <w:rPr>
                <w:b/>
                <w:color w:val="F07E31" w:themeColor="background2"/>
                <w:highlight w:val="yellow"/>
              </w:rPr>
              <w:t>(</w:t>
            </w:r>
            <w:r w:rsidR="00673940" w:rsidRPr="003726BE">
              <w:rPr>
                <w:rFonts w:cs="Arial"/>
                <w:b/>
                <w:color w:val="F07E31" w:themeColor="background2"/>
                <w:highlight w:val="yellow"/>
              </w:rPr>
              <w:sym w:font="Wingdings" w:char="F0E0"/>
            </w:r>
            <w:r w:rsidRPr="003726BE">
              <w:rPr>
                <w:b/>
                <w:color w:val="F07E31" w:themeColor="background2"/>
                <w:highlight w:val="yellow"/>
              </w:rPr>
              <w:t xml:space="preserve"> </w:t>
            </w:r>
            <w:r w:rsidR="00B7004F" w:rsidRPr="003726BE">
              <w:rPr>
                <w:rFonts w:cs="Arial"/>
                <w:color w:val="F07E31" w:themeColor="background2"/>
                <w:highlight w:val="yellow"/>
              </w:rPr>
              <w:fldChar w:fldCharType="begin"/>
            </w:r>
            <w:r w:rsidR="00B7004F" w:rsidRPr="003726BE">
              <w:rPr>
                <w:rFonts w:cs="Arial"/>
                <w:color w:val="F07E31" w:themeColor="background2"/>
                <w:highlight w:val="yellow"/>
              </w:rPr>
              <w:instrText xml:space="preserve"> REF _Ref434764342 \w \h  \* MERGEFORMAT </w:instrText>
            </w:r>
            <w:r w:rsidR="00B7004F" w:rsidRPr="003726BE">
              <w:rPr>
                <w:rFonts w:cs="Arial"/>
                <w:color w:val="F07E31" w:themeColor="background2"/>
                <w:highlight w:val="yellow"/>
              </w:rPr>
            </w:r>
            <w:r w:rsidR="00B7004F" w:rsidRPr="003726BE">
              <w:rPr>
                <w:rFonts w:cs="Arial"/>
                <w:color w:val="F07E31" w:themeColor="background2"/>
                <w:highlight w:val="yellow"/>
              </w:rPr>
              <w:fldChar w:fldCharType="separate"/>
            </w:r>
            <w:r w:rsidR="00F8292E" w:rsidRPr="00F8292E">
              <w:rPr>
                <w:rFonts w:cs="Arial"/>
                <w:b/>
                <w:color w:val="F07E31" w:themeColor="background2"/>
                <w:highlight w:val="yellow"/>
                <w:cs/>
              </w:rPr>
              <w:t>‎</w:t>
            </w:r>
            <w:r w:rsidR="00F8292E" w:rsidRPr="00F8292E">
              <w:rPr>
                <w:rFonts w:cs="Arial"/>
                <w:b/>
                <w:color w:val="F07E31" w:themeColor="background2"/>
                <w:highlight w:val="yellow"/>
              </w:rPr>
              <w:t xml:space="preserve">Strumento </w:t>
            </w:r>
            <w:r w:rsidR="00F8292E">
              <w:rPr>
                <w:rFonts w:cs="Arial"/>
                <w:color w:val="F07E31" w:themeColor="background2"/>
                <w:highlight w:val="yellow"/>
              </w:rPr>
              <w:t>2</w:t>
            </w:r>
            <w:r w:rsidR="00B7004F" w:rsidRPr="003726BE">
              <w:rPr>
                <w:rFonts w:cs="Arial"/>
                <w:color w:val="F07E31" w:themeColor="background2"/>
                <w:highlight w:val="yellow"/>
              </w:rPr>
              <w:fldChar w:fldCharType="end"/>
            </w:r>
            <w:r w:rsidRPr="003726BE">
              <w:rPr>
                <w:b/>
                <w:color w:val="F07E31" w:themeColor="background2"/>
                <w:highlight w:val="yellow"/>
              </w:rPr>
              <w:t xml:space="preserve"> </w:t>
            </w:r>
            <w:r w:rsidR="00B7004F" w:rsidRPr="003726BE">
              <w:rPr>
                <w:rFonts w:cs="Arial"/>
                <w:color w:val="F07E31" w:themeColor="background2"/>
                <w:highlight w:val="yellow"/>
              </w:rPr>
              <w:fldChar w:fldCharType="begin"/>
            </w:r>
            <w:r w:rsidR="00B7004F" w:rsidRPr="003726BE">
              <w:rPr>
                <w:rFonts w:cs="Arial"/>
                <w:color w:val="F07E31" w:themeColor="background2"/>
                <w:highlight w:val="yellow"/>
              </w:rPr>
              <w:instrText xml:space="preserve"> REF _Ref434764352 \h  \* MERGEFORMAT </w:instrText>
            </w:r>
            <w:r w:rsidR="00B7004F" w:rsidRPr="003726BE">
              <w:rPr>
                <w:rFonts w:cs="Arial"/>
                <w:color w:val="F07E31" w:themeColor="background2"/>
                <w:highlight w:val="yellow"/>
              </w:rPr>
            </w:r>
            <w:r w:rsidR="00B7004F" w:rsidRPr="003726BE">
              <w:rPr>
                <w:rFonts w:cs="Arial"/>
                <w:color w:val="F07E31" w:themeColor="background2"/>
                <w:highlight w:val="yellow"/>
              </w:rPr>
              <w:fldChar w:fldCharType="separate"/>
            </w:r>
            <w:r w:rsidR="00336794" w:rsidRPr="003726BE">
              <w:rPr>
                <w:rFonts w:cs="Arial"/>
                <w:b/>
                <w:color w:val="F07E31" w:themeColor="background2"/>
                <w:highlight w:val="yellow"/>
              </w:rPr>
              <w:t>Matrix for the vertical consistency</w:t>
            </w:r>
            <w:r w:rsidR="00336794" w:rsidRPr="003726BE">
              <w:rPr>
                <w:rFonts w:cs="Arial"/>
                <w:color w:val="F07E31" w:themeColor="background2"/>
                <w:highlight w:val="yellow"/>
              </w:rPr>
              <w:t xml:space="preserve"> check (example)</w:t>
            </w:r>
            <w:r w:rsidR="00B7004F" w:rsidRPr="003726BE">
              <w:rPr>
                <w:rFonts w:cs="Arial"/>
                <w:color w:val="F07E31" w:themeColor="background2"/>
                <w:highlight w:val="yellow"/>
              </w:rPr>
              <w:fldChar w:fldCharType="end"/>
            </w:r>
            <w:r w:rsidRPr="003726BE">
              <w:rPr>
                <w:b/>
                <w:color w:val="F07E31" w:themeColor="background2"/>
                <w:highlight w:val="yellow"/>
              </w:rPr>
              <w:t>)</w:t>
            </w:r>
          </w:p>
        </w:tc>
      </w:tr>
      <w:tr w:rsidR="005C5343" w:rsidRPr="003726BE" w14:paraId="709A7737" w14:textId="77777777" w:rsidTr="004E4415">
        <w:trPr>
          <w:jc w:val="center"/>
        </w:trPr>
        <w:tc>
          <w:tcPr>
            <w:tcW w:w="9071" w:type="dxa"/>
          </w:tcPr>
          <w:p w14:paraId="198A7AEC" w14:textId="77777777" w:rsidR="005C5343" w:rsidRPr="003726BE" w:rsidRDefault="005C5343" w:rsidP="00673940">
            <w:pPr>
              <w:pStyle w:val="HStandard"/>
              <w:rPr>
                <w:rFonts w:cs="Arial"/>
                <w:highlight w:val="yellow"/>
              </w:rPr>
            </w:pPr>
            <w:r w:rsidRPr="003726BE">
              <w:rPr>
                <w:b/>
                <w:highlight w:val="yellow"/>
              </w:rPr>
              <w:t>Esito atteso</w:t>
            </w:r>
            <w:r w:rsidRPr="003726BE">
              <w:rPr>
                <w:highlight w:val="yellow"/>
              </w:rPr>
              <w:t>: quadro di valutazione coerente.</w:t>
            </w:r>
          </w:p>
        </w:tc>
      </w:tr>
    </w:tbl>
    <w:p w14:paraId="70DC5DC2" w14:textId="77777777" w:rsidR="009B2D49" w:rsidRPr="003726BE" w:rsidRDefault="009B2D49" w:rsidP="00C147EB">
      <w:pPr>
        <w:pStyle w:val="HHeading5"/>
        <w:rPr>
          <w:rFonts w:cs="Arial"/>
          <w:highlight w:val="yellow"/>
        </w:rPr>
      </w:pPr>
      <w:r w:rsidRPr="003726BE">
        <w:rPr>
          <w:highlight w:val="yellow"/>
        </w:rPr>
        <w:t xml:space="preserve">Utilizzare la valutazione </w:t>
      </w:r>
      <w:r w:rsidRPr="003726BE">
        <w:rPr>
          <w:i/>
          <w:highlight w:val="yellow"/>
        </w:rPr>
        <w:t>ex ante</w:t>
      </w:r>
      <w:r w:rsidRPr="003726BE">
        <w:rPr>
          <w:highlight w:val="yellow"/>
        </w:rPr>
        <w:t xml:space="preserve"> come punto di partenza </w:t>
      </w:r>
    </w:p>
    <w:p w14:paraId="5105C127" w14:textId="77777777" w:rsidR="00D13DE7" w:rsidRPr="003726BE" w:rsidRDefault="002A02FF" w:rsidP="00673940">
      <w:pPr>
        <w:pStyle w:val="HStandard"/>
        <w:rPr>
          <w:rFonts w:cs="Arial"/>
          <w:highlight w:val="yellow"/>
        </w:rPr>
      </w:pPr>
      <w:r w:rsidRPr="003726BE">
        <w:rPr>
          <w:highlight w:val="yellow"/>
        </w:rPr>
        <w:t xml:space="preserve">Qualora un primo controllo della coerenza sia già stato completato nell'ambito della valutazione </w:t>
      </w:r>
      <w:r w:rsidRPr="003726BE">
        <w:rPr>
          <w:i/>
          <w:highlight w:val="yellow"/>
        </w:rPr>
        <w:t>ex ante</w:t>
      </w:r>
      <w:r w:rsidRPr="003726BE">
        <w:rPr>
          <w:highlight w:val="yellow"/>
        </w:rPr>
        <w:t xml:space="preserve">, tale attività dovrebbe essere utilizzata come punto di partenza. Tuttavia, va notato che le risultanze della valutazione </w:t>
      </w:r>
      <w:r w:rsidRPr="003726BE">
        <w:rPr>
          <w:i/>
          <w:highlight w:val="yellow"/>
        </w:rPr>
        <w:t>ex ante</w:t>
      </w:r>
      <w:r w:rsidRPr="003726BE">
        <w:rPr>
          <w:highlight w:val="yellow"/>
        </w:rPr>
        <w:t xml:space="preserve"> potrebbero non essere state prese pienamente in considerazione dalle autorità del programma e che anche il contesto stesso del programma potrebbe essere cambiato. Di conseguenza, si ritiene sia una buona pratica quella di ripetere questa valutazione.</w:t>
      </w:r>
    </w:p>
    <w:p w14:paraId="64CFE1BD" w14:textId="77777777" w:rsidR="009B2D49" w:rsidRPr="003726BE" w:rsidRDefault="009B2D49" w:rsidP="0010223F">
      <w:pPr>
        <w:pStyle w:val="HHeadingfigures"/>
        <w:rPr>
          <w:highlight w:val="yellow"/>
        </w:rPr>
      </w:pPr>
      <w:bookmarkStart w:id="67" w:name="_Toc460936155"/>
      <w:bookmarkStart w:id="68" w:name="_Toc474132645"/>
      <w:r w:rsidRPr="003726BE">
        <w:rPr>
          <w:highlight w:val="yellow"/>
        </w:rPr>
        <w:lastRenderedPageBreak/>
        <w:t>Coerenza orizzontale e verticale tra obiettivi, domande di valutazione e indicatori</w:t>
      </w:r>
      <w:bookmarkEnd w:id="67"/>
      <w:bookmarkEnd w:id="68"/>
      <w:r w:rsidRPr="003726BE">
        <w:rPr>
          <w:highlight w:val="yellow"/>
        </w:rPr>
        <w:t xml:space="preserve"> </w:t>
      </w:r>
    </w:p>
    <w:p w14:paraId="1613F112" w14:textId="77777777" w:rsidR="009B2D49" w:rsidRPr="003726BE" w:rsidRDefault="003726BE" w:rsidP="00FD7022">
      <w:pPr>
        <w:jc w:val="center"/>
        <w:rPr>
          <w:rFonts w:cs="Arial"/>
          <w:highlight w:val="yellow"/>
        </w:rPr>
      </w:pPr>
      <w:r>
        <w:rPr>
          <w:noProof/>
          <w:lang w:val="en-GB" w:eastAsia="en-GB" w:bidi="ar-SA"/>
        </w:rPr>
        <w:drawing>
          <wp:inline distT="0" distB="0" distL="0" distR="0" wp14:anchorId="547AF909" wp14:editId="0CB0BE25">
            <wp:extent cx="5759450" cy="2744075"/>
            <wp:effectExtent l="0" t="0" r="0" b="0"/>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7.emf"/>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759450" cy="2744075"/>
                    </a:xfrm>
                    <a:prstGeom prst="rect">
                      <a:avLst/>
                    </a:prstGeom>
                  </pic:spPr>
                </pic:pic>
              </a:graphicData>
            </a:graphic>
          </wp:inline>
        </w:drawing>
      </w:r>
    </w:p>
    <w:p w14:paraId="1613F81D" w14:textId="77777777" w:rsidR="009B2D49" w:rsidRPr="003726BE" w:rsidRDefault="009B2D49" w:rsidP="000C0714">
      <w:pPr>
        <w:pStyle w:val="HSource"/>
        <w:rPr>
          <w:rFonts w:cs="Arial"/>
          <w:highlight w:val="yellow"/>
        </w:rPr>
      </w:pPr>
      <w:r w:rsidRPr="003726BE">
        <w:rPr>
          <w:highlight w:val="yellow"/>
        </w:rPr>
        <w:t>Fonte: Helpdesk europeo della valutazione per lo sviluppo rurale, 2015.</w:t>
      </w:r>
    </w:p>
    <w:p w14:paraId="17222955" w14:textId="77777777" w:rsidR="009B2D49" w:rsidRPr="003726BE" w:rsidRDefault="009B2D49" w:rsidP="00C147EB">
      <w:pPr>
        <w:pStyle w:val="HHeading5"/>
        <w:rPr>
          <w:rFonts w:cs="Arial"/>
          <w:highlight w:val="yellow"/>
        </w:rPr>
      </w:pPr>
      <w:r w:rsidRPr="003726BE">
        <w:rPr>
          <w:highlight w:val="yellow"/>
        </w:rPr>
        <w:t>Verifica della coerenza orizzontale</w:t>
      </w:r>
    </w:p>
    <w:p w14:paraId="14986F95" w14:textId="77777777" w:rsidR="009B2D49" w:rsidRPr="003726BE" w:rsidRDefault="009B2D49" w:rsidP="00C241E9">
      <w:pPr>
        <w:pStyle w:val="H-Standard"/>
        <w:rPr>
          <w:highlight w:val="yellow"/>
        </w:rPr>
      </w:pPr>
      <w:r w:rsidRPr="003726BE">
        <w:rPr>
          <w:highlight w:val="yellow"/>
        </w:rPr>
        <w:t>La coerenza orizzontale riflette la relazione che esiste tra gli obiettivi strategici</w:t>
      </w:r>
      <w:r w:rsidR="00231DB0">
        <w:rPr>
          <w:highlight w:val="yellow"/>
        </w:rPr>
        <w:t xml:space="preserve"> dell’UE e del PSR</w:t>
      </w:r>
      <w:r w:rsidRPr="003726BE">
        <w:rPr>
          <w:highlight w:val="yellow"/>
        </w:rPr>
        <w:t>, il QVC, le DVSP e gli indicatori in termini di risultato e di impatto, e include:</w:t>
      </w:r>
    </w:p>
    <w:p w14:paraId="36FD6878" w14:textId="77777777" w:rsidR="009B2D49" w:rsidRPr="003726BE" w:rsidRDefault="009B2D49" w:rsidP="00673940">
      <w:pPr>
        <w:pStyle w:val="Hlistbullet"/>
        <w:rPr>
          <w:rFonts w:cs="Arial"/>
          <w:highlight w:val="yellow"/>
        </w:rPr>
      </w:pPr>
      <w:r w:rsidRPr="003726BE">
        <w:rPr>
          <w:highlight w:val="yellow"/>
        </w:rPr>
        <w:t>la coerenza degli obiettivi generali del programma rispetto agli obiettivi dell'UE, relativi a domande di valutazione/criteri di giudizio e indicatori di impatto, che vengono utilizzati per la valutazione dei risultati del PSR rispetto agli obiettivi dell'UE e agli impatti del programma. Qualora il PSR contenga obiettivi generali specifici del PSR, è necessario esaminare anche la loro coerenza con le DVSP e gli indicatori di impatto specifici per programma;</w:t>
      </w:r>
    </w:p>
    <w:p w14:paraId="329D860E" w14:textId="77777777" w:rsidR="009B2D49" w:rsidRPr="003726BE" w:rsidRDefault="009B2D49" w:rsidP="00706AC9">
      <w:pPr>
        <w:pStyle w:val="Hlistbullet"/>
        <w:rPr>
          <w:highlight w:val="yellow"/>
        </w:rPr>
      </w:pPr>
      <w:r w:rsidRPr="003726BE">
        <w:rPr>
          <w:highlight w:val="yellow"/>
        </w:rPr>
        <w:t>la coerenza tra obiettivi degli aspetti specifici dello SR, domande di valutazione relative agli aspetti specifici/ criteri di giudizio e indicatori di risultato. Questi indicatori aiutano a valutare in che misura gli obiettivi specifici sono stati raggiunti nel contesto dei risultati del programma ottenuti dal gruppo dei beneficiari del programma stesso. Si dovrebbero rilevare eventuali lacune nella coerenza tra il questionario valutativo comune e gli indicatori comuni e si dovrebbe colmare tali lacune proponendo indicatori aggiuntivi (cfr. schede per il QVC pubblicate in un allegato separato). Laddove il PSR contenga obiettivi specifici del programma relativi agli aspetti specifici, DVSP e indicatori specifici del programma (ad esempio, menzionati nel piano di valutazione/piano degli indicatori), allora è necessario esaminare anche la coerenza degli stessi.</w:t>
      </w:r>
      <w:r w:rsidRPr="003726BE">
        <w:noBreakHyphen/>
      </w:r>
    </w:p>
    <w:p w14:paraId="602CA558" w14:textId="77777777" w:rsidR="009B2D49" w:rsidRPr="003726BE" w:rsidRDefault="009B2D49" w:rsidP="00673940">
      <w:pPr>
        <w:pStyle w:val="HStandard"/>
        <w:rPr>
          <w:rFonts w:cs="Arial"/>
          <w:highlight w:val="yellow"/>
        </w:rPr>
      </w:pPr>
      <w:r w:rsidRPr="003726BE">
        <w:rPr>
          <w:highlight w:val="yellow"/>
        </w:rPr>
        <w:t xml:space="preserve">Durante il controllo della coerenza orizzontale tra obiettivi, domande di valutazione e indicatori, si dovrebbero verificare le seguenti domande orientative: </w:t>
      </w:r>
    </w:p>
    <w:p w14:paraId="2BD00E24" w14:textId="77777777" w:rsidR="009B2D49" w:rsidRPr="003726BE" w:rsidRDefault="009B2D49" w:rsidP="00673940">
      <w:pPr>
        <w:pStyle w:val="Hlistbullet"/>
        <w:rPr>
          <w:rFonts w:cs="Arial"/>
          <w:highlight w:val="yellow"/>
        </w:rPr>
      </w:pPr>
      <w:r w:rsidRPr="003726BE">
        <w:rPr>
          <w:highlight w:val="yellow"/>
        </w:rPr>
        <w:t>In che misura le domande di valutazione consentono una valutazione affidabile degli obiettivi del PSR realizzati?</w:t>
      </w:r>
    </w:p>
    <w:p w14:paraId="67BB4781" w14:textId="77777777" w:rsidR="009B2D49" w:rsidRPr="003726BE" w:rsidRDefault="009B2D49" w:rsidP="00673940">
      <w:pPr>
        <w:pStyle w:val="Hlistbullet"/>
        <w:rPr>
          <w:rFonts w:cs="Arial"/>
          <w:highlight w:val="yellow"/>
        </w:rPr>
      </w:pPr>
      <w:r w:rsidRPr="003726BE">
        <w:rPr>
          <w:highlight w:val="yellow"/>
        </w:rPr>
        <w:t>In che misura le prove raccolte mediante indicatori consentono di rispondere alla domanda di valutazione?</w:t>
      </w:r>
    </w:p>
    <w:p w14:paraId="16B30432" w14:textId="77777777" w:rsidR="009B2D49" w:rsidRPr="003726BE" w:rsidRDefault="009B2D49" w:rsidP="00673940">
      <w:pPr>
        <w:pStyle w:val="Hlistbullet"/>
        <w:rPr>
          <w:rFonts w:cs="Arial"/>
          <w:highlight w:val="yellow"/>
        </w:rPr>
      </w:pPr>
      <w:r w:rsidRPr="003726BE">
        <w:rPr>
          <w:highlight w:val="yellow"/>
        </w:rPr>
        <w:t>Quali DVSP e indicatori specifici del programma devono ancora essere sviluppati per colmare le lacune in termini di coerenza?</w:t>
      </w:r>
    </w:p>
    <w:p w14:paraId="6CB4ADF4" w14:textId="77777777" w:rsidR="009B2D49" w:rsidRPr="003726BE" w:rsidRDefault="009B2D49" w:rsidP="00673940">
      <w:pPr>
        <w:pStyle w:val="Hlistbullet"/>
        <w:rPr>
          <w:rFonts w:cs="Arial"/>
          <w:highlight w:val="yellow"/>
        </w:rPr>
      </w:pPr>
      <w:r w:rsidRPr="003726BE">
        <w:rPr>
          <w:highlight w:val="yellow"/>
        </w:rPr>
        <w:t xml:space="preserve">Quali informazioni aggiuntive devono essere raccolte per rendere operativi gli indicatori "aggiuntivi" specifici per programma? </w:t>
      </w:r>
    </w:p>
    <w:p w14:paraId="6A8267E4" w14:textId="77777777" w:rsidR="009B2D49" w:rsidRPr="003726BE" w:rsidRDefault="009B2D49" w:rsidP="00673940">
      <w:pPr>
        <w:pStyle w:val="HStandard"/>
        <w:rPr>
          <w:rFonts w:cs="Arial"/>
          <w:highlight w:val="yellow"/>
        </w:rPr>
      </w:pPr>
      <w:r w:rsidRPr="003726BE">
        <w:rPr>
          <w:highlight w:val="yellow"/>
        </w:rPr>
        <w:t xml:space="preserve">Per un'efficace individuazione delle potenziali lacune nella coerenza orizzontale è possibile utilizzare il seguente strumento: </w:t>
      </w:r>
    </w:p>
    <w:p w14:paraId="27D89894" w14:textId="77777777" w:rsidR="009B2D49" w:rsidRPr="003726BE" w:rsidRDefault="00C147EB" w:rsidP="003726BE">
      <w:pPr>
        <w:pStyle w:val="HHeadingmaps"/>
        <w:rPr>
          <w:rFonts w:cs="Arial"/>
          <w:highlight w:val="yellow"/>
        </w:rPr>
      </w:pPr>
      <w:bookmarkStart w:id="69" w:name="_Ref434764265"/>
      <w:bookmarkStart w:id="70" w:name="_Toc460936159"/>
      <w:bookmarkStart w:id="71" w:name="_Toc474132649"/>
      <w:r w:rsidRPr="003726BE">
        <w:rPr>
          <w:highlight w:val="yellow"/>
        </w:rPr>
        <w:lastRenderedPageBreak/>
        <w:t>Matrice per la verifica della coerenza orizzontale a livello di aspetti specifici (esempio)</w:t>
      </w:r>
      <w:bookmarkEnd w:id="69"/>
      <w:bookmarkEnd w:id="70"/>
      <w:bookmarkEnd w:id="71"/>
    </w:p>
    <w:tbl>
      <w:tblPr>
        <w:tblStyle w:val="TableGrid"/>
        <w:tblW w:w="9072" w:type="dxa"/>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ayout w:type="fixed"/>
        <w:tblLook w:val="04A0" w:firstRow="1" w:lastRow="0" w:firstColumn="1" w:lastColumn="0" w:noHBand="0" w:noVBand="1"/>
      </w:tblPr>
      <w:tblGrid>
        <w:gridCol w:w="1129"/>
        <w:gridCol w:w="1134"/>
        <w:gridCol w:w="2380"/>
        <w:gridCol w:w="1825"/>
        <w:gridCol w:w="1230"/>
        <w:gridCol w:w="1374"/>
      </w:tblGrid>
      <w:tr w:rsidR="000B7EBA" w:rsidRPr="003726BE" w14:paraId="3915EB86" w14:textId="77777777" w:rsidTr="0001223C">
        <w:trPr>
          <w:tblHeader/>
          <w:jc w:val="center"/>
        </w:trPr>
        <w:tc>
          <w:tcPr>
            <w:tcW w:w="1129" w:type="dxa"/>
            <w:shd w:val="clear" w:color="auto" w:fill="F07E31" w:themeFill="background2"/>
          </w:tcPr>
          <w:p w14:paraId="3B623E2E" w14:textId="77777777" w:rsidR="009B2D49" w:rsidRPr="003726BE" w:rsidRDefault="009B2D49" w:rsidP="000C0714">
            <w:pPr>
              <w:pStyle w:val="Htableleftbolt"/>
              <w:rPr>
                <w:rFonts w:cs="Arial"/>
                <w:color w:val="FFFFFF" w:themeColor="accent1"/>
                <w:highlight w:val="yellow"/>
              </w:rPr>
            </w:pPr>
            <w:r w:rsidRPr="003726BE">
              <w:rPr>
                <w:color w:val="FFFFFF" w:themeColor="accent1"/>
                <w:highlight w:val="yellow"/>
              </w:rPr>
              <w:t>Obiettivo (FA correlato)</w:t>
            </w:r>
          </w:p>
        </w:tc>
        <w:tc>
          <w:tcPr>
            <w:tcW w:w="1134" w:type="dxa"/>
            <w:shd w:val="clear" w:color="auto" w:fill="F07E31" w:themeFill="background2"/>
          </w:tcPr>
          <w:p w14:paraId="42F85170" w14:textId="77777777" w:rsidR="009B2D49" w:rsidRPr="003726BE" w:rsidRDefault="009B2D49" w:rsidP="000C0714">
            <w:pPr>
              <w:pStyle w:val="Htableleftbolt"/>
              <w:rPr>
                <w:rFonts w:cs="Arial"/>
                <w:color w:val="FFFFFF" w:themeColor="accent1"/>
                <w:highlight w:val="yellow"/>
              </w:rPr>
            </w:pPr>
            <w:r w:rsidRPr="003726BE">
              <w:rPr>
                <w:color w:val="FFFFFF" w:themeColor="accent1"/>
                <w:highlight w:val="yellow"/>
              </w:rPr>
              <w:t>Domanda del QVC</w:t>
            </w:r>
          </w:p>
        </w:tc>
        <w:tc>
          <w:tcPr>
            <w:tcW w:w="2380" w:type="dxa"/>
            <w:shd w:val="clear" w:color="auto" w:fill="F07E31" w:themeFill="background2"/>
          </w:tcPr>
          <w:p w14:paraId="4B5910A6" w14:textId="77777777" w:rsidR="009B2D49" w:rsidRPr="003726BE" w:rsidRDefault="009B2D49" w:rsidP="000C0714">
            <w:pPr>
              <w:pStyle w:val="Htableleftbolt"/>
              <w:rPr>
                <w:rFonts w:cs="Arial"/>
                <w:color w:val="FFFFFF" w:themeColor="accent1"/>
                <w:highlight w:val="yellow"/>
              </w:rPr>
            </w:pPr>
            <w:r w:rsidRPr="003726BE">
              <w:rPr>
                <w:color w:val="FFFFFF" w:themeColor="accent1"/>
                <w:highlight w:val="yellow"/>
              </w:rPr>
              <w:t>Criteri di giudizio</w:t>
            </w:r>
          </w:p>
        </w:tc>
        <w:tc>
          <w:tcPr>
            <w:tcW w:w="1825" w:type="dxa"/>
            <w:shd w:val="clear" w:color="auto" w:fill="F07E31" w:themeFill="background2"/>
          </w:tcPr>
          <w:p w14:paraId="32E09DC7" w14:textId="77777777" w:rsidR="009B2D49" w:rsidRPr="003726BE" w:rsidRDefault="009B2D49" w:rsidP="000C0714">
            <w:pPr>
              <w:pStyle w:val="Htableleftbolt"/>
              <w:rPr>
                <w:rFonts w:cs="Arial"/>
                <w:color w:val="FFFFFF" w:themeColor="accent1"/>
                <w:highlight w:val="yellow"/>
              </w:rPr>
            </w:pPr>
            <w:r w:rsidRPr="003726BE">
              <w:rPr>
                <w:color w:val="FFFFFF" w:themeColor="accent1"/>
                <w:highlight w:val="yellow"/>
              </w:rPr>
              <w:t>Indicatore/i</w:t>
            </w:r>
          </w:p>
        </w:tc>
        <w:tc>
          <w:tcPr>
            <w:tcW w:w="1230" w:type="dxa"/>
            <w:shd w:val="clear" w:color="auto" w:fill="F07E31" w:themeFill="background2"/>
          </w:tcPr>
          <w:p w14:paraId="6E119D3A" w14:textId="77777777" w:rsidR="009B2D49" w:rsidRPr="003726BE" w:rsidRDefault="009B2D49" w:rsidP="000C0714">
            <w:pPr>
              <w:pStyle w:val="Htableleftbolt"/>
              <w:rPr>
                <w:rFonts w:cs="Arial"/>
                <w:color w:val="FFFFFF" w:themeColor="accent1"/>
                <w:highlight w:val="yellow"/>
              </w:rPr>
            </w:pPr>
            <w:r w:rsidRPr="003726BE">
              <w:rPr>
                <w:color w:val="FFFFFF" w:themeColor="accent1"/>
                <w:highlight w:val="yellow"/>
              </w:rPr>
              <w:t xml:space="preserve">Lacune individuate </w:t>
            </w:r>
            <w:r w:rsidRPr="003726BE">
              <w:rPr>
                <w:rStyle w:val="FootnoteReference"/>
                <w:i w:val="0"/>
                <w:color w:val="FFFFFF" w:themeColor="accent1"/>
                <w:position w:val="0"/>
                <w:sz w:val="18"/>
                <w:highlight w:val="yellow"/>
                <w:vertAlign w:val="superscript"/>
              </w:rPr>
              <w:footnoteReference w:id="48"/>
            </w:r>
            <w:r w:rsidRPr="003726BE">
              <w:rPr>
                <w:color w:val="FFFFFF" w:themeColor="accent1"/>
                <w:highlight w:val="yellow"/>
                <w:vertAlign w:val="superscript"/>
              </w:rPr>
              <w:t xml:space="preserve"> </w:t>
            </w:r>
          </w:p>
        </w:tc>
        <w:tc>
          <w:tcPr>
            <w:tcW w:w="1374" w:type="dxa"/>
            <w:shd w:val="clear" w:color="auto" w:fill="F07E31" w:themeFill="background2"/>
          </w:tcPr>
          <w:p w14:paraId="34C9B448" w14:textId="77777777" w:rsidR="009B2D49" w:rsidRPr="003726BE" w:rsidRDefault="009B2D49" w:rsidP="000C0714">
            <w:pPr>
              <w:pStyle w:val="Htableleftbolt"/>
              <w:rPr>
                <w:rFonts w:cs="Arial"/>
                <w:color w:val="FFFFFF" w:themeColor="accent1"/>
                <w:highlight w:val="yellow"/>
              </w:rPr>
            </w:pPr>
            <w:r w:rsidRPr="003726BE">
              <w:rPr>
                <w:color w:val="FFFFFF" w:themeColor="accent1"/>
                <w:highlight w:val="yellow"/>
              </w:rPr>
              <w:t xml:space="preserve">Indicatori aggiuntivi per colmare le lacune individuate </w:t>
            </w:r>
          </w:p>
        </w:tc>
      </w:tr>
      <w:tr w:rsidR="009B2D49" w:rsidRPr="003726BE" w14:paraId="657D1244" w14:textId="77777777" w:rsidTr="0001223C">
        <w:trPr>
          <w:jc w:val="center"/>
        </w:trPr>
        <w:tc>
          <w:tcPr>
            <w:tcW w:w="1129" w:type="dxa"/>
            <w:shd w:val="clear" w:color="auto" w:fill="auto"/>
          </w:tcPr>
          <w:p w14:paraId="18F94475" w14:textId="77777777" w:rsidR="009B2D49" w:rsidRPr="003726BE" w:rsidRDefault="009B2D49" w:rsidP="000C0714">
            <w:pPr>
              <w:pStyle w:val="Htableleft"/>
              <w:rPr>
                <w:rFonts w:cs="Arial"/>
                <w:sz w:val="16"/>
                <w:szCs w:val="16"/>
                <w:highlight w:val="yellow"/>
              </w:rPr>
            </w:pPr>
            <w:r w:rsidRPr="003726BE">
              <w:rPr>
                <w:sz w:val="16"/>
                <w:highlight w:val="yellow"/>
              </w:rPr>
              <w:t xml:space="preserve">6B: Stimolare lo sviluppo locale nelle zone rurali </w:t>
            </w:r>
          </w:p>
        </w:tc>
        <w:tc>
          <w:tcPr>
            <w:tcW w:w="1134" w:type="dxa"/>
            <w:shd w:val="clear" w:color="auto" w:fill="auto"/>
          </w:tcPr>
          <w:p w14:paraId="2DC3E8A3" w14:textId="77777777" w:rsidR="009B2D49" w:rsidRPr="003726BE" w:rsidRDefault="009B2D49" w:rsidP="000C0714">
            <w:pPr>
              <w:pStyle w:val="Htableleft"/>
              <w:rPr>
                <w:rFonts w:cs="Arial"/>
                <w:sz w:val="16"/>
                <w:szCs w:val="16"/>
                <w:highlight w:val="yellow"/>
              </w:rPr>
            </w:pPr>
            <w:r w:rsidRPr="003726BE">
              <w:rPr>
                <w:sz w:val="16"/>
                <w:highlight w:val="yellow"/>
              </w:rPr>
              <w:t xml:space="preserve">QVC 17: in che misura gli interventi del PSR hanno stimolato lo sviluppo locale nelle zone rurali? </w:t>
            </w:r>
          </w:p>
        </w:tc>
        <w:tc>
          <w:tcPr>
            <w:tcW w:w="2380" w:type="dxa"/>
            <w:shd w:val="clear" w:color="auto" w:fill="auto"/>
          </w:tcPr>
          <w:p w14:paraId="4FC08E87" w14:textId="77777777" w:rsidR="00C241E9" w:rsidRPr="003726BE" w:rsidRDefault="009B2D49" w:rsidP="001A31FB">
            <w:pPr>
              <w:pStyle w:val="Htableleft"/>
              <w:numPr>
                <w:ilvl w:val="0"/>
                <w:numId w:val="47"/>
              </w:numPr>
              <w:ind w:left="315" w:hanging="284"/>
              <w:rPr>
                <w:rFonts w:cs="Arial"/>
                <w:sz w:val="16"/>
                <w:szCs w:val="16"/>
                <w:highlight w:val="yellow"/>
              </w:rPr>
            </w:pPr>
            <w:r w:rsidRPr="003726BE">
              <w:rPr>
                <w:sz w:val="16"/>
                <w:highlight w:val="yellow"/>
              </w:rPr>
              <w:t xml:space="preserve">i servizi e le infrastrutture locali nelle zone rurali sono migliorati; </w:t>
            </w:r>
          </w:p>
          <w:p w14:paraId="2928BEAA" w14:textId="77777777" w:rsidR="00C241E9" w:rsidRPr="003726BE" w:rsidRDefault="009B2D49" w:rsidP="001A31FB">
            <w:pPr>
              <w:pStyle w:val="Htableleft"/>
              <w:numPr>
                <w:ilvl w:val="0"/>
                <w:numId w:val="47"/>
              </w:numPr>
              <w:ind w:left="315" w:hanging="284"/>
              <w:rPr>
                <w:rFonts w:cs="Arial"/>
                <w:sz w:val="16"/>
                <w:szCs w:val="16"/>
                <w:highlight w:val="yellow"/>
              </w:rPr>
            </w:pPr>
            <w:r w:rsidRPr="003726BE">
              <w:rPr>
                <w:sz w:val="16"/>
                <w:highlight w:val="yellow"/>
              </w:rPr>
              <w:t xml:space="preserve">l'accesso ai servizi e alle infrastrutture locali è aumentato nelle zone rurali; </w:t>
            </w:r>
          </w:p>
          <w:p w14:paraId="1B274FA2" w14:textId="77777777" w:rsidR="00C241E9" w:rsidRPr="003726BE" w:rsidRDefault="009B2D49" w:rsidP="001A31FB">
            <w:pPr>
              <w:pStyle w:val="Htableleft"/>
              <w:numPr>
                <w:ilvl w:val="0"/>
                <w:numId w:val="47"/>
              </w:numPr>
              <w:ind w:left="315" w:hanging="284"/>
              <w:rPr>
                <w:rFonts w:cs="Arial"/>
                <w:sz w:val="16"/>
                <w:szCs w:val="16"/>
                <w:highlight w:val="yellow"/>
              </w:rPr>
            </w:pPr>
            <w:r w:rsidRPr="003726BE">
              <w:rPr>
                <w:sz w:val="16"/>
                <w:highlight w:val="yellow"/>
              </w:rPr>
              <w:t xml:space="preserve">le popolazioni rurali hanno partecipato ad azioni locali; </w:t>
            </w:r>
          </w:p>
          <w:p w14:paraId="4E26C574" w14:textId="77777777" w:rsidR="00C241E9" w:rsidRPr="003726BE" w:rsidRDefault="009B2D49" w:rsidP="001A31FB">
            <w:pPr>
              <w:pStyle w:val="Htableleft"/>
              <w:numPr>
                <w:ilvl w:val="0"/>
                <w:numId w:val="47"/>
              </w:numPr>
              <w:ind w:left="315" w:hanging="284"/>
              <w:rPr>
                <w:rFonts w:cs="Arial"/>
                <w:sz w:val="16"/>
                <w:szCs w:val="16"/>
                <w:highlight w:val="yellow"/>
              </w:rPr>
            </w:pPr>
            <w:r w:rsidRPr="003726BE">
              <w:rPr>
                <w:sz w:val="16"/>
                <w:highlight w:val="yellow"/>
              </w:rPr>
              <w:t xml:space="preserve">le popolazioni rurali hanno beneficiato di azioni locali; </w:t>
            </w:r>
          </w:p>
          <w:p w14:paraId="4071D78B" w14:textId="77777777" w:rsidR="00C241E9" w:rsidRPr="003726BE" w:rsidRDefault="009B2D49" w:rsidP="001A31FB">
            <w:pPr>
              <w:pStyle w:val="Htableleft"/>
              <w:numPr>
                <w:ilvl w:val="0"/>
                <w:numId w:val="47"/>
              </w:numPr>
              <w:ind w:left="315" w:hanging="284"/>
              <w:rPr>
                <w:rFonts w:cs="Arial"/>
                <w:sz w:val="16"/>
                <w:szCs w:val="16"/>
                <w:highlight w:val="yellow"/>
              </w:rPr>
            </w:pPr>
            <w:r w:rsidRPr="003726BE">
              <w:rPr>
                <w:sz w:val="16"/>
                <w:highlight w:val="yellow"/>
              </w:rPr>
              <w:t xml:space="preserve">sono state create opportunità di lavoro tramite strategie di sviluppo locale; </w:t>
            </w:r>
          </w:p>
          <w:p w14:paraId="6A66D89E" w14:textId="77777777" w:rsidR="009B2D49" w:rsidRPr="003726BE" w:rsidRDefault="009B2D49" w:rsidP="001A31FB">
            <w:pPr>
              <w:pStyle w:val="Htableleft"/>
              <w:numPr>
                <w:ilvl w:val="0"/>
                <w:numId w:val="47"/>
              </w:numPr>
              <w:ind w:left="315" w:hanging="284"/>
              <w:rPr>
                <w:rFonts w:cs="Arial"/>
                <w:sz w:val="16"/>
                <w:szCs w:val="16"/>
                <w:highlight w:val="yellow"/>
              </w:rPr>
            </w:pPr>
            <w:r w:rsidRPr="003726BE">
              <w:rPr>
                <w:sz w:val="16"/>
                <w:highlight w:val="yellow"/>
              </w:rPr>
              <w:t xml:space="preserve">il territorio rurale e la popolazione coperta dai GAL sono cresciuti. </w:t>
            </w:r>
          </w:p>
        </w:tc>
        <w:tc>
          <w:tcPr>
            <w:tcW w:w="1825" w:type="dxa"/>
            <w:shd w:val="clear" w:color="auto" w:fill="auto"/>
          </w:tcPr>
          <w:p w14:paraId="06911F89" w14:textId="77777777" w:rsidR="00C241E9" w:rsidRPr="003726BE" w:rsidRDefault="009B2D49" w:rsidP="001A31FB">
            <w:pPr>
              <w:pStyle w:val="Htableleft"/>
              <w:numPr>
                <w:ilvl w:val="0"/>
                <w:numId w:val="47"/>
              </w:numPr>
              <w:ind w:left="204" w:hanging="204"/>
              <w:rPr>
                <w:rFonts w:cs="Arial"/>
                <w:sz w:val="16"/>
                <w:szCs w:val="16"/>
                <w:highlight w:val="yellow"/>
              </w:rPr>
            </w:pPr>
            <w:r w:rsidRPr="003726BE">
              <w:rPr>
                <w:sz w:val="16"/>
                <w:highlight w:val="yellow"/>
              </w:rPr>
              <w:t>% della popolazione rurale interessata dalle strategie di sviluppo locale (FA 6B - indicatore di risultato);</w:t>
            </w:r>
          </w:p>
          <w:p w14:paraId="08738119" w14:textId="77777777" w:rsidR="00C241E9" w:rsidRPr="003726BE" w:rsidRDefault="009B2D49" w:rsidP="001A31FB">
            <w:pPr>
              <w:pStyle w:val="Htableleft"/>
              <w:numPr>
                <w:ilvl w:val="0"/>
                <w:numId w:val="47"/>
              </w:numPr>
              <w:ind w:left="204" w:hanging="204"/>
              <w:rPr>
                <w:rFonts w:cs="Arial"/>
                <w:sz w:val="16"/>
                <w:szCs w:val="16"/>
                <w:highlight w:val="yellow"/>
              </w:rPr>
            </w:pPr>
            <w:r w:rsidRPr="003726BE">
              <w:rPr>
                <w:sz w:val="16"/>
                <w:highlight w:val="yellow"/>
              </w:rPr>
              <w:t>posti di lavoro creati nei progetti beneficiari di un sostegno (LEADER) (FA 6B - indicatore di risultato);</w:t>
            </w:r>
          </w:p>
          <w:p w14:paraId="522C43A5" w14:textId="77777777" w:rsidR="009B2D49" w:rsidRPr="003726BE" w:rsidRDefault="009B2D49" w:rsidP="001A31FB">
            <w:pPr>
              <w:pStyle w:val="Htableleft"/>
              <w:numPr>
                <w:ilvl w:val="0"/>
                <w:numId w:val="47"/>
              </w:numPr>
              <w:ind w:left="204" w:hanging="204"/>
              <w:rPr>
                <w:rFonts w:cs="Arial"/>
                <w:sz w:val="16"/>
                <w:szCs w:val="16"/>
                <w:highlight w:val="yellow"/>
              </w:rPr>
            </w:pPr>
            <w:r w:rsidRPr="003726BE">
              <w:rPr>
                <w:sz w:val="16"/>
                <w:highlight w:val="yellow"/>
              </w:rPr>
              <w:t>% della popolazione rurale che beneficia di servizi/infrastrutture migliorate (FA 6B - indicatore di risultato).</w:t>
            </w:r>
          </w:p>
        </w:tc>
        <w:tc>
          <w:tcPr>
            <w:tcW w:w="1230" w:type="dxa"/>
            <w:shd w:val="clear" w:color="auto" w:fill="auto"/>
          </w:tcPr>
          <w:p w14:paraId="072BE730" w14:textId="77777777" w:rsidR="009B2D49" w:rsidRPr="003726BE" w:rsidRDefault="009B2D49" w:rsidP="000C0714">
            <w:pPr>
              <w:pStyle w:val="Htableleft"/>
              <w:rPr>
                <w:rFonts w:cs="Arial"/>
                <w:sz w:val="16"/>
                <w:szCs w:val="16"/>
                <w:highlight w:val="yellow"/>
              </w:rPr>
            </w:pPr>
            <w:r w:rsidRPr="003726BE">
              <w:rPr>
                <w:sz w:val="16"/>
                <w:highlight w:val="yellow"/>
              </w:rPr>
              <w:t>Le prove raccolte tramite indicatori comuni non mostrano il contributo di LEADER al miglioramento di servizi/infrastrutture.</w:t>
            </w:r>
          </w:p>
          <w:p w14:paraId="3A50D289" w14:textId="77777777" w:rsidR="009B2D49" w:rsidRPr="003726BE" w:rsidRDefault="009B2D49" w:rsidP="000C0714">
            <w:pPr>
              <w:pStyle w:val="Htableleft"/>
              <w:rPr>
                <w:rFonts w:cs="Arial"/>
                <w:sz w:val="16"/>
                <w:szCs w:val="16"/>
                <w:highlight w:val="yellow"/>
              </w:rPr>
            </w:pPr>
          </w:p>
        </w:tc>
        <w:tc>
          <w:tcPr>
            <w:tcW w:w="1374" w:type="dxa"/>
            <w:shd w:val="clear" w:color="auto" w:fill="auto"/>
          </w:tcPr>
          <w:p w14:paraId="49A9B127" w14:textId="77777777" w:rsidR="00C241E9" w:rsidRPr="003726BE" w:rsidRDefault="009B2D49" w:rsidP="001A31FB">
            <w:pPr>
              <w:pStyle w:val="Htableleft"/>
              <w:numPr>
                <w:ilvl w:val="0"/>
                <w:numId w:val="48"/>
              </w:numPr>
              <w:ind w:left="267" w:hanging="267"/>
              <w:rPr>
                <w:rFonts w:cs="Arial"/>
                <w:sz w:val="16"/>
                <w:szCs w:val="16"/>
                <w:highlight w:val="yellow"/>
              </w:rPr>
            </w:pPr>
            <w:r w:rsidRPr="003726BE">
              <w:rPr>
                <w:sz w:val="16"/>
                <w:highlight w:val="yellow"/>
              </w:rPr>
              <w:t xml:space="preserve">numero di progetti/iniziative sostenuti dalla strategia di sviluppo locale; </w:t>
            </w:r>
          </w:p>
          <w:p w14:paraId="0DFE07C7" w14:textId="77777777" w:rsidR="009B2D49" w:rsidRPr="003726BE" w:rsidRDefault="009B2D49" w:rsidP="001A31FB">
            <w:pPr>
              <w:pStyle w:val="Htableleft"/>
              <w:numPr>
                <w:ilvl w:val="0"/>
                <w:numId w:val="48"/>
              </w:numPr>
              <w:ind w:left="267" w:hanging="267"/>
              <w:rPr>
                <w:rFonts w:cs="Arial"/>
                <w:sz w:val="16"/>
                <w:szCs w:val="16"/>
                <w:highlight w:val="yellow"/>
              </w:rPr>
            </w:pPr>
            <w:r w:rsidRPr="003726BE">
              <w:rPr>
                <w:sz w:val="16"/>
                <w:highlight w:val="yellow"/>
              </w:rPr>
              <w:t>% di spese del PSR per misure LEADER rispetto alla spesa totale del PSR.</w:t>
            </w:r>
          </w:p>
        </w:tc>
      </w:tr>
    </w:tbl>
    <w:p w14:paraId="0A32A4A8" w14:textId="77777777" w:rsidR="009B2D49" w:rsidRPr="003726BE" w:rsidRDefault="009B2D49" w:rsidP="00C147EB">
      <w:pPr>
        <w:pStyle w:val="HHeading5"/>
        <w:rPr>
          <w:rFonts w:cs="Arial"/>
          <w:highlight w:val="yellow"/>
        </w:rPr>
      </w:pPr>
      <w:r w:rsidRPr="003726BE">
        <w:rPr>
          <w:highlight w:val="yellow"/>
        </w:rPr>
        <w:t>Verifica della coerenza verticale</w:t>
      </w:r>
    </w:p>
    <w:p w14:paraId="53E36E5D" w14:textId="77777777" w:rsidR="009B2D49" w:rsidRPr="003726BE" w:rsidRDefault="009B2D49" w:rsidP="00673940">
      <w:pPr>
        <w:pStyle w:val="HStandard"/>
        <w:rPr>
          <w:rFonts w:cs="Arial"/>
          <w:highlight w:val="yellow"/>
        </w:rPr>
      </w:pPr>
      <w:r w:rsidRPr="003726BE">
        <w:rPr>
          <w:highlight w:val="yellow"/>
        </w:rPr>
        <w:t>La verifica della coerenza verticale segue la gerarchia degli obiettivi e valuta in particolare:</w:t>
      </w:r>
    </w:p>
    <w:p w14:paraId="570DBB81" w14:textId="77777777" w:rsidR="009B2D49" w:rsidRPr="003726BE" w:rsidRDefault="009B2D49" w:rsidP="00673940">
      <w:pPr>
        <w:pStyle w:val="Hlistbullet"/>
        <w:rPr>
          <w:rFonts w:cs="Arial"/>
          <w:highlight w:val="yellow"/>
        </w:rPr>
      </w:pPr>
      <w:r w:rsidRPr="003726BE">
        <w:rPr>
          <w:highlight w:val="yellow"/>
        </w:rPr>
        <w:t xml:space="preserve">se il conseguimento degli obiettivi operativi porta alla realizzazione di obiettivi specifici e, di conseguenza, generali; </w:t>
      </w:r>
    </w:p>
    <w:p w14:paraId="44DF15E9" w14:textId="77777777" w:rsidR="009B2D49" w:rsidRPr="003726BE" w:rsidRDefault="009B2D49" w:rsidP="00673940">
      <w:pPr>
        <w:pStyle w:val="Hlistbullet"/>
        <w:rPr>
          <w:rFonts w:cs="Arial"/>
          <w:highlight w:val="yellow"/>
        </w:rPr>
      </w:pPr>
      <w:r w:rsidRPr="003726BE">
        <w:rPr>
          <w:highlight w:val="yellow"/>
        </w:rPr>
        <w:t xml:space="preserve">se le risposte alle domande di valutazione ai livelli inferiori (relative agli aspetti specifici) forniscono informazioni utili e sufficienti sui risultati del programma e possono essere utilizzate per rispondere alle domande di valutazione ai livelli superiori (relative agli obiettivi dell'UE); </w:t>
      </w:r>
    </w:p>
    <w:p w14:paraId="3D586183" w14:textId="77777777" w:rsidR="009B2D49" w:rsidRPr="003726BE" w:rsidRDefault="009B2D49" w:rsidP="00DC3A5A">
      <w:pPr>
        <w:pStyle w:val="Hlistbullet"/>
        <w:rPr>
          <w:highlight w:val="yellow"/>
        </w:rPr>
      </w:pPr>
      <w:r w:rsidRPr="003726BE">
        <w:rPr>
          <w:highlight w:val="yellow"/>
        </w:rPr>
        <w:t>se le informazioni raccolte tramite gli indicatori di risultato possono essere utilizzate per la valutazione degli indicatori di impatto.</w:t>
      </w:r>
    </w:p>
    <w:p w14:paraId="02A1BE94" w14:textId="77777777" w:rsidR="009B2D49" w:rsidRPr="003726BE" w:rsidRDefault="009B2D49" w:rsidP="00673940">
      <w:pPr>
        <w:pStyle w:val="HStandard"/>
        <w:rPr>
          <w:rFonts w:cs="Arial"/>
          <w:highlight w:val="yellow"/>
        </w:rPr>
      </w:pPr>
      <w:r w:rsidRPr="003726BE">
        <w:rPr>
          <w:highlight w:val="yellow"/>
        </w:rPr>
        <w:t>Per la valutazione della coerenza verticale, si possono utilizzare le seguenti domande orientative:</w:t>
      </w:r>
    </w:p>
    <w:p w14:paraId="1218DB08" w14:textId="77777777" w:rsidR="009B2D49" w:rsidRPr="003726BE" w:rsidRDefault="009B2D49" w:rsidP="00673940">
      <w:pPr>
        <w:pStyle w:val="Hlistbullet"/>
        <w:rPr>
          <w:rFonts w:cs="Arial"/>
          <w:highlight w:val="yellow"/>
        </w:rPr>
      </w:pPr>
      <w:r w:rsidRPr="003726BE">
        <w:rPr>
          <w:highlight w:val="yellow"/>
        </w:rPr>
        <w:t xml:space="preserve">in che misura le prove raccolte mediante indicatori comuni e specifici per programma a livello inferiore/micro (prodotti per i risultati e risultati per gli impatti) possono fornire prove sufficienti per effettuare una valutazione degli impatti a livello superiore/macro? </w:t>
      </w:r>
    </w:p>
    <w:p w14:paraId="5E977C47" w14:textId="77777777" w:rsidR="009B2D49" w:rsidRPr="003726BE" w:rsidRDefault="009B2D49" w:rsidP="00673940">
      <w:pPr>
        <w:pStyle w:val="Hlistbullet"/>
        <w:rPr>
          <w:rFonts w:cs="Arial"/>
          <w:highlight w:val="yellow"/>
        </w:rPr>
      </w:pPr>
      <w:r w:rsidRPr="003726BE">
        <w:rPr>
          <w:highlight w:val="yellow"/>
        </w:rPr>
        <w:t xml:space="preserve">quali lacune possono essere individuate nel contesto dell'insieme verticale di indicatori comuni e specifici per programma? </w:t>
      </w:r>
    </w:p>
    <w:p w14:paraId="74878D60" w14:textId="77777777" w:rsidR="009B2D49" w:rsidRPr="003726BE" w:rsidRDefault="009B2D49" w:rsidP="00DC3A5A">
      <w:pPr>
        <w:pStyle w:val="Hlistbullet"/>
        <w:rPr>
          <w:highlight w:val="yellow"/>
        </w:rPr>
      </w:pPr>
      <w:r w:rsidRPr="003726BE">
        <w:rPr>
          <w:highlight w:val="yellow"/>
        </w:rPr>
        <w:t>quale raccolta di indicatori/dati aggiuntivi va proposta per colmare queste lacune?</w:t>
      </w:r>
    </w:p>
    <w:p w14:paraId="0F47970F" w14:textId="77777777" w:rsidR="009B2D49" w:rsidRDefault="009B2D49" w:rsidP="00673940">
      <w:pPr>
        <w:pStyle w:val="HStandard"/>
        <w:rPr>
          <w:highlight w:val="yellow"/>
        </w:rPr>
      </w:pPr>
      <w:r w:rsidRPr="003726BE">
        <w:rPr>
          <w:highlight w:val="yellow"/>
        </w:rPr>
        <w:t>Per verificare la coerenza verticale tra i vari livelli di indicatori e per colmare le lacune individuate, è possibile proporre la seguente tabella:</w:t>
      </w:r>
    </w:p>
    <w:p w14:paraId="487AE59A" w14:textId="77777777" w:rsidR="003726BE" w:rsidRDefault="003726BE" w:rsidP="00673940">
      <w:pPr>
        <w:pStyle w:val="HStandard"/>
        <w:rPr>
          <w:highlight w:val="yellow"/>
        </w:rPr>
      </w:pPr>
    </w:p>
    <w:p w14:paraId="2DC725E7" w14:textId="77777777" w:rsidR="003726BE" w:rsidRPr="003726BE" w:rsidRDefault="003726BE" w:rsidP="00673940">
      <w:pPr>
        <w:pStyle w:val="HStandard"/>
        <w:rPr>
          <w:rFonts w:cs="Arial"/>
          <w:highlight w:val="yellow"/>
        </w:rPr>
      </w:pPr>
    </w:p>
    <w:p w14:paraId="4C05EA68" w14:textId="77777777" w:rsidR="009B2D49" w:rsidRPr="003726BE" w:rsidRDefault="00C147EB" w:rsidP="00C147EB">
      <w:pPr>
        <w:pStyle w:val="HHeadingmaps"/>
        <w:rPr>
          <w:rFonts w:cs="Arial"/>
          <w:highlight w:val="yellow"/>
        </w:rPr>
      </w:pPr>
      <w:bookmarkStart w:id="72" w:name="_Ref434764342"/>
      <w:bookmarkStart w:id="73" w:name="_Ref434764352"/>
      <w:bookmarkStart w:id="74" w:name="_Toc460936160"/>
      <w:bookmarkStart w:id="75" w:name="_Toc474132650"/>
      <w:r w:rsidRPr="003726BE">
        <w:rPr>
          <w:highlight w:val="yellow"/>
        </w:rPr>
        <w:lastRenderedPageBreak/>
        <w:t>Matrice per la verifica della coerenza verticale (esempio)</w:t>
      </w:r>
      <w:bookmarkEnd w:id="72"/>
      <w:bookmarkEnd w:id="73"/>
      <w:bookmarkEnd w:id="74"/>
      <w:bookmarkEnd w:id="75"/>
    </w:p>
    <w:tbl>
      <w:tblPr>
        <w:tblStyle w:val="TableGrid"/>
        <w:tblW w:w="7650" w:type="dxa"/>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1838"/>
        <w:gridCol w:w="2126"/>
        <w:gridCol w:w="1701"/>
        <w:gridCol w:w="1985"/>
      </w:tblGrid>
      <w:tr w:rsidR="009B2D49" w:rsidRPr="003726BE" w14:paraId="4468A88C" w14:textId="77777777" w:rsidTr="0001223C">
        <w:trPr>
          <w:jc w:val="center"/>
        </w:trPr>
        <w:tc>
          <w:tcPr>
            <w:tcW w:w="1838" w:type="dxa"/>
            <w:shd w:val="clear" w:color="auto" w:fill="F07E31" w:themeFill="background2"/>
          </w:tcPr>
          <w:p w14:paraId="19FE694E" w14:textId="77777777" w:rsidR="009B2D49" w:rsidRPr="003726BE" w:rsidRDefault="009B2D49" w:rsidP="000C0714">
            <w:pPr>
              <w:pStyle w:val="Htableleftbolt"/>
              <w:rPr>
                <w:rFonts w:cs="Arial"/>
                <w:color w:val="FFFFFF" w:themeColor="accent1"/>
                <w:highlight w:val="yellow"/>
              </w:rPr>
            </w:pPr>
            <w:r w:rsidRPr="003726BE">
              <w:rPr>
                <w:color w:val="FFFFFF" w:themeColor="accent1"/>
                <w:highlight w:val="yellow"/>
              </w:rPr>
              <w:t>Indicatore di impatto</w:t>
            </w:r>
          </w:p>
        </w:tc>
        <w:tc>
          <w:tcPr>
            <w:tcW w:w="2126" w:type="dxa"/>
            <w:shd w:val="clear" w:color="auto" w:fill="F07E31" w:themeFill="background2"/>
          </w:tcPr>
          <w:p w14:paraId="501AA0CA" w14:textId="77777777" w:rsidR="009B2D49" w:rsidRPr="003726BE" w:rsidRDefault="009B2D49" w:rsidP="000C0714">
            <w:pPr>
              <w:pStyle w:val="Htableleftbolt"/>
              <w:rPr>
                <w:rFonts w:cs="Arial"/>
                <w:color w:val="FFFFFF" w:themeColor="accent1"/>
                <w:highlight w:val="yellow"/>
              </w:rPr>
            </w:pPr>
            <w:r w:rsidRPr="003726BE">
              <w:rPr>
                <w:color w:val="FFFFFF" w:themeColor="accent1"/>
                <w:highlight w:val="yellow"/>
              </w:rPr>
              <w:t>Indicatori di risultato relativi all'indicatore di impatto</w:t>
            </w:r>
          </w:p>
        </w:tc>
        <w:tc>
          <w:tcPr>
            <w:tcW w:w="1701" w:type="dxa"/>
            <w:shd w:val="clear" w:color="auto" w:fill="F07E31" w:themeFill="background2"/>
          </w:tcPr>
          <w:p w14:paraId="28973BDA" w14:textId="77777777" w:rsidR="009B2D49" w:rsidRPr="003726BE" w:rsidRDefault="009B2D49" w:rsidP="000C0714">
            <w:pPr>
              <w:pStyle w:val="Htableleftbolt"/>
              <w:rPr>
                <w:rFonts w:cs="Arial"/>
                <w:color w:val="FFFFFF" w:themeColor="accent1"/>
                <w:highlight w:val="yellow"/>
              </w:rPr>
            </w:pPr>
            <w:r w:rsidRPr="003726BE">
              <w:rPr>
                <w:color w:val="FFFFFF" w:themeColor="accent1"/>
                <w:highlight w:val="yellow"/>
              </w:rPr>
              <w:t>Lacune individuate</w:t>
            </w:r>
          </w:p>
        </w:tc>
        <w:tc>
          <w:tcPr>
            <w:tcW w:w="1985" w:type="dxa"/>
            <w:shd w:val="clear" w:color="auto" w:fill="F07E31" w:themeFill="background2"/>
          </w:tcPr>
          <w:p w14:paraId="4CDFE533" w14:textId="77777777" w:rsidR="009B2D49" w:rsidRPr="003726BE" w:rsidRDefault="00394BAB" w:rsidP="00CF546F">
            <w:pPr>
              <w:pStyle w:val="Htableleftbolt"/>
              <w:rPr>
                <w:rFonts w:cs="Arial"/>
                <w:color w:val="FFFFFF" w:themeColor="accent1"/>
                <w:highlight w:val="yellow"/>
              </w:rPr>
            </w:pPr>
            <w:r w:rsidRPr="003726BE">
              <w:rPr>
                <w:color w:val="FFFFFF" w:themeColor="accent1"/>
                <w:highlight w:val="yellow"/>
              </w:rPr>
              <w:t>Colmare le lacune individuate (indicatori specifici di programma e informazioni aggiuntive)</w:t>
            </w:r>
          </w:p>
        </w:tc>
      </w:tr>
      <w:tr w:rsidR="009B2D49" w:rsidRPr="003726BE" w14:paraId="3296DAC7" w14:textId="77777777" w:rsidTr="0001223C">
        <w:trPr>
          <w:jc w:val="center"/>
        </w:trPr>
        <w:tc>
          <w:tcPr>
            <w:tcW w:w="1838" w:type="dxa"/>
            <w:shd w:val="clear" w:color="auto" w:fill="auto"/>
          </w:tcPr>
          <w:p w14:paraId="7E16E696" w14:textId="77777777" w:rsidR="009B2D49" w:rsidRPr="003726BE" w:rsidRDefault="009B2D49" w:rsidP="000C0714">
            <w:pPr>
              <w:pStyle w:val="Htableleft"/>
              <w:rPr>
                <w:rFonts w:cs="Arial"/>
                <w:sz w:val="16"/>
                <w:szCs w:val="16"/>
                <w:highlight w:val="yellow"/>
              </w:rPr>
            </w:pPr>
            <w:r w:rsidRPr="003726BE">
              <w:rPr>
                <w:sz w:val="16"/>
                <w:highlight w:val="yellow"/>
              </w:rPr>
              <w:t xml:space="preserve">I14: tasso di occupazione rurale </w:t>
            </w:r>
          </w:p>
        </w:tc>
        <w:tc>
          <w:tcPr>
            <w:tcW w:w="2126" w:type="dxa"/>
            <w:shd w:val="clear" w:color="auto" w:fill="auto"/>
          </w:tcPr>
          <w:p w14:paraId="4F98FFA1" w14:textId="77777777" w:rsidR="009B2D49" w:rsidRPr="003726BE" w:rsidRDefault="009B2D49" w:rsidP="000C0714">
            <w:pPr>
              <w:pStyle w:val="Htableleft"/>
              <w:rPr>
                <w:rFonts w:cs="Arial"/>
                <w:sz w:val="16"/>
                <w:szCs w:val="16"/>
                <w:highlight w:val="yellow"/>
              </w:rPr>
            </w:pPr>
            <w:r w:rsidRPr="003726BE">
              <w:rPr>
                <w:sz w:val="16"/>
                <w:highlight w:val="yellow"/>
              </w:rPr>
              <w:t xml:space="preserve">6A: posti di lavoro creati attraverso progetti sovvenzionati </w:t>
            </w:r>
          </w:p>
          <w:p w14:paraId="3B939623" w14:textId="77777777" w:rsidR="00A24446" w:rsidRPr="003726BE" w:rsidRDefault="009B2D49" w:rsidP="00DC3A5A">
            <w:pPr>
              <w:pStyle w:val="Htableleft"/>
              <w:rPr>
                <w:rFonts w:cs="Arial"/>
                <w:sz w:val="16"/>
                <w:szCs w:val="16"/>
                <w:highlight w:val="yellow"/>
              </w:rPr>
            </w:pPr>
            <w:r w:rsidRPr="003726BE">
              <w:rPr>
                <w:sz w:val="16"/>
                <w:highlight w:val="yellow"/>
              </w:rPr>
              <w:t>(compresi i contributi secondari alla creazione di posti di lavoro risultanti da operazioni programmate ai sensi di altri FA, tra gli altri anche ai sensi del FA 6B (per LEADER)).</w:t>
            </w:r>
          </w:p>
        </w:tc>
        <w:tc>
          <w:tcPr>
            <w:tcW w:w="1701" w:type="dxa"/>
            <w:shd w:val="clear" w:color="auto" w:fill="auto"/>
          </w:tcPr>
          <w:p w14:paraId="27F37D9B" w14:textId="77777777" w:rsidR="009B2D49" w:rsidRPr="003726BE" w:rsidRDefault="009B2D49" w:rsidP="000C0714">
            <w:pPr>
              <w:pStyle w:val="Htableleft"/>
              <w:rPr>
                <w:rFonts w:cs="Arial"/>
                <w:sz w:val="16"/>
                <w:szCs w:val="16"/>
                <w:highlight w:val="yellow"/>
              </w:rPr>
            </w:pPr>
            <w:r w:rsidRPr="003726BE">
              <w:rPr>
                <w:sz w:val="16"/>
                <w:highlight w:val="yellow"/>
              </w:rPr>
              <w:t xml:space="preserve">Nessun mezzo per raccogliere informazioni sul tasso di occupazione per i beneficiari nei settori sovvenzionati. </w:t>
            </w:r>
          </w:p>
        </w:tc>
        <w:tc>
          <w:tcPr>
            <w:tcW w:w="1985" w:type="dxa"/>
            <w:shd w:val="clear" w:color="auto" w:fill="auto"/>
          </w:tcPr>
          <w:p w14:paraId="43266253" w14:textId="77777777" w:rsidR="009B2D49" w:rsidRPr="003726BE" w:rsidRDefault="009B2D49" w:rsidP="000C0714">
            <w:pPr>
              <w:pStyle w:val="Htableleft"/>
              <w:rPr>
                <w:rFonts w:cs="Arial"/>
                <w:sz w:val="16"/>
                <w:szCs w:val="16"/>
                <w:highlight w:val="yellow"/>
              </w:rPr>
            </w:pPr>
            <w:r w:rsidRPr="003726BE">
              <w:rPr>
                <w:sz w:val="16"/>
                <w:highlight w:val="yellow"/>
              </w:rPr>
              <w:t xml:space="preserve">Tasso di occupazione nei settori sovvenzionati. </w:t>
            </w:r>
          </w:p>
        </w:tc>
      </w:tr>
    </w:tbl>
    <w:p w14:paraId="6053C8DA" w14:textId="77777777" w:rsidR="009B2D49" w:rsidRPr="003726BE" w:rsidRDefault="009B2D49" w:rsidP="00C147EB">
      <w:pPr>
        <w:pStyle w:val="HHeading5"/>
        <w:rPr>
          <w:rFonts w:cs="Arial"/>
          <w:highlight w:val="yellow"/>
        </w:rPr>
      </w:pPr>
      <w:r w:rsidRPr="003726BE">
        <w:rPr>
          <w:highlight w:val="yellow"/>
        </w:rPr>
        <w:t xml:space="preserve">Specificità di LEADER </w:t>
      </w:r>
    </w:p>
    <w:p w14:paraId="094D34C1" w14:textId="77777777" w:rsidR="00097342" w:rsidRPr="003726BE" w:rsidRDefault="009B2D49" w:rsidP="00673940">
      <w:pPr>
        <w:pStyle w:val="HStandard"/>
        <w:rPr>
          <w:rFonts w:cs="Arial"/>
          <w:highlight w:val="yellow"/>
        </w:rPr>
      </w:pPr>
      <w:r w:rsidRPr="003726BE">
        <w:rPr>
          <w:highlight w:val="yellow"/>
        </w:rPr>
        <w:t xml:space="preserve">Nel caso di LEADER, le verifiche della coerenza tra la logica di intervento del PSR e gli elementi di valutazione non coprono soltanto l'aspetto specifico 6B, bensì anche quegli aspetti specifici ai quali è probabile che le operazioni della strategia CLLD forniscano un contributo. Questa verifica della coerenza consentirà, tra le altre cose, di seguire i contributi secondari (predominanti e aggiuntivi) segnalati dai beneficiari dei progetti attuati nel quadro della strategia CLLD tramite la banca </w:t>
      </w:r>
      <w:r w:rsidR="00A844E1">
        <w:rPr>
          <w:highlight w:val="yellow"/>
        </w:rPr>
        <w:t>dati delle operazioni dei GAL.</w:t>
      </w:r>
      <w:r w:rsidRPr="003726BE">
        <w:rPr>
          <w:highlight w:val="yellow"/>
        </w:rPr>
        <w:t xml:space="preserve"> </w:t>
      </w:r>
    </w:p>
    <w:p w14:paraId="71ED969E" w14:textId="77777777" w:rsidR="009B2D49" w:rsidRPr="003726BE" w:rsidRDefault="009B2D49" w:rsidP="00673940">
      <w:pPr>
        <w:pStyle w:val="HStandard"/>
        <w:rPr>
          <w:rFonts w:cs="Arial"/>
          <w:highlight w:val="yellow"/>
        </w:rPr>
      </w:pPr>
      <w:r w:rsidRPr="003726BE">
        <w:rPr>
          <w:highlight w:val="yellow"/>
        </w:rPr>
        <w:t xml:space="preserve">Se il programma contiene obiettivi specifici del programma per LEADER (ad esempio in merito agli effetti specifici di LEADER, al suo valore aggiunto, all'attuazione dei metodi LEADER, ecc.), è necessario verificare la coerenza degli stessi con le DVSP e con gli indicatori specifici per programma. Se non ci sono DVSP e indicatori specifici per programma, questi possono comunque essere sviluppati nel corso del periodo di programmazione. </w:t>
      </w:r>
    </w:p>
    <w:p w14:paraId="42B828AE" w14:textId="77777777" w:rsidR="009B2D49" w:rsidRPr="003726BE" w:rsidRDefault="009B2D49" w:rsidP="00CF546F">
      <w:pPr>
        <w:pStyle w:val="HHeading5"/>
        <w:tabs>
          <w:tab w:val="center" w:pos="3855"/>
        </w:tabs>
        <w:rPr>
          <w:rFonts w:cs="Arial"/>
          <w:highlight w:val="yellow"/>
        </w:rPr>
      </w:pPr>
      <w:r w:rsidRPr="003726BE">
        <w:rPr>
          <w:highlight w:val="yellow"/>
        </w:rPr>
        <w:t>Specificità dell'assistenza tecnica</w:t>
      </w:r>
    </w:p>
    <w:p w14:paraId="2DFD69AA" w14:textId="77777777" w:rsidR="009B2D49" w:rsidRPr="003726BE" w:rsidRDefault="009B2D49" w:rsidP="00673940">
      <w:pPr>
        <w:pStyle w:val="HStandard"/>
        <w:rPr>
          <w:rFonts w:cs="Arial"/>
          <w:highlight w:val="yellow"/>
        </w:rPr>
      </w:pPr>
      <w:r w:rsidRPr="003726BE">
        <w:rPr>
          <w:highlight w:val="yellow"/>
        </w:rPr>
        <w:t xml:space="preserve">Se gli Stati membri hanno incluso nel piano di valutazione temi di valutazione che si riferiscono ad azioni sostenute dall'assistenza tecnica, come la gestione e l'amministrazione (incluso il meccanismo di attuazione), la comunicazione del PSR, il potenziamento delle capacità, ecc. e questi sono dotati di DVSP e indicatori specifici per programma, la verifica della coerenza deve includere anche detti temi. Detti temi possono essere definiti nel piano di valutazione oppure le parti interessate coinvolte nella valutazione possono proporli un secondo momento nell'ambito del periodo di programmazione. </w:t>
      </w:r>
    </w:p>
    <w:p w14:paraId="6DCB590D" w14:textId="77777777" w:rsidR="009B2D49" w:rsidRPr="003726BE" w:rsidRDefault="009B2D49" w:rsidP="00673940">
      <w:pPr>
        <w:pStyle w:val="HStandard"/>
        <w:rPr>
          <w:rFonts w:cs="Arial"/>
          <w:highlight w:val="yellow"/>
        </w:rPr>
      </w:pPr>
      <w:r w:rsidRPr="003726BE">
        <w:rPr>
          <w:highlight w:val="yellow"/>
        </w:rPr>
        <w:t xml:space="preserve">Nel caso in cui i temi di valutazione legati ad azioni sostenute dall'assistenza tecnica non siano provvisti di DVSP e indicatori specifici per programma, questi ultimi possono essere sviluppati anche successivamente durante il periodo di programmazione. </w:t>
      </w:r>
    </w:p>
    <w:p w14:paraId="2D242DB4" w14:textId="77777777" w:rsidR="009B2D49" w:rsidRPr="003726BE" w:rsidRDefault="009B2D49" w:rsidP="00673940">
      <w:pPr>
        <w:pStyle w:val="HStandard"/>
        <w:rPr>
          <w:rFonts w:cs="Arial"/>
          <w:highlight w:val="yellow"/>
        </w:rPr>
      </w:pPr>
      <w:r w:rsidRPr="003726BE">
        <w:rPr>
          <w:highlight w:val="yellow"/>
        </w:rPr>
        <w:t>A titolo di esempio, la logica di intervento per la comunicazione e lo scambio di informazioni con le parti interessate coinvolte nella valutazione e i pertinenti elementi di valutazione sono mostrati nella figura seguente:</w:t>
      </w:r>
    </w:p>
    <w:p w14:paraId="5FFA0E1B" w14:textId="77777777" w:rsidR="009B2D49" w:rsidRPr="003726BE" w:rsidRDefault="009B2D49" w:rsidP="0010223F">
      <w:pPr>
        <w:pStyle w:val="HHeadingfigures"/>
        <w:rPr>
          <w:highlight w:val="yellow"/>
        </w:rPr>
      </w:pPr>
      <w:bookmarkStart w:id="76" w:name="_Toc460936156"/>
      <w:bookmarkStart w:id="77" w:name="_Toc474132646"/>
      <w:r w:rsidRPr="003726BE">
        <w:rPr>
          <w:highlight w:val="yellow"/>
        </w:rPr>
        <w:lastRenderedPageBreak/>
        <w:t>Logica di intervento ed elementi di valutazione per la comunicazione e lo scambio di informazioni.</w:t>
      </w:r>
      <w:bookmarkEnd w:id="76"/>
      <w:bookmarkEnd w:id="77"/>
      <w:r w:rsidRPr="003726BE">
        <w:rPr>
          <w:highlight w:val="yellow"/>
        </w:rPr>
        <w:t xml:space="preserve"> </w:t>
      </w:r>
    </w:p>
    <w:p w14:paraId="16FC1919" w14:textId="77777777" w:rsidR="009B2D49" w:rsidRPr="003726BE" w:rsidRDefault="003726BE" w:rsidP="000B7EBA">
      <w:pPr>
        <w:jc w:val="center"/>
        <w:rPr>
          <w:rFonts w:cs="Arial"/>
          <w:highlight w:val="yellow"/>
        </w:rPr>
      </w:pPr>
      <w:r>
        <w:rPr>
          <w:noProof/>
          <w:lang w:val="en-GB" w:eastAsia="en-GB" w:bidi="ar-SA"/>
        </w:rPr>
        <w:drawing>
          <wp:inline distT="0" distB="0" distL="0" distR="0" wp14:anchorId="737B3CD2" wp14:editId="59D94B02">
            <wp:extent cx="5759450" cy="3708565"/>
            <wp:effectExtent l="0" t="0" r="0" b="0"/>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8.emf"/>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759450" cy="3708565"/>
                    </a:xfrm>
                    <a:prstGeom prst="rect">
                      <a:avLst/>
                    </a:prstGeom>
                  </pic:spPr>
                </pic:pic>
              </a:graphicData>
            </a:graphic>
          </wp:inline>
        </w:drawing>
      </w:r>
    </w:p>
    <w:p w14:paraId="605B8E26" w14:textId="77777777" w:rsidR="009B2D49" w:rsidRPr="003726BE" w:rsidRDefault="009B2D49" w:rsidP="000C0714">
      <w:pPr>
        <w:pStyle w:val="HSource"/>
        <w:rPr>
          <w:rFonts w:cs="Arial"/>
          <w:highlight w:val="yellow"/>
        </w:rPr>
      </w:pPr>
      <w:r w:rsidRPr="003726BE">
        <w:rPr>
          <w:highlight w:val="yellow"/>
        </w:rPr>
        <w:t>Fonte: Helpdesk europeo della valutazione per lo sviluppo rurale, 2015.</w:t>
      </w:r>
    </w:p>
    <w:p w14:paraId="33693F3E" w14:textId="77777777" w:rsidR="009B2D49" w:rsidRPr="003726BE" w:rsidRDefault="009B2D49" w:rsidP="00C147EB">
      <w:pPr>
        <w:pStyle w:val="HHeading5"/>
        <w:rPr>
          <w:rFonts w:cs="Arial"/>
          <w:highlight w:val="yellow"/>
        </w:rPr>
      </w:pPr>
      <w:r w:rsidRPr="003726BE">
        <w:rPr>
          <w:highlight w:val="yellow"/>
        </w:rPr>
        <w:t>Specificità della RRN</w:t>
      </w:r>
    </w:p>
    <w:p w14:paraId="67ABF587" w14:textId="77777777" w:rsidR="009B2D49" w:rsidRPr="003726BE" w:rsidRDefault="009B2D49" w:rsidP="00673940">
      <w:pPr>
        <w:pStyle w:val="HStandard"/>
        <w:rPr>
          <w:rFonts w:cs="Arial"/>
          <w:highlight w:val="yellow"/>
        </w:rPr>
      </w:pPr>
      <w:r w:rsidRPr="003726BE">
        <w:rPr>
          <w:highlight w:val="yellow"/>
        </w:rPr>
        <w:t>Nel caso in cui il programma contenga DVSP e indicatori specifici per programma in relazione alla RRN, è necessario verificare la loro coerenza con gli obiettivi della RRN, come detto nel caso del PSR. Ciò dovrà essere fatto in ogni caso per i PRRN.</w:t>
      </w:r>
    </w:p>
    <w:p w14:paraId="4AF72B3C" w14:textId="77777777" w:rsidR="009B2D49" w:rsidRPr="003726BE" w:rsidRDefault="009B2D49" w:rsidP="000172A2">
      <w:pPr>
        <w:pStyle w:val="HStandard"/>
        <w:rPr>
          <w:rFonts w:cs="Arial"/>
          <w:highlight w:val="yellow"/>
        </w:rPr>
      </w:pPr>
      <w:r w:rsidRPr="003726BE">
        <w:rPr>
          <w:highlight w:val="yellow"/>
        </w:rPr>
        <w:t>Se il PSR non contiene domande di valutazione e indicatori specifici della RRN, il capitolo 5.2.3 "Sviluppare elementi di valutazione specifici del PSR" fornisce degli orientamenti generali. Consigli concreti rispetto agli elementi di valutazione della RRN saranno forniti in linee guida distinte dedicate alla valutazione della RRN</w:t>
      </w:r>
      <w:r w:rsidRPr="003726BE">
        <w:rPr>
          <w:rStyle w:val="FootnoteReference"/>
          <w:highlight w:val="yellow"/>
        </w:rPr>
        <w:footnoteReference w:id="49"/>
      </w:r>
      <w:r w:rsidRPr="003726BE">
        <w:rPr>
          <w:highlight w:val="yellow"/>
        </w:rPr>
        <w:t xml:space="preserve">. </w:t>
      </w:r>
    </w:p>
    <w:p w14:paraId="07428BEB" w14:textId="77777777" w:rsidR="009B2D49" w:rsidRPr="003726BE" w:rsidRDefault="009B2D49" w:rsidP="00C147EB">
      <w:pPr>
        <w:pStyle w:val="HHeading5"/>
        <w:rPr>
          <w:rFonts w:cs="Arial"/>
          <w:highlight w:val="yellow"/>
        </w:rPr>
      </w:pPr>
      <w:r w:rsidRPr="003726BE">
        <w:rPr>
          <w:highlight w:val="yellow"/>
        </w:rPr>
        <w:t>Per saperne di più</w:t>
      </w:r>
    </w:p>
    <w:p w14:paraId="1EFE7829" w14:textId="77777777" w:rsidR="000C0714" w:rsidRPr="003726BE" w:rsidRDefault="000C0714" w:rsidP="000C0714">
      <w:pPr>
        <w:pStyle w:val="HBox"/>
        <w:rPr>
          <w:rFonts w:cs="Arial"/>
          <w:highlight w:val="yellow"/>
        </w:rPr>
      </w:pPr>
      <w:r w:rsidRPr="003726BE">
        <w:rPr>
          <w:i/>
          <w:highlight w:val="yellow"/>
        </w:rPr>
        <w:t>Getting the most of your RDP: guidelines for the ex ante evaluation of 2014-2020 RDPs</w:t>
      </w:r>
      <w:r w:rsidRPr="003726BE">
        <w:rPr>
          <w:highlight w:val="yellow"/>
        </w:rPr>
        <w:t xml:space="preserve"> [Come mettere a frutto i PSR: linee guida per la valutazione </w:t>
      </w:r>
      <w:r w:rsidRPr="003726BE">
        <w:rPr>
          <w:i/>
          <w:highlight w:val="yellow"/>
        </w:rPr>
        <w:t>ex ante</w:t>
      </w:r>
      <w:r w:rsidRPr="003726BE">
        <w:rPr>
          <w:highlight w:val="yellow"/>
        </w:rPr>
        <w:t xml:space="preserve"> dei PSR 2014-2020] (in inglese), PARTE II, capitolo 2 e 3. </w:t>
      </w:r>
    </w:p>
    <w:p w14:paraId="235482CE" w14:textId="77777777" w:rsidR="000C0714" w:rsidRPr="003726BE" w:rsidRDefault="000C0714" w:rsidP="000C0714">
      <w:pPr>
        <w:pStyle w:val="HBox"/>
        <w:rPr>
          <w:rStyle w:val="Hyperlink"/>
          <w:highlight w:val="yellow"/>
        </w:rPr>
      </w:pPr>
      <w:r w:rsidRPr="003726BE">
        <w:rPr>
          <w:i/>
          <w:highlight w:val="yellow"/>
        </w:rPr>
        <w:t>Capturing the success of your RDP: Guidelines for the ex post evaluation of 2007-2013 RDPs</w:t>
      </w:r>
      <w:r w:rsidRPr="003726BE">
        <w:rPr>
          <w:highlight w:val="yellow"/>
        </w:rPr>
        <w:t xml:space="preserve"> [Rilevamento del successo del proprio PSR: linee guida per la valutazione </w:t>
      </w:r>
      <w:r w:rsidRPr="003726BE">
        <w:rPr>
          <w:i/>
          <w:highlight w:val="yellow"/>
        </w:rPr>
        <w:t>ex post</w:t>
      </w:r>
      <w:r w:rsidRPr="003726BE">
        <w:rPr>
          <w:highlight w:val="yellow"/>
        </w:rPr>
        <w:t xml:space="preserve"> dei PSR per il periodo 2007-2013] (in inglese), PARTE II, capitolo 1, 2 e 3, collegamento: </w:t>
      </w:r>
      <w:r w:rsidRPr="003726BE">
        <w:rPr>
          <w:rStyle w:val="Hyperlink"/>
          <w:highlight w:val="yellow"/>
        </w:rPr>
        <w:t>http://enrd.ec.europa.eu/enrd-static/evaluation/library/evaluation-helpdesk-publications/en/evaluation-helpdesk-publications_en.html</w:t>
      </w:r>
    </w:p>
    <w:p w14:paraId="7C2ADE5E" w14:textId="77777777" w:rsidR="000C0714" w:rsidRPr="003726BE" w:rsidRDefault="000C0714" w:rsidP="000C0714">
      <w:pPr>
        <w:pStyle w:val="HBox"/>
        <w:rPr>
          <w:rFonts w:cs="Arial"/>
          <w:highlight w:val="yellow"/>
        </w:rPr>
      </w:pPr>
      <w:r w:rsidRPr="003726BE">
        <w:rPr>
          <w:highlight w:val="yellow"/>
        </w:rPr>
        <w:t xml:space="preserve">Documento di lavoro: </w:t>
      </w:r>
      <w:r w:rsidRPr="003726BE">
        <w:rPr>
          <w:i/>
          <w:highlight w:val="yellow"/>
        </w:rPr>
        <w:t>Common Evaluation Questions for rural development programmes 2014-2020</w:t>
      </w:r>
      <w:r w:rsidRPr="003726BE">
        <w:rPr>
          <w:highlight w:val="yellow"/>
        </w:rPr>
        <w:t xml:space="preserve"> [Questionario valutativo comune per i programmi di sviluppo rurale 2014-2020] (in inglese), link:</w:t>
      </w:r>
      <w:r w:rsidR="00E97B0C" w:rsidRPr="00E97B0C">
        <w:rPr>
          <w:highlight w:val="yellow"/>
        </w:rPr>
        <w:t xml:space="preserve"> </w:t>
      </w:r>
      <w:hyperlink r:id="rId45" w:history="1">
        <w:r w:rsidR="00E97B0C" w:rsidRPr="00E97B0C">
          <w:rPr>
            <w:rStyle w:val="Hyperlink"/>
            <w:highlight w:val="yellow"/>
          </w:rPr>
          <w:t>http://enrd.ec.europa.eu/evaluation/publications/e-library_en</w:t>
        </w:r>
      </w:hyperlink>
    </w:p>
    <w:p w14:paraId="13A1AB92" w14:textId="77777777" w:rsidR="009B2D49" w:rsidRPr="003726BE" w:rsidRDefault="009B2D49" w:rsidP="000C0714">
      <w:pPr>
        <w:pStyle w:val="HHeading3"/>
        <w:rPr>
          <w:rFonts w:cs="Arial"/>
          <w:highlight w:val="yellow"/>
        </w:rPr>
      </w:pPr>
      <w:bookmarkStart w:id="78" w:name="_Toc460936113"/>
      <w:bookmarkStart w:id="79" w:name="_Toc474132153"/>
      <w:r w:rsidRPr="003726BE">
        <w:rPr>
          <w:highlight w:val="yellow"/>
        </w:rPr>
        <w:lastRenderedPageBreak/>
        <w:t>Sviluppo di elementi di valutazione specifici del PSR</w:t>
      </w:r>
      <w:bookmarkEnd w:id="78"/>
      <w:bookmarkEnd w:id="79"/>
      <w:r w:rsidRPr="003726BE">
        <w:rPr>
          <w:highlight w:val="yellow"/>
        </w:rPr>
        <w:t xml:space="preserve"> </w:t>
      </w:r>
    </w:p>
    <w:tbl>
      <w:tblPr>
        <w:tblStyle w:val="TableGrid"/>
        <w:tblW w:w="9071" w:type="dxa"/>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shd w:val="clear" w:color="auto" w:fill="BFBFBF" w:themeFill="accent1" w:themeFillShade="BF"/>
        <w:tblLook w:val="04A0" w:firstRow="1" w:lastRow="0" w:firstColumn="1" w:lastColumn="0" w:noHBand="0" w:noVBand="1"/>
      </w:tblPr>
      <w:tblGrid>
        <w:gridCol w:w="9071"/>
      </w:tblGrid>
      <w:tr w:rsidR="00673940" w:rsidRPr="003726BE" w14:paraId="736C19E6" w14:textId="77777777" w:rsidTr="004E4415">
        <w:trPr>
          <w:jc w:val="center"/>
        </w:trPr>
        <w:tc>
          <w:tcPr>
            <w:tcW w:w="9071" w:type="dxa"/>
            <w:shd w:val="clear" w:color="auto" w:fill="F6B183" w:themeFill="background2" w:themeFillTint="99"/>
          </w:tcPr>
          <w:p w14:paraId="3C3FB769" w14:textId="77777777" w:rsidR="005C5343" w:rsidRPr="003726BE" w:rsidRDefault="005C5343" w:rsidP="00C241E9">
            <w:pPr>
              <w:pStyle w:val="HStandard"/>
              <w:rPr>
                <w:rFonts w:cs="Arial"/>
                <w:highlight w:val="yellow"/>
              </w:rPr>
            </w:pPr>
            <w:r w:rsidRPr="003726BE">
              <w:rPr>
                <w:highlight w:val="yellow"/>
              </w:rPr>
              <w:t>Ogni volta che si esamina la coerenza tra la logica di intervento e gli elementi di valutazione e si rilevano lacune importanti, si rende necessario sviluppare DVSP e indicatori specifici per programma, nonché indicatori aggiuntivi. Ciò consentirà una valutazione corretta ed esaustiva dei risultati e degli impatti del programma, dal momento che il CMES mette a disposizione soltanto gli elementi minimi necessari per realizzare i compiti di valutazione.</w:t>
            </w:r>
          </w:p>
        </w:tc>
      </w:tr>
      <w:tr w:rsidR="005C5343" w:rsidRPr="003726BE" w14:paraId="46FE285F" w14:textId="77777777" w:rsidTr="004E4415">
        <w:trPr>
          <w:jc w:val="center"/>
        </w:trPr>
        <w:tc>
          <w:tcPr>
            <w:tcW w:w="9071" w:type="dxa"/>
            <w:shd w:val="clear" w:color="auto" w:fill="FCE5D5" w:themeFill="background2" w:themeFillTint="33"/>
          </w:tcPr>
          <w:p w14:paraId="152A75D5" w14:textId="77777777" w:rsidR="005C5343" w:rsidRPr="003726BE" w:rsidRDefault="00C147EB" w:rsidP="00C147EB">
            <w:pPr>
              <w:pStyle w:val="HHeading5"/>
              <w:rPr>
                <w:rFonts w:cs="Arial"/>
                <w:highlight w:val="yellow"/>
              </w:rPr>
            </w:pPr>
            <w:r w:rsidRPr="003726BE">
              <w:rPr>
                <w:highlight w:val="yellow"/>
              </w:rPr>
              <w:t xml:space="preserve">Fasi di lavoro raccomandate </w:t>
            </w:r>
          </w:p>
          <w:p w14:paraId="18F727CD" w14:textId="77777777" w:rsidR="005C5343" w:rsidRPr="003726BE" w:rsidRDefault="005C5343" w:rsidP="00673940">
            <w:pPr>
              <w:pStyle w:val="Hlistbullet"/>
              <w:rPr>
                <w:rFonts w:cs="Arial"/>
                <w:highlight w:val="yellow"/>
              </w:rPr>
            </w:pPr>
            <w:r w:rsidRPr="003726BE">
              <w:rPr>
                <w:b/>
                <w:highlight w:val="yellow"/>
              </w:rPr>
              <w:t>Sviluppo di DVSP:</w:t>
            </w:r>
            <w:r w:rsidRPr="003726BE">
              <w:rPr>
                <w:highlight w:val="yellow"/>
              </w:rPr>
              <w:t xml:space="preserve"> se la precedente verifica della coerenza (capitolo 5.2.2) tra analisi SWOT, logica di intervento ed elementi di valutazione ha fatto rilevare questioni molto importanti specifiche del programma da valutare e non già coperte dalle DVSP esistenti, si possono sviluppare nuove DVSP/nuovi criteri di giudizio;</w:t>
            </w:r>
            <w:r w:rsidRPr="003726BE">
              <w:rPr>
                <w:color w:val="F07E31" w:themeColor="background2"/>
                <w:highlight w:val="yellow"/>
              </w:rPr>
              <w:t xml:space="preserve"> </w:t>
            </w:r>
            <w:r w:rsidRPr="003726BE">
              <w:rPr>
                <w:b/>
                <w:color w:val="F07E31" w:themeColor="background2"/>
                <w:highlight w:val="yellow"/>
              </w:rPr>
              <w:t>(</w:t>
            </w:r>
            <w:r w:rsidRPr="003726BE">
              <w:rPr>
                <w:rFonts w:cs="Arial"/>
                <w:b/>
                <w:color w:val="F07E31" w:themeColor="background2"/>
                <w:highlight w:val="yellow"/>
              </w:rPr>
              <w:sym w:font="Wingdings" w:char="F0E0"/>
            </w:r>
            <w:r w:rsidR="00B7004F" w:rsidRPr="003726BE">
              <w:rPr>
                <w:rFonts w:cs="Arial"/>
                <w:color w:val="F07E31" w:themeColor="background2"/>
                <w:highlight w:val="yellow"/>
              </w:rPr>
              <w:fldChar w:fldCharType="begin"/>
            </w:r>
            <w:r w:rsidR="00B7004F" w:rsidRPr="003726BE">
              <w:rPr>
                <w:rFonts w:cs="Arial"/>
                <w:color w:val="F07E31" w:themeColor="background2"/>
                <w:highlight w:val="yellow"/>
              </w:rPr>
              <w:instrText xml:space="preserve"> REF _Ref434763889 \w \h  \* MERGEFORMAT </w:instrText>
            </w:r>
            <w:r w:rsidR="00B7004F" w:rsidRPr="003726BE">
              <w:rPr>
                <w:rFonts w:cs="Arial"/>
                <w:color w:val="F07E31" w:themeColor="background2"/>
                <w:highlight w:val="yellow"/>
              </w:rPr>
            </w:r>
            <w:r w:rsidR="00B7004F" w:rsidRPr="003726BE">
              <w:rPr>
                <w:rFonts w:cs="Arial"/>
                <w:color w:val="F07E31" w:themeColor="background2"/>
                <w:highlight w:val="yellow"/>
              </w:rPr>
              <w:fldChar w:fldCharType="separate"/>
            </w:r>
            <w:r w:rsidR="00F8292E" w:rsidRPr="00F8292E">
              <w:rPr>
                <w:rFonts w:cs="Arial"/>
                <w:b/>
                <w:color w:val="F07E31" w:themeColor="background2"/>
                <w:highlight w:val="yellow"/>
                <w:cs/>
              </w:rPr>
              <w:t>‎</w:t>
            </w:r>
            <w:r w:rsidR="00F8292E" w:rsidRPr="00F8292E">
              <w:rPr>
                <w:rFonts w:cs="Arial"/>
                <w:b/>
                <w:color w:val="F07E31" w:themeColor="background2"/>
                <w:highlight w:val="yellow"/>
              </w:rPr>
              <w:t xml:space="preserve">Strumento </w:t>
            </w:r>
            <w:r w:rsidR="00F8292E">
              <w:rPr>
                <w:rFonts w:cs="Arial"/>
                <w:color w:val="F07E31" w:themeColor="background2"/>
                <w:highlight w:val="yellow"/>
              </w:rPr>
              <w:t>3</w:t>
            </w:r>
            <w:r w:rsidR="00B7004F" w:rsidRPr="003726BE">
              <w:rPr>
                <w:rFonts w:cs="Arial"/>
                <w:color w:val="F07E31" w:themeColor="background2"/>
                <w:highlight w:val="yellow"/>
              </w:rPr>
              <w:fldChar w:fldCharType="end"/>
            </w:r>
            <w:r w:rsidRPr="003726BE">
              <w:rPr>
                <w:b/>
                <w:color w:val="F07E31" w:themeColor="background2"/>
                <w:highlight w:val="yellow"/>
              </w:rPr>
              <w:t xml:space="preserve"> </w:t>
            </w:r>
            <w:r w:rsidR="00B7004F" w:rsidRPr="003726BE">
              <w:rPr>
                <w:rFonts w:cs="Arial"/>
                <w:color w:val="F07E31" w:themeColor="background2"/>
                <w:highlight w:val="yellow"/>
              </w:rPr>
              <w:fldChar w:fldCharType="begin"/>
            </w:r>
            <w:r w:rsidR="00B7004F" w:rsidRPr="003726BE">
              <w:rPr>
                <w:rFonts w:cs="Arial"/>
                <w:color w:val="F07E31" w:themeColor="background2"/>
                <w:highlight w:val="yellow"/>
              </w:rPr>
              <w:instrText xml:space="preserve"> REF _Ref434763898 \h  \* MERGEFORMAT </w:instrText>
            </w:r>
            <w:r w:rsidR="00B7004F" w:rsidRPr="003726BE">
              <w:rPr>
                <w:rFonts w:cs="Arial"/>
                <w:color w:val="F07E31" w:themeColor="background2"/>
                <w:highlight w:val="yellow"/>
              </w:rPr>
            </w:r>
            <w:r w:rsidR="00B7004F" w:rsidRPr="003726BE">
              <w:rPr>
                <w:rFonts w:cs="Arial"/>
                <w:color w:val="F07E31" w:themeColor="background2"/>
                <w:highlight w:val="yellow"/>
              </w:rPr>
              <w:fldChar w:fldCharType="separate"/>
            </w:r>
            <w:r w:rsidR="00336794" w:rsidRPr="003726BE">
              <w:rPr>
                <w:rFonts w:cs="Arial"/>
                <w:b/>
                <w:color w:val="F07E31" w:themeColor="background2"/>
                <w:highlight w:val="yellow"/>
              </w:rPr>
              <w:t>Working procedure for filling the gaps in evaluation elements using the SWOT analysis</w:t>
            </w:r>
            <w:r w:rsidR="00B7004F" w:rsidRPr="003726BE">
              <w:rPr>
                <w:rFonts w:cs="Arial"/>
                <w:color w:val="F07E31" w:themeColor="background2"/>
                <w:highlight w:val="yellow"/>
              </w:rPr>
              <w:fldChar w:fldCharType="end"/>
            </w:r>
            <w:r w:rsidRPr="003726BE">
              <w:rPr>
                <w:b/>
                <w:color w:val="57825E" w:themeColor="accent4"/>
                <w:highlight w:val="yellow"/>
              </w:rPr>
              <w:t>)</w:t>
            </w:r>
            <w:r w:rsidR="00A844E1">
              <w:rPr>
                <w:highlight w:val="yellow"/>
              </w:rPr>
              <w:t xml:space="preserve"> </w:t>
            </w:r>
          </w:p>
          <w:p w14:paraId="5CBE9885" w14:textId="77777777" w:rsidR="005C5343" w:rsidRPr="003726BE" w:rsidRDefault="005C5343" w:rsidP="00673940">
            <w:pPr>
              <w:pStyle w:val="Hlistbullet"/>
              <w:rPr>
                <w:rFonts w:cs="Arial"/>
                <w:highlight w:val="yellow"/>
              </w:rPr>
            </w:pPr>
            <w:r w:rsidRPr="003726BE">
              <w:rPr>
                <w:b/>
                <w:highlight w:val="yellow"/>
              </w:rPr>
              <w:t>Sviluppo di indicatori specifici per programma:</w:t>
            </w:r>
            <w:r w:rsidRPr="003726BE">
              <w:rPr>
                <w:highlight w:val="yellow"/>
              </w:rPr>
              <w:t xml:space="preserve"> le nuove DVSP sviluppate possono richiedere la formulazione di nuovi indicatori specifici per programma, al fine di rilevare gli effetti primari, secondari, intenzionali e non intenzionali all'interno del contesto del tema di valutazione recentemente individuato. Tuttavia, si dovrebbero concepire nuovi indicatori specifici per programma soltanto se detti indicatori già esistenti non sono sufficienti a rispondere alle nuove DVSP sviluppate; </w:t>
            </w:r>
          </w:p>
          <w:p w14:paraId="16EE173C" w14:textId="77777777" w:rsidR="005C5343" w:rsidRPr="003726BE" w:rsidRDefault="005C5343" w:rsidP="00DC3A5A">
            <w:pPr>
              <w:pStyle w:val="Hlistbullet"/>
              <w:rPr>
                <w:highlight w:val="yellow"/>
              </w:rPr>
            </w:pPr>
            <w:r w:rsidRPr="003726BE">
              <w:rPr>
                <w:b/>
                <w:highlight w:val="yellow"/>
              </w:rPr>
              <w:t>Ulteriore verifica della coerenza tra l'intera serie di elementi di valutazione e la logica di intervento:</w:t>
            </w:r>
            <w:r w:rsidRPr="003726BE">
              <w:rPr>
                <w:highlight w:val="yellow"/>
              </w:rPr>
              <w:t xml:space="preserve"> si dovrebbe controllare nuovamente e verificare la coerenza dei nuovi elementi di valutazione specifici per programma rispetto alla logica di intervento del PSR. </w:t>
            </w:r>
          </w:p>
        </w:tc>
      </w:tr>
      <w:tr w:rsidR="005C5343" w:rsidRPr="003726BE" w14:paraId="6D35A501" w14:textId="77777777" w:rsidTr="004E4415">
        <w:tblPrEx>
          <w:jc w:val="left"/>
        </w:tblPrEx>
        <w:tc>
          <w:tcPr>
            <w:tcW w:w="9071" w:type="dxa"/>
            <w:shd w:val="clear" w:color="auto" w:fill="auto"/>
          </w:tcPr>
          <w:p w14:paraId="1F5F9A9B" w14:textId="77777777" w:rsidR="005C5343" w:rsidRPr="003726BE" w:rsidRDefault="005C5343" w:rsidP="00C147EB">
            <w:pPr>
              <w:pStyle w:val="HHeading5"/>
              <w:rPr>
                <w:rFonts w:cs="Arial"/>
                <w:color w:val="373737" w:themeColor="background1" w:themeShade="40"/>
                <w:highlight w:val="yellow"/>
              </w:rPr>
            </w:pPr>
            <w:r w:rsidRPr="003726BE">
              <w:rPr>
                <w:color w:val="373737" w:themeColor="background1" w:themeShade="40"/>
                <w:highlight w:val="yellow"/>
              </w:rPr>
              <w:t xml:space="preserve">Esito atteso: </w:t>
            </w:r>
          </w:p>
          <w:p w14:paraId="31BAFAD6" w14:textId="77777777" w:rsidR="005C5343" w:rsidRPr="003726BE" w:rsidRDefault="00EE6B5D" w:rsidP="00DC3A5A">
            <w:pPr>
              <w:pStyle w:val="Hlistbullet"/>
              <w:numPr>
                <w:ilvl w:val="0"/>
                <w:numId w:val="0"/>
              </w:numPr>
              <w:rPr>
                <w:highlight w:val="yellow"/>
              </w:rPr>
            </w:pPr>
            <w:r w:rsidRPr="003726BE">
              <w:rPr>
                <w:highlight w:val="yellow"/>
              </w:rPr>
              <w:t>un elenco completo di indicatori di risultato e di impatto comuni e specifici per programma capaci di rilevare tutti gli effetti diretti e indiretti del PSR. Questo elenco costituisce la base per individuare le esigenze in termini di dati e stabilire la gestione degli stessi.</w:t>
            </w:r>
          </w:p>
        </w:tc>
      </w:tr>
    </w:tbl>
    <w:p w14:paraId="3E07F938" w14:textId="77777777" w:rsidR="000C0714" w:rsidRPr="003726BE" w:rsidRDefault="000C0714" w:rsidP="00C147EB">
      <w:pPr>
        <w:pStyle w:val="HHeading5"/>
        <w:rPr>
          <w:rFonts w:cs="Arial"/>
          <w:highlight w:val="yellow"/>
        </w:rPr>
      </w:pPr>
      <w:r w:rsidRPr="003726BE">
        <w:rPr>
          <w:highlight w:val="yellow"/>
        </w:rPr>
        <w:t xml:space="preserve">Domande relative alla valutazione degli aspetti specifici e indicatori aggiuntivi </w:t>
      </w:r>
    </w:p>
    <w:p w14:paraId="52F0BBE0" w14:textId="77777777" w:rsidR="000C0714" w:rsidRPr="003726BE" w:rsidRDefault="000C0714" w:rsidP="00673940">
      <w:pPr>
        <w:pStyle w:val="HStandard"/>
        <w:rPr>
          <w:rFonts w:cs="Arial"/>
          <w:highlight w:val="yellow"/>
        </w:rPr>
      </w:pPr>
      <w:r w:rsidRPr="003726BE">
        <w:rPr>
          <w:highlight w:val="yellow"/>
        </w:rPr>
        <w:t xml:space="preserve">Diverse domande relative alla valutazione degli aspetti specifici sono collegate a indicatori di risultato (obiettivo) comuni che servono per misurare la percentuale di tutte le unità supportate ai sensi di un determinato regime di sostegno allo sviluppo rurale. Nella maggior parte dei casi, con questo tipo di indicatori, non è possibile rispondere in modo soddisfacente alle domande del QVC (perché tali indicatori non sono del tutto coerenti con i criteri di giudizio proposti nel documento di lavoro </w:t>
      </w:r>
      <w:r w:rsidRPr="003726BE">
        <w:rPr>
          <w:i/>
          <w:highlight w:val="yellow"/>
        </w:rPr>
        <w:t>Common evaluation questions for RDPs 2014-2020</w:t>
      </w:r>
      <w:r w:rsidRPr="003726BE">
        <w:rPr>
          <w:highlight w:val="yellow"/>
        </w:rPr>
        <w:t xml:space="preserve"> [Questionario valutativo comune per programmi di sviluppo rurale 2014-2020] (in inglese), oppure perché le parti interessate negli Stati membri hanno suggerito criteri di giudizio aggiuntivi). Per alcune domande del QVC, esistono degli indicatori di risultato complementari al fine di consentire una migliore valutazione dei risultati raggiunti</w:t>
      </w:r>
      <w:r w:rsidRPr="003726BE">
        <w:rPr>
          <w:rStyle w:val="FootnoteReference"/>
          <w:highlight w:val="yellow"/>
        </w:rPr>
        <w:footnoteReference w:id="50"/>
      </w:r>
      <w:r w:rsidRPr="003726BE">
        <w:rPr>
          <w:highlight w:val="yellow"/>
        </w:rPr>
        <w:t>. Per altre domande del QVC, è possibile sviluppare degli indicatori aggiuntivi già per la valutazione del PSR da comunicare nel 2017 in modo da migliorare l'affidabilità delle risposte</w:t>
      </w:r>
      <w:r w:rsidRPr="003726BE">
        <w:rPr>
          <w:rStyle w:val="FootnoteReference"/>
          <w:highlight w:val="yellow"/>
        </w:rPr>
        <w:footnoteReference w:id="51"/>
      </w:r>
      <w:r w:rsidRPr="003726BE">
        <w:rPr>
          <w:highlight w:val="yellow"/>
        </w:rPr>
        <w:t xml:space="preserve">. Gli indicatori aggiuntivi non vanno mescolati con gli indicatori specifici per programma che vengono utilizzati per rispondere alle DVSP e per misurare gli effetti specifici del programma. </w:t>
      </w:r>
    </w:p>
    <w:p w14:paraId="786454BE" w14:textId="77777777" w:rsidR="009B2D49" w:rsidRPr="003726BE" w:rsidRDefault="009B2D49" w:rsidP="00673940">
      <w:pPr>
        <w:pStyle w:val="HStandard"/>
        <w:rPr>
          <w:rFonts w:cs="Arial"/>
          <w:highlight w:val="yellow"/>
        </w:rPr>
      </w:pPr>
      <w:r w:rsidRPr="003726BE">
        <w:rPr>
          <w:highlight w:val="yellow"/>
        </w:rPr>
        <w:t xml:space="preserve">Consigli concreti su come sviluppare indicatori aggiuntivi nel rispondere alle domande relative alla valutazione degli aspetti specifici sono riportati nei modelli dedicati alle stesse, che saranno pubblicati in un documento separato. </w:t>
      </w:r>
    </w:p>
    <w:p w14:paraId="3C13EB18" w14:textId="77777777" w:rsidR="009B2D49" w:rsidRPr="003726BE" w:rsidRDefault="009B2D49" w:rsidP="00C147EB">
      <w:pPr>
        <w:pStyle w:val="HHeading5"/>
        <w:rPr>
          <w:rFonts w:cs="Arial"/>
          <w:highlight w:val="yellow"/>
        </w:rPr>
      </w:pPr>
      <w:r w:rsidRPr="003726BE">
        <w:rPr>
          <w:highlight w:val="yellow"/>
        </w:rPr>
        <w:lastRenderedPageBreak/>
        <w:t xml:space="preserve">Indicatori e domande di valutazione specifici per programma </w:t>
      </w:r>
    </w:p>
    <w:p w14:paraId="632ECB1D" w14:textId="77777777" w:rsidR="009B2D49" w:rsidRPr="003726BE" w:rsidRDefault="003122B6" w:rsidP="00673940">
      <w:pPr>
        <w:pStyle w:val="HStandard"/>
        <w:rPr>
          <w:rFonts w:cs="Arial"/>
          <w:highlight w:val="yellow"/>
        </w:rPr>
      </w:pPr>
      <w:r w:rsidRPr="003726BE">
        <w:rPr>
          <w:highlight w:val="yellow"/>
        </w:rPr>
        <w:t xml:space="preserve">Le DVSP e gli indicatori specifici del programma sono sviluppati al fine di cogliere gli effetti specifici per programma, in particolare nei casi in cui il PSR contiene obiettivi e priorità specifici. DVSP possono essere sviluppate anche al fine di dettagliare il questionario valutativo comune piuttosto generale, in modo da fornire prove più specifiche. Inoltre, le DVSP possono essere formulate per temi di valutazione LEADER e specifici presentati nel piano di valutazione (ad esempio assistenza tecnica, RRN, meccanismi di attuazione, ecc.). </w:t>
      </w:r>
    </w:p>
    <w:p w14:paraId="1532F7BF" w14:textId="77777777" w:rsidR="009B2D49" w:rsidRPr="003726BE" w:rsidRDefault="009B2D49" w:rsidP="00673940">
      <w:pPr>
        <w:pStyle w:val="HStandard"/>
        <w:rPr>
          <w:rFonts w:cs="Arial"/>
          <w:highlight w:val="yellow"/>
        </w:rPr>
      </w:pPr>
      <w:r w:rsidRPr="003726BE">
        <w:rPr>
          <w:highlight w:val="yellow"/>
        </w:rPr>
        <w:t xml:space="preserve">La pratica ha mostrato che finora gli Stati membri hanno sviluppato indicatori specifici per programma, piuttosto che DVSP. Qualora si rilevino lacune nella coerenza tra la logica di intervento del PSR e gli elementi di valutazione (cfr. capitolo 5.2.2), si dovrebbero formulare DVSP e indicatori specifici per programma. </w:t>
      </w:r>
    </w:p>
    <w:p w14:paraId="5F57168D" w14:textId="77777777" w:rsidR="000C0714" w:rsidRPr="003726BE" w:rsidRDefault="000C0714" w:rsidP="00C147EB">
      <w:pPr>
        <w:pStyle w:val="HHeading5"/>
        <w:rPr>
          <w:rFonts w:cs="Arial"/>
          <w:highlight w:val="yellow"/>
        </w:rPr>
      </w:pPr>
      <w:r w:rsidRPr="003726BE">
        <w:rPr>
          <w:highlight w:val="yellow"/>
        </w:rPr>
        <w:t>Elementi specifici del programma nei PSR</w:t>
      </w:r>
    </w:p>
    <w:p w14:paraId="2B0919F5" w14:textId="77777777" w:rsidR="000C0714" w:rsidRPr="003726BE" w:rsidRDefault="000C0714" w:rsidP="00673940">
      <w:pPr>
        <w:pStyle w:val="HStandard"/>
        <w:rPr>
          <w:rFonts w:cs="Arial"/>
          <w:highlight w:val="yellow"/>
        </w:rPr>
      </w:pPr>
      <w:r w:rsidRPr="003726BE">
        <w:rPr>
          <w:highlight w:val="yellow"/>
        </w:rPr>
        <w:t>Il riesame dei PSR approvati mostra che gli Stati membri utilizzano spesso indicatori di contesto specifici per programma nella descrizione delle condizioni settoriali, ambientali e socio-economiche iniziali che caratterizzano una data zona di programmazione (cfr.: analisi SWOT inclusa nel PSR</w:t>
      </w:r>
      <w:r w:rsidRPr="003726BE">
        <w:rPr>
          <w:b/>
          <w:i/>
          <w:color w:val="6F6F6F" w:themeColor="text1"/>
          <w:highlight w:val="yellow"/>
          <w:vertAlign w:val="superscript"/>
        </w:rPr>
        <w:footnoteReference w:id="52"/>
      </w:r>
      <w:r w:rsidRPr="003726BE">
        <w:rPr>
          <w:highlight w:val="yellow"/>
        </w:rPr>
        <w:t>), ogni volta che gli indicatori di contesto comuni non sono sufficienti a fornire un quadro realistico. Inoltre, alcuni indicatori di risultato specifici per programma sono già formulati (elenchi di questi indicatori sono disponibili negli allegati del PSR approvato</w:t>
      </w:r>
      <w:r w:rsidRPr="003726BE">
        <w:rPr>
          <w:rStyle w:val="FootnoteReference"/>
          <w:highlight w:val="yellow"/>
        </w:rPr>
        <w:footnoteReference w:id="53"/>
      </w:r>
      <w:r w:rsidRPr="003726BE">
        <w:rPr>
          <w:highlight w:val="yellow"/>
        </w:rPr>
        <w:t>). Dal punto di vista della valutazione può sembrare che questi indicatori siano incompleti e/o internamente incoerente e debbano essere riesaminati durante la verifica della coerenza tra la logica di intervento e gli elementi di valutazione, nonché adattati e integrati, ad esempio al fine di valutare tutti gli effetti specifici del programma importanti, tra cui i potenziali effetti negativi o inattesi, secondari, indiretti, specifici del programma. In tutti questi casi risulta necessario formulare DVSP e una serie di indicatori specifici per programma coerenti.</w:t>
      </w:r>
    </w:p>
    <w:p w14:paraId="173593B7" w14:textId="77777777" w:rsidR="009B2D49" w:rsidRPr="003726BE" w:rsidRDefault="00FB3426" w:rsidP="00C71423">
      <w:pPr>
        <w:pStyle w:val="H-Heading4"/>
        <w:rPr>
          <w:highlight w:val="yellow"/>
        </w:rPr>
      </w:pPr>
      <w:r w:rsidRPr="003726BE">
        <w:rPr>
          <w:highlight w:val="yellow"/>
        </w:rPr>
        <w:t xml:space="preserve">Sviluppo di domande relative alla valutazione specifiche del programma </w:t>
      </w:r>
    </w:p>
    <w:p w14:paraId="7D70806F" w14:textId="77777777" w:rsidR="009B2D49" w:rsidRPr="003726BE" w:rsidRDefault="009B2D49" w:rsidP="00673940">
      <w:pPr>
        <w:pStyle w:val="HStandard"/>
        <w:rPr>
          <w:rFonts w:cs="Arial"/>
          <w:highlight w:val="yellow"/>
        </w:rPr>
      </w:pPr>
      <w:r w:rsidRPr="003726BE">
        <w:rPr>
          <w:highlight w:val="yellow"/>
        </w:rPr>
        <w:t xml:space="preserve">Le DVSP sono legate a obiettivi specifici del programma in termini precisi. Più preciso è l'obiettivo, più facile è la formulazione della domanda di valutazione e più semplice diventa collegare singoli interventi del programma a esiti specifici. Nei PSR stessi, gli obiettivi specifici del programma non sono necessariamente accompagnati da DVSP. Nello sviluppare le DVSP, il compito è quello di stabilire in quale misura: </w:t>
      </w:r>
    </w:p>
    <w:p w14:paraId="5FFC21ED" w14:textId="77777777" w:rsidR="009B2D49" w:rsidRPr="003726BE" w:rsidRDefault="009B2D49" w:rsidP="00673940">
      <w:pPr>
        <w:pStyle w:val="Hlistbullet"/>
        <w:rPr>
          <w:rFonts w:cs="Arial"/>
          <w:highlight w:val="yellow"/>
        </w:rPr>
      </w:pPr>
      <w:r w:rsidRPr="003726BE">
        <w:rPr>
          <w:highlight w:val="yellow"/>
        </w:rPr>
        <w:t xml:space="preserve">le domande del QVC riflettono gli obiettivi specifici del programma e gli effetti attesi della logica d'intervento; </w:t>
      </w:r>
    </w:p>
    <w:p w14:paraId="66AE67D3" w14:textId="77777777" w:rsidR="009B2D49" w:rsidRPr="003726BE" w:rsidRDefault="009B2D49" w:rsidP="00A449D5">
      <w:pPr>
        <w:pStyle w:val="Hlistbullet"/>
        <w:rPr>
          <w:highlight w:val="yellow"/>
        </w:rPr>
      </w:pPr>
      <w:r w:rsidRPr="003726BE">
        <w:rPr>
          <w:highlight w:val="yellow"/>
        </w:rPr>
        <w:t>gli indicatori e i criteri di giudizio relativi al QVC consentiranno al valutatore di rilevare l'intera gamma obiettivi specifici del programma realizzati per il particolare PSR, nonché gli effetti specifici del programma.</w:t>
      </w:r>
    </w:p>
    <w:p w14:paraId="4BD1E49D" w14:textId="77777777" w:rsidR="009B2D49" w:rsidRPr="003726BE" w:rsidRDefault="009B2D49" w:rsidP="000172A2">
      <w:pPr>
        <w:pStyle w:val="HStandard"/>
        <w:rPr>
          <w:rFonts w:cs="Arial"/>
          <w:highlight w:val="yellow"/>
        </w:rPr>
      </w:pPr>
      <w:r w:rsidRPr="003726BE">
        <w:rPr>
          <w:highlight w:val="yellow"/>
        </w:rPr>
        <w:t>La formulazione delle DVSP dovrebbe:</w:t>
      </w:r>
    </w:p>
    <w:p w14:paraId="4E3C4881" w14:textId="77777777" w:rsidR="009B2D49" w:rsidRPr="003726BE" w:rsidRDefault="009B2D49" w:rsidP="00673940">
      <w:pPr>
        <w:pStyle w:val="Hlistbullet"/>
        <w:rPr>
          <w:rFonts w:cs="Arial"/>
          <w:highlight w:val="yellow"/>
        </w:rPr>
      </w:pPr>
      <w:r w:rsidRPr="003726BE">
        <w:rPr>
          <w:highlight w:val="yellow"/>
        </w:rPr>
        <w:t>riflettere i cambiamenti nel corso del tempo derivanti dall'attuazione di specifici elementi del programma (ad esempio misure specifiche del programma) o caratteristiche specifiche di beneficiari o zone di programmazione (ad esempio età, genere, tipo di aziende agricole, condizioni ambientali, ecc.);</w:t>
      </w:r>
    </w:p>
    <w:p w14:paraId="79B66529" w14:textId="77777777" w:rsidR="009B2D49" w:rsidRPr="003726BE" w:rsidRDefault="009B2D49" w:rsidP="00673940">
      <w:pPr>
        <w:pStyle w:val="Hlistbullet"/>
        <w:rPr>
          <w:rFonts w:cs="Arial"/>
          <w:highlight w:val="yellow"/>
        </w:rPr>
      </w:pPr>
      <w:r w:rsidRPr="003726BE">
        <w:rPr>
          <w:highlight w:val="yellow"/>
        </w:rPr>
        <w:t>specificare un'attività e una zona di interesse che possono essere chiaramente misurate od osservate;</w:t>
      </w:r>
    </w:p>
    <w:p w14:paraId="6553D01A" w14:textId="77777777" w:rsidR="009B2D49" w:rsidRPr="003726BE" w:rsidRDefault="009B2D49" w:rsidP="00673940">
      <w:pPr>
        <w:pStyle w:val="Hlistbullet"/>
        <w:rPr>
          <w:rFonts w:cs="Arial"/>
          <w:highlight w:val="yellow"/>
        </w:rPr>
      </w:pPr>
      <w:r w:rsidRPr="003726BE">
        <w:rPr>
          <w:highlight w:val="yellow"/>
        </w:rPr>
        <w:lastRenderedPageBreak/>
        <w:t>presentare una formulazione tale da rimandare a un unico aspetto o cambiamento distinto e da stabilire una relazione causale chiara tra il programma e il cambiamento desiderato nell'esito (effetto) (vale a dire "In che misura il cambiamento è avvenuto a causa dell'intervento?'');</w:t>
      </w:r>
    </w:p>
    <w:p w14:paraId="5B63592C" w14:textId="77777777" w:rsidR="009B2D49" w:rsidRPr="003726BE" w:rsidRDefault="009B2D49" w:rsidP="00673940">
      <w:pPr>
        <w:pStyle w:val="Hlistbullet"/>
        <w:rPr>
          <w:rFonts w:cs="Arial"/>
          <w:highlight w:val="yellow"/>
        </w:rPr>
      </w:pPr>
      <w:r w:rsidRPr="003726BE">
        <w:rPr>
          <w:highlight w:val="yellow"/>
        </w:rPr>
        <w:t>essere chiara, precisa, semplice e formulata in termini tali da cogliere il contributo di un dato programma agli obiettivi specifici del programma ricercati in termini di risultati e impatti del programma;</w:t>
      </w:r>
    </w:p>
    <w:p w14:paraId="0D60E420" w14:textId="77777777" w:rsidR="009B2D49" w:rsidRPr="003726BE" w:rsidRDefault="009B2D49" w:rsidP="00A449D5">
      <w:pPr>
        <w:pStyle w:val="Hlistbullet"/>
        <w:rPr>
          <w:highlight w:val="yellow"/>
        </w:rPr>
      </w:pPr>
      <w:r w:rsidRPr="003726BE">
        <w:rPr>
          <w:highlight w:val="yellow"/>
        </w:rPr>
        <w:t>prendere in considerazione i singoli obiettivi del programma e le specificità di una determinata zona di programmazione.</w:t>
      </w:r>
    </w:p>
    <w:p w14:paraId="591C4BC2" w14:textId="77777777" w:rsidR="009B2D49" w:rsidRPr="003726BE" w:rsidRDefault="009B2D49" w:rsidP="00673940">
      <w:pPr>
        <w:pStyle w:val="HStandard"/>
        <w:rPr>
          <w:rFonts w:cs="Arial"/>
          <w:highlight w:val="yellow"/>
        </w:rPr>
      </w:pPr>
      <w:r w:rsidRPr="003726BE">
        <w:rPr>
          <w:highlight w:val="yellow"/>
        </w:rPr>
        <w:t>Si può prevedere che nell'ambito di ogni singolo PSR la verifica della coerenza della sua logica di intervento rispetto agli elementi di valutazione (inclusi i suoi collegamenti all'analisi SWOT) porterà a:</w:t>
      </w:r>
    </w:p>
    <w:p w14:paraId="2D932ACB" w14:textId="77777777" w:rsidR="009B2D49" w:rsidRPr="003726BE" w:rsidRDefault="00FB3426" w:rsidP="00673940">
      <w:pPr>
        <w:pStyle w:val="Hlistbullet"/>
        <w:rPr>
          <w:rFonts w:cs="Arial"/>
          <w:highlight w:val="yellow"/>
        </w:rPr>
      </w:pPr>
      <w:r w:rsidRPr="003726BE">
        <w:rPr>
          <w:highlight w:val="yellow"/>
        </w:rPr>
        <w:t>una ripartizione del QVC in DVSP più specifiche;</w:t>
      </w:r>
    </w:p>
    <w:p w14:paraId="01DD7502" w14:textId="77777777" w:rsidR="009B2D49" w:rsidRPr="003726BE" w:rsidRDefault="009B2D49" w:rsidP="00673940">
      <w:pPr>
        <w:pStyle w:val="Hlistbullet"/>
        <w:rPr>
          <w:rFonts w:cs="Arial"/>
          <w:highlight w:val="yellow"/>
        </w:rPr>
      </w:pPr>
      <w:r w:rsidRPr="003726BE">
        <w:rPr>
          <w:highlight w:val="yellow"/>
        </w:rPr>
        <w:t>la formulazione di nuove DVSP incentrate sulla valutazione di temi di valutazione recentemente individuati; e</w:t>
      </w:r>
    </w:p>
    <w:p w14:paraId="27DE773D" w14:textId="77777777" w:rsidR="009B2D49" w:rsidRPr="003726BE" w:rsidRDefault="00A449D5" w:rsidP="00A449D5">
      <w:pPr>
        <w:pStyle w:val="Hlistbullet"/>
        <w:rPr>
          <w:highlight w:val="yellow"/>
        </w:rPr>
      </w:pPr>
      <w:r w:rsidRPr="003726BE">
        <w:rPr>
          <w:highlight w:val="yellow"/>
        </w:rPr>
        <w:t xml:space="preserve">una definizione puntuale di DVSP già esistenti. </w:t>
      </w:r>
    </w:p>
    <w:p w14:paraId="1C912AC5" w14:textId="77777777" w:rsidR="009B2D49" w:rsidRPr="003726BE" w:rsidRDefault="00AA5CFF" w:rsidP="00673940">
      <w:pPr>
        <w:pStyle w:val="HStandard"/>
        <w:rPr>
          <w:rFonts w:cs="Arial"/>
          <w:highlight w:val="yellow"/>
        </w:rPr>
      </w:pPr>
      <w:r w:rsidRPr="003726BE">
        <w:rPr>
          <w:highlight w:val="yellow"/>
        </w:rPr>
        <w:t>Per quanto riguarda il processo di sviluppo delle DVSP, si raccomanda al valutatore di coinvolgere più parti interessate che partecipano alla valutazione, ad esempio sotto forma di interviste strutturate sistematiche oppure tramite un seminario con le parti interessate del programma (includendo professionisti, beneficiari, partner e responsabili delle politiche). Questo approccio contribuirà a formulare DVSP pertinenti rilevando le tendenze di base nell'ambito degli effetti del programma "possibili" e "sperimentati". Suggerendo aree nell'ambito delle quali il programma comprende una serie di effetti non intenzionali o incerti, il valutatore e le parti interessate possono attingere a una teoria del cambiamento sviluppata anticipatamente. Chiaramente, nella prima fase della valutazione, è essenziale svolgere una valutazione qualitativa preliminare poiché può mettere a disposizione le prospettive preziose degli addetti ai lavori e portare alla formulazione di importanti DVSP focalizzate sulle prestazioni del programma, soprattutto per quanto riguarda i suoi effetti positivi, negativi, intenzionali e non intenzionali.</w:t>
      </w:r>
    </w:p>
    <w:p w14:paraId="08227640" w14:textId="77777777" w:rsidR="009B2D49" w:rsidRPr="003726BE" w:rsidRDefault="009B2D49" w:rsidP="00C147EB">
      <w:pPr>
        <w:pStyle w:val="HHeading5"/>
        <w:rPr>
          <w:rFonts w:cs="Arial"/>
          <w:highlight w:val="yellow"/>
        </w:rPr>
      </w:pPr>
      <w:r w:rsidRPr="003726BE">
        <w:rPr>
          <w:highlight w:val="yellow"/>
        </w:rPr>
        <w:t>Sviluppo di indicatori specifici per programma</w:t>
      </w:r>
    </w:p>
    <w:p w14:paraId="2D1F2EF2" w14:textId="77777777" w:rsidR="009B2D49" w:rsidRPr="003726BE" w:rsidRDefault="009B2D49" w:rsidP="00673940">
      <w:pPr>
        <w:pStyle w:val="HStandard"/>
        <w:rPr>
          <w:rFonts w:cs="Arial"/>
          <w:highlight w:val="yellow"/>
        </w:rPr>
      </w:pPr>
      <w:r w:rsidRPr="003726BE">
        <w:rPr>
          <w:highlight w:val="yellow"/>
        </w:rPr>
        <w:t>Si dovrebbe rispondere alle DVSP utilizzando indicatori specifici del programma, fornendo informazioni misurabili di singoli aspetti delle prestazioni dei programmi con un livello appropriato di precisione. Gli indicatori specifici per programma dovrebbero essere sviluppati in linea con i criteri RACER</w:t>
      </w:r>
      <w:r w:rsidRPr="003726BE">
        <w:rPr>
          <w:highlight w:val="yellow"/>
          <w:vertAlign w:val="superscript"/>
        </w:rPr>
        <w:footnoteReference w:id="54"/>
      </w:r>
      <w:r w:rsidRPr="003726BE">
        <w:rPr>
          <w:highlight w:val="yellow"/>
          <w:vertAlign w:val="superscript"/>
        </w:rPr>
        <w:t xml:space="preserve"> </w:t>
      </w:r>
      <w:r w:rsidRPr="003726BE">
        <w:rPr>
          <w:highlight w:val="yellow"/>
        </w:rPr>
        <w:t>(pertinenti, accettati, credibili, facili e solidi). Gli indicatori specifici per programma possono essere formulati come indicatori di contesto, di prodotto e di risultato e dovrebbero essere coerenti con le DVSP, la logica di intervento e l'analisi SWOT (cfr. sezione che segue). Gli indicatori specifici di programma dovrebbero mostrare gli effetti non intenzionali e indiretti del programma. Il loro sviluppo dovrebbe seguire le procedur</w:t>
      </w:r>
      <w:r w:rsidR="00A844E1">
        <w:rPr>
          <w:highlight w:val="yellow"/>
        </w:rPr>
        <w:t>e descritte nel capitolo 5.2.3.</w:t>
      </w:r>
      <w:r w:rsidRPr="003726BE">
        <w:rPr>
          <w:highlight w:val="yellow"/>
        </w:rPr>
        <w:t xml:space="preserve"> </w:t>
      </w:r>
    </w:p>
    <w:p w14:paraId="2058CE83" w14:textId="77777777" w:rsidR="009B2D49" w:rsidRPr="003726BE" w:rsidRDefault="009B2D49" w:rsidP="00673940">
      <w:pPr>
        <w:pStyle w:val="HStandard"/>
        <w:rPr>
          <w:rFonts w:cs="Arial"/>
          <w:highlight w:val="yellow"/>
        </w:rPr>
      </w:pPr>
      <w:r w:rsidRPr="003726BE">
        <w:rPr>
          <w:highlight w:val="yellow"/>
        </w:rPr>
        <w:t>Riassumendo, i nuovi indicatori specifici per programma sviluppati possono quindi comprendere:</w:t>
      </w:r>
    </w:p>
    <w:p w14:paraId="09F72DD7" w14:textId="77777777" w:rsidR="009B2D49" w:rsidRPr="003726BE" w:rsidRDefault="009B2D49" w:rsidP="00673940">
      <w:pPr>
        <w:pStyle w:val="Hlistbullet"/>
        <w:rPr>
          <w:rFonts w:cs="Arial"/>
          <w:highlight w:val="yellow"/>
        </w:rPr>
      </w:pPr>
      <w:r w:rsidRPr="003726BE">
        <w:rPr>
          <w:highlight w:val="yellow"/>
        </w:rPr>
        <w:t>indicatori di risultato e di impatto utilizzati per rispondere alle nuove DVSP sviluppate, che derivano da:</w:t>
      </w:r>
    </w:p>
    <w:p w14:paraId="6AA6580F" w14:textId="77777777" w:rsidR="009B2D49" w:rsidRPr="003726BE" w:rsidRDefault="009B2D49" w:rsidP="00A449D5">
      <w:pPr>
        <w:pStyle w:val="Hlistbullet2"/>
        <w:rPr>
          <w:highlight w:val="yellow"/>
        </w:rPr>
      </w:pPr>
      <w:r w:rsidRPr="003726BE">
        <w:rPr>
          <w:highlight w:val="yellow"/>
        </w:rPr>
        <w:t xml:space="preserve">obiettivi specifici del programma; </w:t>
      </w:r>
    </w:p>
    <w:p w14:paraId="0A8D382E" w14:textId="77777777" w:rsidR="009B2D49" w:rsidRPr="003726BE" w:rsidRDefault="009B2D49" w:rsidP="00A449D5">
      <w:pPr>
        <w:pStyle w:val="Hlistbullet2"/>
        <w:rPr>
          <w:highlight w:val="yellow"/>
        </w:rPr>
      </w:pPr>
      <w:r w:rsidRPr="003726BE">
        <w:rPr>
          <w:highlight w:val="yellow"/>
        </w:rPr>
        <w:t>analisi SWOT;</w:t>
      </w:r>
    </w:p>
    <w:p w14:paraId="66B0F26F" w14:textId="77777777" w:rsidR="009B2D49" w:rsidRPr="003726BE" w:rsidRDefault="001E19A7" w:rsidP="00A449D5">
      <w:pPr>
        <w:pStyle w:val="Hlistbullet2"/>
        <w:rPr>
          <w:highlight w:val="yellow"/>
        </w:rPr>
      </w:pPr>
      <w:r w:rsidRPr="003726BE">
        <w:rPr>
          <w:highlight w:val="yellow"/>
        </w:rPr>
        <w:t>effetti non intenzionali e indiretti individuati;</w:t>
      </w:r>
    </w:p>
    <w:p w14:paraId="2D516F3B" w14:textId="77777777" w:rsidR="009B2D49" w:rsidRPr="003726BE" w:rsidRDefault="009B2D49" w:rsidP="00A449D5">
      <w:pPr>
        <w:pStyle w:val="Hlistbullet2"/>
        <w:rPr>
          <w:highlight w:val="yellow"/>
        </w:rPr>
      </w:pPr>
      <w:r w:rsidRPr="003726BE">
        <w:rPr>
          <w:highlight w:val="yellow"/>
        </w:rPr>
        <w:lastRenderedPageBreak/>
        <w:t>ripartizione di "vecchie" DVSP e domande del QVC;</w:t>
      </w:r>
    </w:p>
    <w:p w14:paraId="2824FB48" w14:textId="77777777" w:rsidR="009B2D49" w:rsidRPr="003726BE" w:rsidRDefault="009B2D49" w:rsidP="00A449D5">
      <w:pPr>
        <w:pStyle w:val="Hlistbullet"/>
        <w:rPr>
          <w:highlight w:val="yellow"/>
        </w:rPr>
      </w:pPr>
      <w:r w:rsidRPr="003726BE">
        <w:rPr>
          <w:highlight w:val="yellow"/>
        </w:rPr>
        <w:t xml:space="preserve">indicatori di contesto che consentono l'analisi degli impatti del programma. </w:t>
      </w:r>
    </w:p>
    <w:p w14:paraId="2DC8D29F" w14:textId="77777777" w:rsidR="009B2D49" w:rsidRPr="003726BE" w:rsidRDefault="009B2D49" w:rsidP="00C147EB">
      <w:pPr>
        <w:pStyle w:val="HHeadingmaps"/>
        <w:rPr>
          <w:rFonts w:cs="Arial"/>
          <w:highlight w:val="yellow"/>
        </w:rPr>
      </w:pPr>
      <w:bookmarkStart w:id="80" w:name="_Ref434763839"/>
      <w:bookmarkStart w:id="81" w:name="_Ref434763853"/>
      <w:bookmarkStart w:id="82" w:name="_Ref434763889"/>
      <w:bookmarkStart w:id="83" w:name="_Ref434763898"/>
      <w:bookmarkStart w:id="84" w:name="_Toc460936161"/>
      <w:bookmarkStart w:id="85" w:name="_Toc474132651"/>
      <w:r w:rsidRPr="003726BE">
        <w:rPr>
          <w:highlight w:val="yellow"/>
        </w:rPr>
        <w:t>Procedura di lavoro per colmare le lacune negli elementi di valutazione attraverso l'analisi SWOT</w:t>
      </w:r>
      <w:bookmarkEnd w:id="80"/>
      <w:bookmarkEnd w:id="81"/>
      <w:bookmarkEnd w:id="82"/>
      <w:bookmarkEnd w:id="83"/>
      <w:bookmarkEnd w:id="84"/>
      <w:bookmarkEnd w:id="85"/>
    </w:p>
    <w:tbl>
      <w:tblPr>
        <w:tblStyle w:val="TableGrid"/>
        <w:tblW w:w="0" w:type="auto"/>
        <w:tblBorders>
          <w:top w:val="none" w:sz="0" w:space="0" w:color="auto"/>
          <w:left w:val="none" w:sz="0" w:space="0" w:color="auto"/>
          <w:bottom w:val="none" w:sz="0" w:space="0" w:color="auto"/>
          <w:right w:val="none" w:sz="0" w:space="0" w:color="auto"/>
        </w:tblBorders>
        <w:shd w:val="clear" w:color="auto" w:fill="DDDDDD"/>
        <w:tblLook w:val="04A0" w:firstRow="1" w:lastRow="0" w:firstColumn="1" w:lastColumn="0" w:noHBand="0" w:noVBand="1"/>
      </w:tblPr>
      <w:tblGrid>
        <w:gridCol w:w="9017"/>
      </w:tblGrid>
      <w:tr w:rsidR="00E23D9F" w:rsidRPr="003726BE" w14:paraId="7E4FC9B9" w14:textId="77777777" w:rsidTr="00073406">
        <w:tc>
          <w:tcPr>
            <w:tcW w:w="9017" w:type="dxa"/>
            <w:shd w:val="clear" w:color="auto" w:fill="auto"/>
          </w:tcPr>
          <w:p w14:paraId="0C44F2F5" w14:textId="77777777" w:rsidR="009B2D49" w:rsidRPr="003726BE" w:rsidRDefault="009B2D49" w:rsidP="00FB3426">
            <w:pPr>
              <w:pStyle w:val="HBox"/>
              <w:rPr>
                <w:rFonts w:cs="Arial"/>
                <w:highlight w:val="yellow"/>
              </w:rPr>
            </w:pPr>
            <w:r w:rsidRPr="003726BE">
              <w:rPr>
                <w:highlight w:val="yellow"/>
              </w:rPr>
              <w:t xml:space="preserve">Le </w:t>
            </w:r>
            <w:r w:rsidRPr="003726BE">
              <w:rPr>
                <w:b/>
                <w:highlight w:val="yellow"/>
              </w:rPr>
              <w:t>lacune negli elementi di valutazione possono essere identificate</w:t>
            </w:r>
            <w:r w:rsidRPr="003726BE">
              <w:rPr>
                <w:highlight w:val="yellow"/>
              </w:rPr>
              <w:t xml:space="preserve"> tramite la verifica della coerenza delle DVSP esistenti e degli indicatori specifici per programma rispetto ai singoli aspetti dell'analisi SWOT inclusa nel PSR. L'analisi SWOT si basata su giudizi ed è quindi soggettiva e qualitativa per natura. L'analisi SWOT può essere utilizzata anche per la valutazione, ad esempio come strumento per identificare i settori nei quali si possono attendere miglioramenti chiave grazie al programma.</w:t>
            </w:r>
          </w:p>
          <w:p w14:paraId="4C2968A3" w14:textId="77777777" w:rsidR="009B2D49" w:rsidRPr="003726BE" w:rsidRDefault="009B2D49" w:rsidP="00FB3426">
            <w:pPr>
              <w:pStyle w:val="HBox"/>
              <w:rPr>
                <w:rFonts w:cs="Arial"/>
                <w:highlight w:val="yellow"/>
              </w:rPr>
            </w:pPr>
            <w:r w:rsidRPr="003726BE">
              <w:rPr>
                <w:highlight w:val="yellow"/>
              </w:rPr>
              <w:t>La procedura analitica può essere la seguente:</w:t>
            </w:r>
          </w:p>
          <w:p w14:paraId="6BA00190" w14:textId="77777777" w:rsidR="009B2D49" w:rsidRPr="003726BE" w:rsidRDefault="00F3350F" w:rsidP="00FB3426">
            <w:pPr>
              <w:pStyle w:val="HBox"/>
              <w:rPr>
                <w:rFonts w:cs="Arial"/>
                <w:highlight w:val="yellow"/>
              </w:rPr>
            </w:pPr>
            <w:r w:rsidRPr="003726BE">
              <w:rPr>
                <w:b/>
                <w:highlight w:val="yellow"/>
              </w:rPr>
              <w:t>innanzitutto</w:t>
            </w:r>
            <w:r w:rsidRPr="003726BE">
              <w:rPr>
                <w:highlight w:val="yellow"/>
              </w:rPr>
              <w:t xml:space="preserve"> è importante comprendere che i punti di debolezza e i punti di forza rilevati tramite l'analisi SWOT possono essere controllati dal programma, ossia ci si aspetta sempre che il PSR li influenzi. Al contrario, le opportunità e le minacce sono per lo più aspetti esterni, che di solito sono fuori dal controllo del PSR e sono determinati dalla sua dotazione generale socio/economico/ambientale (vale a dire che di solito non vengono influenzati dal programma). </w:t>
            </w:r>
          </w:p>
          <w:p w14:paraId="7468F509" w14:textId="77777777" w:rsidR="009B2D49" w:rsidRPr="003726BE" w:rsidRDefault="009B2D49" w:rsidP="00FB3426">
            <w:pPr>
              <w:pStyle w:val="HBox"/>
              <w:rPr>
                <w:rFonts w:cs="Arial"/>
                <w:highlight w:val="yellow"/>
              </w:rPr>
            </w:pPr>
            <w:r w:rsidRPr="003726BE">
              <w:rPr>
                <w:highlight w:val="yellow"/>
              </w:rPr>
              <w:t>Inoltre, è importante tenere a mente che una delle ragioni principali per le quali un dato PSR è stato istituito è quella di:</w:t>
            </w:r>
          </w:p>
          <w:p w14:paraId="798D40B1" w14:textId="77777777" w:rsidR="009B2D49" w:rsidRPr="003726BE" w:rsidRDefault="009B2D49" w:rsidP="00FB3426">
            <w:pPr>
              <w:pStyle w:val="HBox"/>
              <w:rPr>
                <w:rFonts w:cs="Arial"/>
                <w:highlight w:val="yellow"/>
              </w:rPr>
            </w:pPr>
            <w:r w:rsidRPr="003726BE">
              <w:rPr>
                <w:highlight w:val="yellow"/>
              </w:rPr>
              <w:t>ridurre i punti di debolezza settoriali, ambientali e socio-economiche rilevati; e</w:t>
            </w:r>
          </w:p>
          <w:p w14:paraId="3AF7D231" w14:textId="77777777" w:rsidR="009B2D49" w:rsidRPr="003726BE" w:rsidRDefault="009B2D49" w:rsidP="00FB3426">
            <w:pPr>
              <w:pStyle w:val="HBox"/>
              <w:rPr>
                <w:rFonts w:cs="Arial"/>
                <w:highlight w:val="yellow"/>
              </w:rPr>
            </w:pPr>
            <w:r w:rsidRPr="003726BE">
              <w:rPr>
                <w:highlight w:val="yellow"/>
              </w:rPr>
              <w:t>mantenere e rafforzare i punti di forza.</w:t>
            </w:r>
          </w:p>
          <w:p w14:paraId="5047806F" w14:textId="77777777" w:rsidR="009B2D49" w:rsidRPr="003726BE" w:rsidRDefault="00F3350F" w:rsidP="00FB3426">
            <w:pPr>
              <w:pStyle w:val="HBox"/>
              <w:rPr>
                <w:rFonts w:cs="Arial"/>
                <w:highlight w:val="yellow"/>
              </w:rPr>
            </w:pPr>
            <w:r w:rsidRPr="003726BE">
              <w:rPr>
                <w:b/>
                <w:highlight w:val="yellow"/>
              </w:rPr>
              <w:t>In secondo luogo</w:t>
            </w:r>
            <w:r w:rsidRPr="003726BE">
              <w:rPr>
                <w:highlight w:val="yellow"/>
              </w:rPr>
              <w:t xml:space="preserve"> le DVSP possono essere formulate sulla base dell'analisi SWOT sotto forma di relazioni causa (dato PSR) ed effetto (risultati e impatti), chiedendosi: "In che misura il PSR ha contribuito alla riduzione dei punti di debolezza indicati nell'analisi SWOT e NON ha influenzato i punti di forza di cui nella stessa analisi?".</w:t>
            </w:r>
          </w:p>
          <w:p w14:paraId="62170BF9" w14:textId="77777777" w:rsidR="009B2D49" w:rsidRPr="003726BE" w:rsidRDefault="009B2D49" w:rsidP="00FB3426">
            <w:pPr>
              <w:pStyle w:val="HBox"/>
              <w:rPr>
                <w:rFonts w:cs="Arial"/>
                <w:highlight w:val="yellow"/>
              </w:rPr>
            </w:pPr>
            <w:r w:rsidRPr="003726BE">
              <w:rPr>
                <w:highlight w:val="yellow"/>
              </w:rPr>
              <w:t>Mentre la prima parte della DVSP si concentra sugli effetti desiderati del programma, la seconda parte della domanda sottolinea che si devono evitare effetti negativi indesiderati. Ciò premesso, rispondere a questi tipi di domande imporrà molto probabilmente la creazione e l'utilizzo di una serie di indicatori che consentiranno la misurazione degli effetti desiderati e indesiderati summenzionati.</w:t>
            </w:r>
          </w:p>
          <w:p w14:paraId="29332DA5" w14:textId="77777777" w:rsidR="009B2D49" w:rsidRPr="003726BE" w:rsidRDefault="009B2D49" w:rsidP="00FB3426">
            <w:pPr>
              <w:pStyle w:val="HBox"/>
              <w:rPr>
                <w:rFonts w:cs="Arial"/>
                <w:highlight w:val="yellow"/>
              </w:rPr>
            </w:pPr>
            <w:r w:rsidRPr="003726BE">
              <w:rPr>
                <w:highlight w:val="yellow"/>
              </w:rPr>
              <w:t>In casi specifici, una valutazione estesa può cercare di fornire una risposta alla domanda: in che misura le opportunità e le minacce menzionate nell'analisi SWOT sono state influenzate da un dato programma o una data misura? Tuttavia, ciò sarà possibile soltanto se l'entità e la portata del programma erano state valutate essere sostanziali dal punto di vista macro-economico.</w:t>
            </w:r>
          </w:p>
          <w:p w14:paraId="2B6AD2C8" w14:textId="77777777" w:rsidR="009B2D49" w:rsidRPr="003726BE" w:rsidRDefault="00F3350F" w:rsidP="00FB3426">
            <w:pPr>
              <w:pStyle w:val="HBox"/>
              <w:rPr>
                <w:rFonts w:cs="Arial"/>
                <w:highlight w:val="yellow"/>
              </w:rPr>
            </w:pPr>
            <w:r w:rsidRPr="003726BE">
              <w:rPr>
                <w:b/>
                <w:highlight w:val="yellow"/>
              </w:rPr>
              <w:t>In terzo luogo</w:t>
            </w:r>
            <w:r w:rsidRPr="003726BE">
              <w:rPr>
                <w:highlight w:val="yellow"/>
              </w:rPr>
              <w:t xml:space="preserve"> è necessario tradurre i punti di debolezza e i punti di forza riportati nell'analisi SWOT in indicatori di risultato e di impatto specifici al fine di facilitare il processo di risposta alla DVSP. </w:t>
            </w:r>
          </w:p>
          <w:p w14:paraId="3C251334" w14:textId="77777777" w:rsidR="00654BFE" w:rsidRPr="003726BE" w:rsidRDefault="009B2D49" w:rsidP="00FB3426">
            <w:pPr>
              <w:pStyle w:val="HBox"/>
              <w:rPr>
                <w:rFonts w:cs="Arial"/>
                <w:highlight w:val="yellow"/>
              </w:rPr>
            </w:pPr>
            <w:r w:rsidRPr="003726BE">
              <w:rPr>
                <w:highlight w:val="yellow"/>
              </w:rPr>
              <w:t xml:space="preserve">L'analisi SWOT si basa solitamente sull'analisi di indicatori di contesto che riflettono lo stato della situazione economica, sociale e ambientale in un dato territorio prima di un intervento del PSR. Tuttavia, durante l'attuazione del PSR, le prestazioni degli indicatori di contesto che rappresentano punti di debolezza e punti di forza settoriali saranno influenzate dal programma stesso nonché da altri fattori esogeni. Mentre le prestazioni di indicatori di contesto (e di risultato) specifici, misurati a micro livello (ad esempio, produttività della manodopera nell'agricoltura), rifletteranno, tra l'altro, il micro-effetto di un determinato programma o di una data misura, si può prevedere che le prestazioni di indicatori di contesto (e di impatto) analoghi, misurati per un determinato territorio (ad esempio, produttività della manodopera nell'agricoltura), mutino, tra l'altro, a seguito degli impatti </w:t>
            </w:r>
            <w:r w:rsidRPr="003726BE">
              <w:rPr>
                <w:highlight w:val="yellow"/>
              </w:rPr>
              <w:lastRenderedPageBreak/>
              <w:t>del programma.</w:t>
            </w:r>
          </w:p>
          <w:p w14:paraId="755E95D8" w14:textId="77777777" w:rsidR="009B2D49" w:rsidRPr="003726BE" w:rsidRDefault="009B2D49" w:rsidP="00FB3426">
            <w:pPr>
              <w:pStyle w:val="HBox"/>
              <w:rPr>
                <w:rFonts w:cs="Arial"/>
                <w:highlight w:val="yellow"/>
              </w:rPr>
            </w:pPr>
            <w:r w:rsidRPr="003726BE">
              <w:rPr>
                <w:highlight w:val="yellow"/>
              </w:rPr>
              <w:t>Gli indicatori di contesto dovrebbero quindi servire a due scopi:</w:t>
            </w:r>
          </w:p>
          <w:p w14:paraId="48A76525" w14:textId="77777777" w:rsidR="009B2D49" w:rsidRPr="003726BE" w:rsidRDefault="00654BFE" w:rsidP="00FB3426">
            <w:pPr>
              <w:pStyle w:val="HBox"/>
              <w:rPr>
                <w:rFonts w:cs="Arial"/>
                <w:highlight w:val="yellow"/>
              </w:rPr>
            </w:pPr>
            <w:r w:rsidRPr="003726BE">
              <w:rPr>
                <w:highlight w:val="yellow"/>
              </w:rPr>
              <w:t>- contribuire all'identificazione e alla misurazione dei punti di forza e dei punti di debolezza all'interno della regione, come base per l'analisi SWOT; e</w:t>
            </w:r>
          </w:p>
          <w:p w14:paraId="58E02903" w14:textId="77777777" w:rsidR="00654BFE" w:rsidRPr="003726BE" w:rsidRDefault="00654BFE" w:rsidP="00FB3426">
            <w:pPr>
              <w:pStyle w:val="HBox"/>
              <w:rPr>
                <w:rFonts w:cs="Arial"/>
                <w:highlight w:val="yellow"/>
              </w:rPr>
            </w:pPr>
            <w:r w:rsidRPr="003726BE">
              <w:rPr>
                <w:highlight w:val="yellow"/>
              </w:rPr>
              <w:t xml:space="preserve">- favorire l'analisi degli impatti realizzati all'interno del programma alla luce delle tendenze economiche, sociali, strutturali o ambientali generali. </w:t>
            </w:r>
          </w:p>
          <w:p w14:paraId="2A923980" w14:textId="77777777" w:rsidR="009B2D49" w:rsidRPr="003726BE" w:rsidRDefault="009B2D49" w:rsidP="00FB3426">
            <w:pPr>
              <w:pStyle w:val="HBox"/>
              <w:rPr>
                <w:rFonts w:cs="Arial"/>
                <w:highlight w:val="yellow"/>
              </w:rPr>
            </w:pPr>
            <w:r w:rsidRPr="003726BE">
              <w:rPr>
                <w:highlight w:val="yellow"/>
              </w:rPr>
              <w:t>Si prevede che gli indicatori di contesto che mostrano i punti di debolezza e i punti di forza delle zone rurali sulle quali si concentra lo specifico PSR migliorino o, quanto meno, non peggiorino. Il compito è quindi quello di identificare tutti i principali punti di debolezza e di forza e di esprimerli sotto forma di indicatori di risultato e di impatto pertinenti specifici per programma.</w:t>
            </w:r>
          </w:p>
          <w:p w14:paraId="46B49C12" w14:textId="77777777" w:rsidR="009B2D49" w:rsidRPr="003726BE" w:rsidRDefault="00F3350F" w:rsidP="00FB3426">
            <w:pPr>
              <w:pStyle w:val="HBox"/>
              <w:rPr>
                <w:rFonts w:cs="Arial"/>
                <w:highlight w:val="yellow"/>
              </w:rPr>
            </w:pPr>
            <w:r w:rsidRPr="003726BE">
              <w:rPr>
                <w:b/>
                <w:highlight w:val="yellow"/>
              </w:rPr>
              <w:t>In quarto luogo</w:t>
            </w:r>
            <w:r w:rsidRPr="003726BE">
              <w:rPr>
                <w:highlight w:val="yellow"/>
              </w:rPr>
              <w:t xml:space="preserve"> si deve confrontare l'elenco degli indicatori di risultato e di impatto comuni e specifici per programma preesistenti con i nuovi indicatori di risultato e di impatto specifici per programma (con indicatori derivati dall'analisi SWOT).</w:t>
            </w:r>
          </w:p>
          <w:p w14:paraId="19D43DB3" w14:textId="77777777" w:rsidR="009B2D49" w:rsidRPr="003726BE" w:rsidRDefault="009B2D49">
            <w:pPr>
              <w:pStyle w:val="HBox"/>
              <w:rPr>
                <w:rFonts w:cs="Arial"/>
                <w:highlight w:val="yellow"/>
              </w:rPr>
            </w:pPr>
            <w:r w:rsidRPr="003726BE">
              <w:rPr>
                <w:highlight w:val="yellow"/>
              </w:rPr>
              <w:t xml:space="preserve">Gli esistenti indicatori specifici del programma, già inclusi nel PSR, dovrebbero essere esaminati al fine di stabilirne l'idoneità a valutare effetti specifici per programma durante la fase di preparazione e strutturazione della valutazione (capitolo 5.2). </w:t>
            </w:r>
          </w:p>
        </w:tc>
      </w:tr>
    </w:tbl>
    <w:p w14:paraId="55FACC45" w14:textId="77777777" w:rsidR="004E4415" w:rsidRPr="003726BE" w:rsidRDefault="004E4415" w:rsidP="00C147EB">
      <w:pPr>
        <w:pStyle w:val="HHeading5"/>
        <w:rPr>
          <w:rFonts w:cs="Arial"/>
          <w:highlight w:val="yellow"/>
        </w:rPr>
      </w:pPr>
    </w:p>
    <w:p w14:paraId="117B5BE5" w14:textId="77777777" w:rsidR="009B2D49" w:rsidRPr="003726BE" w:rsidRDefault="008F72F4" w:rsidP="00C147EB">
      <w:pPr>
        <w:pStyle w:val="HHeading5"/>
        <w:rPr>
          <w:rFonts w:cs="Arial"/>
          <w:highlight w:val="yellow"/>
        </w:rPr>
      </w:pPr>
      <w:r w:rsidRPr="003726BE">
        <w:rPr>
          <w:highlight w:val="yellow"/>
        </w:rPr>
        <w:t>Ulteriore verifica della coerenza tra l'intera serie di elementi di valutazione e la logica di intervento</w:t>
      </w:r>
    </w:p>
    <w:p w14:paraId="44811817" w14:textId="77777777" w:rsidR="009B2D49" w:rsidRPr="003726BE" w:rsidRDefault="009B2D49" w:rsidP="00673940">
      <w:pPr>
        <w:pStyle w:val="HStandard"/>
        <w:rPr>
          <w:rFonts w:cs="Arial"/>
          <w:highlight w:val="yellow"/>
        </w:rPr>
      </w:pPr>
      <w:r w:rsidRPr="003726BE">
        <w:rPr>
          <w:highlight w:val="yellow"/>
        </w:rPr>
        <w:t xml:space="preserve">Lo sviluppo di nuove DVSP e nuovi indicatori specifici per programma estende la portata della valutazione chiedendo tra l'altro, quanto sia stato efficace ed efficiente il PSR nell'affrontare le esigenze e le priorità di una determinata zona interessata dal programma; aspetto questo che viene espresso tramite l'individuazione di nuovi temi/obiettivi specifici del programma. Di conseguenza, tali nuove domande e nuovi indicatori dovrebbero essere coerenti con la logica di intervento e con gli elementi di valutazione preesistenti e mostrare in dettaglio le interazioni tra le priorità, gli aspetti specifici e le misure, da un lato, e i collegamenti tra prodotti, risultati e impatti specifici del programma attesi, dall'altro. Le nuove DVSP e i nuovi indicatori sviluppati consentono la raccolta di dati e informazioni, al fine di rilevare gli effetti primari, secondari, attesi/non attesi, intenzionali/non intenzionali degli interventi del PSR (cfr. Parte III, allegato 10, strumento per la valutazione qualitativa dei contributi primari e secondari delle operazioni del PSR). </w:t>
      </w:r>
    </w:p>
    <w:p w14:paraId="2785F12A" w14:textId="77777777" w:rsidR="009B2D49" w:rsidRPr="003726BE" w:rsidRDefault="009B2D49" w:rsidP="00673940">
      <w:pPr>
        <w:pStyle w:val="HStandard"/>
        <w:rPr>
          <w:rFonts w:cs="Arial"/>
          <w:highlight w:val="yellow"/>
        </w:rPr>
      </w:pPr>
      <w:r w:rsidRPr="003726BE">
        <w:rPr>
          <w:highlight w:val="yellow"/>
        </w:rPr>
        <w:t>L'ultima serie di indicatori comuni, aggiuntivi e specifici per programma per il PSR dovrebbe consentire di rispondere a tutte le domande del QVC e a tutte le DVSP, nonché riflettere le priorità e gli obiettivi del PSR a livello nazionale/regionale e di UE</w:t>
      </w:r>
      <w:r w:rsidRPr="003726BE">
        <w:rPr>
          <w:rStyle w:val="FootnoteReference"/>
          <w:highlight w:val="yellow"/>
        </w:rPr>
        <w:footnoteReference w:id="55"/>
      </w:r>
      <w:r w:rsidRPr="003726BE">
        <w:rPr>
          <w:highlight w:val="yellow"/>
        </w:rPr>
        <w:t xml:space="preserve">. </w:t>
      </w:r>
    </w:p>
    <w:p w14:paraId="5881A4AF" w14:textId="77777777" w:rsidR="009B2D49" w:rsidRPr="003726BE" w:rsidRDefault="009B2D49" w:rsidP="00C147EB">
      <w:pPr>
        <w:pStyle w:val="HHeading5"/>
        <w:rPr>
          <w:rFonts w:cs="Arial"/>
          <w:highlight w:val="yellow"/>
        </w:rPr>
      </w:pPr>
      <w:r w:rsidRPr="003726BE">
        <w:rPr>
          <w:highlight w:val="yellow"/>
        </w:rPr>
        <w:t xml:space="preserve">Specificità di LEADER </w:t>
      </w:r>
    </w:p>
    <w:p w14:paraId="0097B1E8" w14:textId="77777777" w:rsidR="009B2D49" w:rsidRPr="003726BE" w:rsidRDefault="009B2D49" w:rsidP="00673940">
      <w:pPr>
        <w:pStyle w:val="HStandard"/>
        <w:rPr>
          <w:rFonts w:cs="Arial"/>
          <w:highlight w:val="yellow"/>
        </w:rPr>
      </w:pPr>
      <w:r w:rsidRPr="003726BE">
        <w:rPr>
          <w:highlight w:val="yellow"/>
        </w:rPr>
        <w:t xml:space="preserve">Spesso i temi di valutazione specifici del programma relativi a LEADER sono formulati già nel piano di valutazione; in altri casi, invece, vengono definiti in una fase successiva durante l'attuazione del programma. Meno spesso le autorità del programma li formulano nel momento stesso in cui definiscono i loro indicatori e le loro DVSP relativi a LEADER. Solitamente, le domande e gli indicatori relativi a LEADER vengono sviluppati in maniera aggiuntiva, dalle autorità di gestione oppure dai valutatori. Regole analoghe a quelle descritte in precedenza si applicano anche in caso di formulazione di domande e indicatori di valutazione specifici per LEADER. I temi di valutazione relativi </w:t>
      </w:r>
      <w:r w:rsidRPr="003726BE">
        <w:rPr>
          <w:highlight w:val="yellow"/>
        </w:rPr>
        <w:lastRenderedPageBreak/>
        <w:t>a LEADER influenzano i dati che devono essere raccolti tramite le banche dati delle operazioni dei GAL menz</w:t>
      </w:r>
      <w:r w:rsidR="00A844E1">
        <w:rPr>
          <w:highlight w:val="yellow"/>
        </w:rPr>
        <w:t>ionate nei capitoli precedenti.</w:t>
      </w:r>
      <w:r w:rsidRPr="003726BE">
        <w:rPr>
          <w:highlight w:val="yellow"/>
        </w:rPr>
        <w:t xml:space="preserve"> </w:t>
      </w:r>
    </w:p>
    <w:p w14:paraId="5690CD13" w14:textId="77777777" w:rsidR="009B2D49" w:rsidRPr="003726BE" w:rsidRDefault="00315DCE" w:rsidP="00673940">
      <w:pPr>
        <w:pStyle w:val="HStandard"/>
        <w:rPr>
          <w:rFonts w:cs="Arial"/>
          <w:highlight w:val="yellow"/>
        </w:rPr>
      </w:pPr>
      <w:r w:rsidRPr="003726BE">
        <w:rPr>
          <w:highlight w:val="yellow"/>
        </w:rPr>
        <w:t xml:space="preserve">Temi di valutazione specifici per LEADER possono essere stati formulati anche a livello di GAL in relazione alla strategia CLLD. </w:t>
      </w:r>
    </w:p>
    <w:p w14:paraId="0C1829CC" w14:textId="77777777" w:rsidR="009B2D49" w:rsidRPr="003726BE" w:rsidRDefault="009B2D49" w:rsidP="00C147EB">
      <w:pPr>
        <w:pStyle w:val="HHeading5"/>
        <w:rPr>
          <w:rFonts w:cs="Arial"/>
          <w:highlight w:val="yellow"/>
        </w:rPr>
      </w:pPr>
      <w:r w:rsidRPr="003726BE">
        <w:rPr>
          <w:highlight w:val="yellow"/>
        </w:rPr>
        <w:t>Specificità dell'assistenza tecnica</w:t>
      </w:r>
    </w:p>
    <w:p w14:paraId="16083886" w14:textId="77777777" w:rsidR="009B2D49" w:rsidRPr="003726BE" w:rsidRDefault="009B2D49" w:rsidP="00673940">
      <w:pPr>
        <w:pStyle w:val="HStandard"/>
        <w:rPr>
          <w:rFonts w:cs="Arial"/>
          <w:highlight w:val="yellow"/>
        </w:rPr>
      </w:pPr>
      <w:r w:rsidRPr="003726BE">
        <w:rPr>
          <w:highlight w:val="yellow"/>
        </w:rPr>
        <w:t xml:space="preserve">Le autorità di gestione possono decidere di valutare temi specifici in relazione alle azioni sostenute dall'assistenza tecnica. Come accennato nelle fasi precedenti, ogni volta che un simile tema viene individuato, l'autorità di gestione stessa o i valutatori devono formulare l'obiettivo specifico programma, la domanda di valutazione e gli indicatori. </w:t>
      </w:r>
    </w:p>
    <w:p w14:paraId="546D361C" w14:textId="77777777" w:rsidR="009B2D49" w:rsidRPr="003726BE" w:rsidRDefault="009B2D49" w:rsidP="00C147EB">
      <w:pPr>
        <w:pStyle w:val="HHeading5"/>
        <w:rPr>
          <w:rFonts w:cs="Arial"/>
          <w:highlight w:val="yellow"/>
        </w:rPr>
      </w:pPr>
      <w:r w:rsidRPr="003726BE">
        <w:rPr>
          <w:highlight w:val="yellow"/>
        </w:rPr>
        <w:t>Specificità della RRN</w:t>
      </w:r>
    </w:p>
    <w:p w14:paraId="7CC1AA4F" w14:textId="77777777" w:rsidR="009B2D49" w:rsidRPr="003726BE" w:rsidRDefault="009B2D49" w:rsidP="00673940">
      <w:pPr>
        <w:pStyle w:val="HStandard"/>
        <w:rPr>
          <w:rFonts w:cs="Arial"/>
          <w:highlight w:val="yellow"/>
        </w:rPr>
      </w:pPr>
      <w:r w:rsidRPr="003726BE">
        <w:rPr>
          <w:highlight w:val="yellow"/>
        </w:rPr>
        <w:t>Spesso i temi di valutazione specifici della RRN sono formulati nel piano di valutazione del PSR. Dopo aver definito gli obiettivi, i temi e le esigenze di valutazione relativi alla RRN, si formulano le domande di valutazione specifiche della RRN in maniera coerente con gli obiettivi relativi alla RRN e le si specifica ulteriormente tramite i criteri di giudizio. Indicatori specifici della RRN vengono formulati in maniera coerente con i criteri di giudizio di cui sopra. Consigli concreti rispetto agli elementi di valutazione della RRN saranno forniti nelle linee guida di valutazione della RRN che saranno pubblicate nel 2016.</w:t>
      </w:r>
    </w:p>
    <w:p w14:paraId="2CAF863F" w14:textId="77777777" w:rsidR="00DC3A5A" w:rsidRPr="003726BE" w:rsidRDefault="00DC3A5A">
      <w:pPr>
        <w:spacing w:before="0" w:after="0" w:line="240" w:lineRule="auto"/>
        <w:jc w:val="left"/>
        <w:rPr>
          <w:rFonts w:cs="Arial"/>
          <w:b/>
          <w:color w:val="57825E"/>
          <w:sz w:val="20"/>
          <w:szCs w:val="20"/>
          <w:highlight w:val="yellow"/>
        </w:rPr>
      </w:pPr>
      <w:r w:rsidRPr="003726BE">
        <w:br w:type="page"/>
      </w:r>
    </w:p>
    <w:p w14:paraId="64BDE7F1" w14:textId="77777777" w:rsidR="009B2D49" w:rsidRPr="003726BE" w:rsidRDefault="00E23D9F" w:rsidP="00C147EB">
      <w:pPr>
        <w:pStyle w:val="HHeading5"/>
        <w:rPr>
          <w:rFonts w:cs="Arial"/>
          <w:highlight w:val="yellow"/>
        </w:rPr>
      </w:pPr>
      <w:r w:rsidRPr="003726BE">
        <w:rPr>
          <w:highlight w:val="yellow"/>
        </w:rPr>
        <w:lastRenderedPageBreak/>
        <w:t>Per saperne di più</w:t>
      </w:r>
    </w:p>
    <w:p w14:paraId="6477E636" w14:textId="77777777" w:rsidR="00E23D9F" w:rsidRPr="003726BE" w:rsidRDefault="00E23D9F" w:rsidP="00E23D9F">
      <w:pPr>
        <w:pStyle w:val="HBox"/>
        <w:rPr>
          <w:rFonts w:cs="Arial"/>
          <w:highlight w:val="yellow"/>
        </w:rPr>
      </w:pPr>
      <w:r w:rsidRPr="003726BE">
        <w:rPr>
          <w:i/>
          <w:highlight w:val="yellow"/>
        </w:rPr>
        <w:t>Getting the most of your RDP: guidelines for the ex ante evaluation of 2014-2020 RDPs</w:t>
      </w:r>
      <w:r w:rsidRPr="003726BE">
        <w:rPr>
          <w:highlight w:val="yellow"/>
        </w:rPr>
        <w:t xml:space="preserve"> [Come mettere a frutto i PSR: linee guida per la valutazione </w:t>
      </w:r>
      <w:r w:rsidRPr="003726BE">
        <w:rPr>
          <w:i/>
          <w:highlight w:val="yellow"/>
        </w:rPr>
        <w:t>ex ante</w:t>
      </w:r>
      <w:r w:rsidRPr="003726BE">
        <w:rPr>
          <w:highlight w:val="yellow"/>
        </w:rPr>
        <w:t xml:space="preserve"> dei PSR 2014-2020] (in inglese), PARTE II, capitolo 2 e 3.</w:t>
      </w:r>
    </w:p>
    <w:p w14:paraId="66C78167" w14:textId="77777777" w:rsidR="00E23D9F" w:rsidRPr="003726BE" w:rsidRDefault="00E23D9F" w:rsidP="00E23D9F">
      <w:pPr>
        <w:pStyle w:val="HBox"/>
        <w:rPr>
          <w:rFonts w:cs="Arial"/>
          <w:highlight w:val="yellow"/>
        </w:rPr>
      </w:pPr>
      <w:r w:rsidRPr="003726BE">
        <w:rPr>
          <w:i/>
          <w:highlight w:val="yellow"/>
        </w:rPr>
        <w:t>Capturing the success of your RDP: Guidelines for the ex post evaluation of 2007-2013 RDPs</w:t>
      </w:r>
      <w:r w:rsidRPr="003726BE">
        <w:rPr>
          <w:highlight w:val="yellow"/>
        </w:rPr>
        <w:t xml:space="preserve"> [Rilevamento del successo del proprio PSR: linee guida per la valutazione </w:t>
      </w:r>
      <w:r w:rsidRPr="003726BE">
        <w:rPr>
          <w:i/>
          <w:highlight w:val="yellow"/>
        </w:rPr>
        <w:t>ex post</w:t>
      </w:r>
      <w:r w:rsidRPr="003726BE">
        <w:rPr>
          <w:highlight w:val="yellow"/>
        </w:rPr>
        <w:t xml:space="preserve"> dei PSR per il periodo 2007-2013] (in inglese), PARTE II, capitolo 1, 2 e 3.</w:t>
      </w:r>
    </w:p>
    <w:p w14:paraId="0EBC39D1" w14:textId="77777777" w:rsidR="00E23D9F" w:rsidRPr="003726BE" w:rsidRDefault="00914903" w:rsidP="00E23D9F">
      <w:pPr>
        <w:pStyle w:val="HBox"/>
        <w:rPr>
          <w:rStyle w:val="Hyperlink"/>
          <w:highlight w:val="yellow"/>
        </w:rPr>
      </w:pPr>
      <w:hyperlink r:id="rId46">
        <w:r w:rsidR="003571F4" w:rsidRPr="003726BE">
          <w:rPr>
            <w:rStyle w:val="Hyperlink"/>
            <w:highlight w:val="yellow"/>
          </w:rPr>
          <w:t>http://enrd.ec.europa.eu/enrd-static/evaluation/library/evaluation-helpdesk-publications/en/evaluation-helpdesk-publications_en.html</w:t>
        </w:r>
      </w:hyperlink>
    </w:p>
    <w:p w14:paraId="6602C1E4" w14:textId="77777777" w:rsidR="00E23D9F" w:rsidRPr="003726BE" w:rsidRDefault="00E23D9F" w:rsidP="00E23D9F">
      <w:pPr>
        <w:pStyle w:val="HBox"/>
        <w:rPr>
          <w:rFonts w:cs="Arial"/>
          <w:highlight w:val="yellow"/>
        </w:rPr>
      </w:pPr>
      <w:r w:rsidRPr="003726BE">
        <w:rPr>
          <w:i/>
          <w:highlight w:val="yellow"/>
        </w:rPr>
        <w:t>Guidelines: Establishing and implementing the Evaluation plan of 2014-2020 RDPs</w:t>
      </w:r>
      <w:r w:rsidRPr="003726BE">
        <w:rPr>
          <w:highlight w:val="yellow"/>
        </w:rPr>
        <w:t xml:space="preserve"> [Linee guida: definizione e attuazione del piano di valutazione dei PSR 2014-2020] (in inglese, esiste un estratto in italiano), Parte II, capitolo 6, </w:t>
      </w:r>
      <w:hyperlink r:id="rId47" w:history="1">
        <w:r w:rsidR="00E97B0C" w:rsidRPr="00E97B0C">
          <w:rPr>
            <w:rStyle w:val="Hyperlink"/>
            <w:highlight w:val="yellow"/>
          </w:rPr>
          <w:t>http://enrd.ec.europa.eu/evaluation/publications/e-library_en</w:t>
        </w:r>
      </w:hyperlink>
    </w:p>
    <w:p w14:paraId="12D54629" w14:textId="77777777" w:rsidR="009B2D49" w:rsidRPr="003726BE" w:rsidRDefault="00E23D9F" w:rsidP="00E23D9F">
      <w:pPr>
        <w:pStyle w:val="HBox"/>
        <w:rPr>
          <w:rFonts w:cs="Arial"/>
        </w:rPr>
      </w:pPr>
      <w:r w:rsidRPr="003726BE">
        <w:rPr>
          <w:i/>
          <w:highlight w:val="yellow"/>
        </w:rPr>
        <w:t>Working Document: Common Evaluation Questions for Rural Development Programmes 2014-2020</w:t>
      </w:r>
      <w:r w:rsidRPr="003726BE">
        <w:rPr>
          <w:highlight w:val="yellow"/>
        </w:rPr>
        <w:t xml:space="preserve"> [Documento di lavoro: questionario valutativo comune per i programmi di sviluppo rurale 2014-2020] (in inglese), </w:t>
      </w:r>
      <w:hyperlink r:id="rId48" w:history="1">
        <w:r w:rsidR="00E97B0C" w:rsidRPr="00E97B0C">
          <w:rPr>
            <w:rStyle w:val="Hyperlink"/>
            <w:highlight w:val="yellow"/>
          </w:rPr>
          <w:t>http://enrd.ec.europa.eu/evaluation/publications/e-library_en</w:t>
        </w:r>
      </w:hyperlink>
    </w:p>
    <w:p w14:paraId="1AF14FD0" w14:textId="77777777" w:rsidR="00E23D9F" w:rsidRPr="003726BE" w:rsidRDefault="00E23D9F" w:rsidP="00E23D9F">
      <w:pPr>
        <w:pStyle w:val="HHeading1"/>
        <w:rPr>
          <w:rFonts w:cs="Arial"/>
          <w:caps w:val="0"/>
        </w:rPr>
      </w:pPr>
      <w:bookmarkStart w:id="86" w:name="_Toc460936114"/>
      <w:bookmarkStart w:id="87" w:name="_Toc474132154"/>
      <w:r w:rsidRPr="003726BE">
        <w:rPr>
          <w:caps w:val="0"/>
        </w:rPr>
        <w:lastRenderedPageBreak/>
        <w:t>STRUCTURING THE EVALUATION</w:t>
      </w:r>
      <w:bookmarkEnd w:id="86"/>
      <w:bookmarkEnd w:id="87"/>
    </w:p>
    <w:p w14:paraId="368FABE4" w14:textId="77777777" w:rsidR="00E23D9F" w:rsidRPr="00CB34A3" w:rsidRDefault="00E23D9F" w:rsidP="00673940">
      <w:pPr>
        <w:pStyle w:val="HStandard"/>
        <w:rPr>
          <w:rFonts w:cs="Arial"/>
          <w:lang w:val="en-GB"/>
        </w:rPr>
      </w:pPr>
      <w:r w:rsidRPr="00CB34A3">
        <w:rPr>
          <w:lang w:val="en-GB"/>
        </w:rPr>
        <w:t xml:space="preserve">In the structuring phase, the evaluation stakeholders set up the </w:t>
      </w:r>
      <w:r w:rsidRPr="00CB34A3">
        <w:rPr>
          <w:b/>
          <w:lang w:val="en-GB"/>
        </w:rPr>
        <w:t>evaluation approach</w:t>
      </w:r>
      <w:r w:rsidRPr="00CB34A3">
        <w:rPr>
          <w:lang w:val="en-GB"/>
        </w:rPr>
        <w:t xml:space="preserve"> and establish the basics for collecting the </w:t>
      </w:r>
      <w:r w:rsidRPr="00CB34A3">
        <w:rPr>
          <w:b/>
          <w:lang w:val="en-GB"/>
        </w:rPr>
        <w:t>evidence</w:t>
      </w:r>
      <w:r w:rsidRPr="00CB34A3">
        <w:rPr>
          <w:lang w:val="en-GB"/>
        </w:rPr>
        <w:t xml:space="preserve"> necessary to answer the EQ. For this purpose, the evaluation methods are selected and combined; information needs for the assessment of common and programme-specific indicators are identified; data sources are screened and provisions are made in order to get data and information in the required format for RDP the evaluation. </w:t>
      </w:r>
    </w:p>
    <w:p w14:paraId="40C20EB0" w14:textId="77777777" w:rsidR="00E23D9F" w:rsidRPr="00CB34A3" w:rsidRDefault="00E23D9F" w:rsidP="00673940">
      <w:pPr>
        <w:pStyle w:val="HStandard"/>
        <w:rPr>
          <w:rFonts w:cs="Arial"/>
          <w:lang w:val="en-GB"/>
        </w:rPr>
      </w:pPr>
      <w:r w:rsidRPr="00CB34A3">
        <w:rPr>
          <w:lang w:val="en-GB"/>
        </w:rPr>
        <w:t>There is however no sharp borderline between preparing and structuring the evaluation. In some Member States, Managing Authorities define in the Terms of Reference a certain evaluation approach or even an evaluation method, whereas in other Member States it is up to the evaluators to propose the approach.</w:t>
      </w:r>
    </w:p>
    <w:p w14:paraId="6FBA4D00" w14:textId="77777777" w:rsidR="00E23D9F" w:rsidRPr="00CB34A3" w:rsidRDefault="00E23D9F" w:rsidP="00673940">
      <w:pPr>
        <w:pStyle w:val="HStandard"/>
        <w:rPr>
          <w:rFonts w:cs="Arial"/>
          <w:lang w:val="en-GB"/>
        </w:rPr>
      </w:pPr>
      <w:r w:rsidRPr="00CB34A3">
        <w:rPr>
          <w:lang w:val="en-GB"/>
        </w:rPr>
        <w:t>The decision on the selection of the evaluation approach ideally stays with the Managing Authority or evaluation experts within the ministry. In case the evaluators propose the evaluation methods, it is recommended that the Managing Authority closely follows the selection of the evaluation approach and methods. This is important for later judgements regarding the quality of t</w:t>
      </w:r>
      <w:r w:rsidR="00A844E1">
        <w:rPr>
          <w:lang w:val="en-GB"/>
        </w:rPr>
        <w:t xml:space="preserve">he outcomes of the evaluation. </w:t>
      </w:r>
    </w:p>
    <w:p w14:paraId="5928FBC0" w14:textId="77777777" w:rsidR="008C4990" w:rsidRPr="00CB34A3" w:rsidRDefault="00E23D9F" w:rsidP="00673940">
      <w:pPr>
        <w:pStyle w:val="HStandard"/>
        <w:rPr>
          <w:rFonts w:cs="Arial"/>
          <w:lang w:val="en-GB"/>
        </w:rPr>
      </w:pPr>
      <w:r w:rsidRPr="00CB34A3">
        <w:rPr>
          <w:lang w:val="en-GB"/>
        </w:rPr>
        <w:t>As for conducting and reporting on the evaluation in the AIR 2017 the structuring phase should preferably focus on the legal requirement</w:t>
      </w:r>
      <w:r w:rsidRPr="003726BE">
        <w:rPr>
          <w:rStyle w:val="FootnoteReference"/>
        </w:rPr>
        <w:footnoteReference w:id="56"/>
      </w:r>
      <w:r w:rsidRPr="00CB34A3">
        <w:rPr>
          <w:lang w:val="en-GB"/>
        </w:rPr>
        <w:t xml:space="preserve"> linked to this particular report: “reporting and quantification of programme achievements, in particular through assessment of the complementary result indicators, and relevant evaluation questions”, meaning those related to RD focus areas and other RDP aspects (synergies among priorities and focus areas, NRN and TA).</w:t>
      </w:r>
    </w:p>
    <w:p w14:paraId="144ECD3E" w14:textId="77777777" w:rsidR="00E23D9F" w:rsidRPr="00CB34A3" w:rsidRDefault="008D031B" w:rsidP="00673940">
      <w:pPr>
        <w:pStyle w:val="HStandard"/>
        <w:rPr>
          <w:rFonts w:cs="Arial"/>
          <w:lang w:val="en-GB"/>
        </w:rPr>
      </w:pPr>
      <w:r w:rsidRPr="00CB34A3">
        <w:rPr>
          <w:lang w:val="en-GB"/>
        </w:rPr>
        <w:t>Nevertheless, the focus of these Guidelines is on reporting on the evaluation in 2017, it is recommended not to limit the structuring phase to CEQ No 1 – 21, but to prepare for all RDP-related EQs. Such an approach is more valuable later on, when data will be needed to calculate programme impacts and answer horizontal EQs – common EU objectives and overall RDP-related EQs (in 2019 and in the ex post).</w:t>
      </w:r>
    </w:p>
    <w:p w14:paraId="2E248ADB" w14:textId="77777777" w:rsidR="00B8727E" w:rsidRPr="00CB34A3" w:rsidRDefault="00B8727E" w:rsidP="00B8727E">
      <w:pPr>
        <w:pStyle w:val="HHeading2"/>
        <w:rPr>
          <w:rFonts w:cs="Arial"/>
          <w:lang w:val="en-GB"/>
        </w:rPr>
      </w:pPr>
      <w:bookmarkStart w:id="88" w:name="_Toc460936115"/>
      <w:bookmarkStart w:id="89" w:name="_Toc474132155"/>
      <w:r w:rsidRPr="00CB34A3">
        <w:rPr>
          <w:lang w:val="en-GB"/>
        </w:rPr>
        <w:t>Set up a consistent evaluation approach</w:t>
      </w:r>
      <w:bookmarkEnd w:id="88"/>
      <w:bookmarkEnd w:id="89"/>
    </w:p>
    <w:p w14:paraId="4AEFCA66" w14:textId="77777777" w:rsidR="00B8727E" w:rsidRPr="00CB34A3" w:rsidRDefault="00B8727E" w:rsidP="00B8727E">
      <w:pPr>
        <w:pStyle w:val="HHeading3"/>
        <w:rPr>
          <w:rFonts w:cs="Arial"/>
          <w:lang w:val="en-GB"/>
        </w:rPr>
      </w:pPr>
      <w:bookmarkStart w:id="90" w:name="_Toc460936116"/>
      <w:bookmarkStart w:id="91" w:name="_Toc474132156"/>
      <w:r w:rsidRPr="00CB34A3">
        <w:rPr>
          <w:lang w:val="en-GB"/>
        </w:rPr>
        <w:t>Selection of a suitable evaluation approach for the evaluation of RDP results in 2017</w:t>
      </w:r>
      <w:bookmarkEnd w:id="90"/>
      <w:bookmarkEnd w:id="91"/>
      <w:r w:rsidRPr="00CB34A3">
        <w:rPr>
          <w:lang w:val="en-GB"/>
        </w:rPr>
        <w:t xml:space="preserve"> </w:t>
      </w:r>
    </w:p>
    <w:tbl>
      <w:tblPr>
        <w:tblStyle w:val="TableGrid"/>
        <w:tblW w:w="9071" w:type="dxa"/>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9071"/>
      </w:tblGrid>
      <w:tr w:rsidR="00673940" w:rsidRPr="00F61F42" w14:paraId="38DA9456" w14:textId="77777777" w:rsidTr="004E4415">
        <w:trPr>
          <w:jc w:val="center"/>
        </w:trPr>
        <w:tc>
          <w:tcPr>
            <w:tcW w:w="9071" w:type="dxa"/>
            <w:tcBorders>
              <w:bottom w:val="single" w:sz="4" w:space="0" w:color="6F6F6F" w:themeColor="text1"/>
            </w:tcBorders>
            <w:shd w:val="clear" w:color="auto" w:fill="F6B183" w:themeFill="background2" w:themeFillTint="99"/>
          </w:tcPr>
          <w:p w14:paraId="6C3498E6" w14:textId="77777777" w:rsidR="00CB507F" w:rsidRPr="00CB34A3" w:rsidRDefault="00CB507F">
            <w:pPr>
              <w:pStyle w:val="HStandard"/>
              <w:rPr>
                <w:rFonts w:cs="Arial"/>
                <w:lang w:val="en-GB"/>
              </w:rPr>
            </w:pPr>
            <w:r w:rsidRPr="00CB34A3">
              <w:rPr>
                <w:lang w:val="en-GB"/>
              </w:rPr>
              <w:t>The decision concerning, which evaluation approach is most suitable (e.g. theory of change, quantitative, qualitative and mixed approaches) is one of the key steps in preparing the evaluation. The selected approach has to capture and quantify the programme achievements, in particular through the assessment of the result indicators and answering focus area-related EQs. The approach has implications on data requirements, but also on the quality and robustness of the evaluation findings.</w:t>
            </w:r>
          </w:p>
        </w:tc>
      </w:tr>
      <w:tr w:rsidR="00CB507F" w:rsidRPr="00F61F42" w14:paraId="20871C4F" w14:textId="77777777" w:rsidTr="004E4415">
        <w:trPr>
          <w:jc w:val="center"/>
        </w:trPr>
        <w:tc>
          <w:tcPr>
            <w:tcW w:w="9071" w:type="dxa"/>
            <w:shd w:val="clear" w:color="auto" w:fill="FCE5D5" w:themeFill="background2" w:themeFillTint="33"/>
          </w:tcPr>
          <w:p w14:paraId="3479668F" w14:textId="77777777" w:rsidR="00CB507F" w:rsidRPr="003726BE" w:rsidRDefault="00CB507F" w:rsidP="00C147EB">
            <w:pPr>
              <w:pStyle w:val="HHeading5"/>
              <w:rPr>
                <w:rFonts w:cs="Arial"/>
              </w:rPr>
            </w:pPr>
            <w:r w:rsidRPr="003726BE">
              <w:t xml:space="preserve">Recommended working steps: </w:t>
            </w:r>
          </w:p>
          <w:p w14:paraId="30604215" w14:textId="77777777" w:rsidR="00CB507F" w:rsidRPr="00CB34A3" w:rsidRDefault="00CB507F" w:rsidP="00673940">
            <w:pPr>
              <w:pStyle w:val="Hlistbullet"/>
              <w:rPr>
                <w:rFonts w:cs="Arial"/>
                <w:lang w:val="en-GB"/>
              </w:rPr>
            </w:pPr>
            <w:r w:rsidRPr="00CB34A3">
              <w:rPr>
                <w:b/>
                <w:lang w:val="en-GB"/>
              </w:rPr>
              <w:t>Review what the evaluation approach needs to be able to capture for the specific evaluation in 2017</w:t>
            </w:r>
            <w:r w:rsidRPr="00CB34A3">
              <w:rPr>
                <w:lang w:val="en-GB"/>
              </w:rPr>
              <w:t xml:space="preserve">. List those aspects that the evaluation approach needs to fulfil in 2017: quantification of programme achievements, assessment of programme results (direct programme effects, indirect programme effects, secondary contributions, synergies and transverse effects, proportionality of analysis, and assessment of the counterfactual situation). </w:t>
            </w:r>
          </w:p>
          <w:p w14:paraId="77D3FA10" w14:textId="77777777" w:rsidR="00CB507F" w:rsidRPr="003726BE" w:rsidRDefault="00CB507F" w:rsidP="00673940">
            <w:pPr>
              <w:pStyle w:val="Hlistbullet"/>
              <w:rPr>
                <w:rFonts w:cs="Arial"/>
              </w:rPr>
            </w:pPr>
            <w:r w:rsidRPr="00CB34A3">
              <w:rPr>
                <w:b/>
                <w:lang w:val="en-GB"/>
              </w:rPr>
              <w:t>Review various evaluation approaches based on quality criteria:</w:t>
            </w:r>
            <w:r w:rsidRPr="00CB34A3">
              <w:rPr>
                <w:lang w:val="en-GB"/>
              </w:rPr>
              <w:t xml:space="preserve"> Different evaluation </w:t>
            </w:r>
            <w:r w:rsidRPr="00CB34A3">
              <w:rPr>
                <w:lang w:val="en-GB"/>
              </w:rPr>
              <w:lastRenderedPageBreak/>
              <w:t xml:space="preserve">approaches (theory of change, quantitative, qualitative and mixed approaches) should be critically reviewed by taking into consideration the criteria for selection of evaluation approaches. This can be done, e.g. by assigning scores (1-5) to each separate criterion (e.g. causality, selection bias, etc.) and by summing up the obtained results. Furthermore, scores might be adjusted by assigning to each of the above criteria individual weights (the latter show the “theoretical importance” of an individual criterion versus other criteria). </w:t>
            </w:r>
            <w:r w:rsidRPr="003726BE">
              <w:rPr>
                <w:b/>
                <w:color w:val="57825E" w:themeColor="accent4"/>
              </w:rPr>
              <w:t>(</w:t>
            </w:r>
            <w:r w:rsidR="00F3350F" w:rsidRPr="003726BE">
              <w:rPr>
                <w:rFonts w:cs="Arial"/>
                <w:b/>
                <w:color w:val="57825E" w:themeColor="accent4"/>
              </w:rPr>
              <w:fldChar w:fldCharType="begin"/>
            </w:r>
            <w:r w:rsidR="00E33EA9" w:rsidRPr="003726BE">
              <w:rPr>
                <w:rFonts w:cs="Arial"/>
                <w:b/>
                <w:color w:val="57825E" w:themeColor="accent4"/>
              </w:rPr>
              <w:instrText xml:space="preserve"> REF _Ref434849342 \w \h </w:instrText>
            </w:r>
            <w:r w:rsidR="007B459A" w:rsidRPr="003726BE">
              <w:rPr>
                <w:rFonts w:cs="Arial"/>
                <w:b/>
                <w:color w:val="57825E" w:themeColor="accent4"/>
              </w:rPr>
              <w:instrText xml:space="preserve"> \* MERGEFORMAT </w:instrText>
            </w:r>
            <w:r w:rsidR="00F3350F" w:rsidRPr="003726BE">
              <w:rPr>
                <w:rFonts w:cs="Arial"/>
                <w:b/>
                <w:color w:val="57825E" w:themeColor="accent4"/>
              </w:rPr>
            </w:r>
            <w:r w:rsidR="00F3350F" w:rsidRPr="003726BE">
              <w:rPr>
                <w:rFonts w:cs="Arial"/>
                <w:b/>
                <w:color w:val="57825E" w:themeColor="accent4"/>
              </w:rPr>
              <w:fldChar w:fldCharType="separate"/>
            </w:r>
            <w:r w:rsidR="00336794" w:rsidRPr="003726BE">
              <w:rPr>
                <w:rFonts w:cs="Arial"/>
                <w:b/>
                <w:color w:val="57825E" w:themeColor="accent4"/>
              </w:rPr>
              <w:t>0</w:t>
            </w:r>
            <w:r w:rsidR="00F3350F" w:rsidRPr="003726BE">
              <w:rPr>
                <w:rFonts w:cs="Arial"/>
                <w:b/>
                <w:color w:val="57825E" w:themeColor="accent4"/>
              </w:rPr>
              <w:fldChar w:fldCharType="end"/>
            </w:r>
            <w:r w:rsidRPr="003726BE">
              <w:rPr>
                <w:b/>
                <w:color w:val="57825E" w:themeColor="accent4"/>
              </w:rPr>
              <w:t xml:space="preserve"> - Criteria for selection of evaluation approach)</w:t>
            </w:r>
            <w:r w:rsidRPr="003726BE">
              <w:rPr>
                <w:color w:val="57825E" w:themeColor="accent4"/>
              </w:rPr>
              <w:t xml:space="preserve"> </w:t>
            </w:r>
          </w:p>
          <w:p w14:paraId="1A2D413C" w14:textId="77777777" w:rsidR="00CB507F" w:rsidRPr="00CB34A3" w:rsidRDefault="00CB507F" w:rsidP="00673940">
            <w:pPr>
              <w:pStyle w:val="Hlistbullet"/>
              <w:rPr>
                <w:rFonts w:cs="Arial"/>
                <w:lang w:val="en-GB"/>
              </w:rPr>
            </w:pPr>
            <w:r w:rsidRPr="00CB34A3">
              <w:rPr>
                <w:b/>
                <w:lang w:val="en-GB"/>
              </w:rPr>
              <w:t>Assess the adequateness of the approaches for the assessment of programme effectiveness and efficiency</w:t>
            </w:r>
            <w:r w:rsidRPr="00CB34A3">
              <w:rPr>
                <w:lang w:val="en-GB"/>
              </w:rPr>
              <w:t>: Under this step the Managing Authority and evaluators may consider various aspects of practicability of each evaluation approach by taking into consideration their suitability for the analysis of programme effectiveness and efficiency at various levels (i.e. micro-level, regional-level, macro-level), as well as their ability to provide results at various descriptive scales (i.e. nominal scale, ordinal scale and cardinal scale). Here, evaluators may assign scores to individual approaches by combining individual criteria, e.g. ability to assess programme effectiveness at micro-level using cardinal scale (score=5), etc.</w:t>
            </w:r>
          </w:p>
          <w:p w14:paraId="552C535E" w14:textId="77777777" w:rsidR="00CB507F" w:rsidRPr="00CB34A3" w:rsidRDefault="00CB507F" w:rsidP="007E500C">
            <w:pPr>
              <w:pStyle w:val="Hlistbullet"/>
              <w:rPr>
                <w:rFonts w:cs="Arial"/>
                <w:lang w:val="en-GB"/>
              </w:rPr>
            </w:pPr>
            <w:r w:rsidRPr="00CB34A3">
              <w:rPr>
                <w:b/>
                <w:lang w:val="en-GB"/>
              </w:rPr>
              <w:t>Assess the adequateness of the approaches for analysing the achievements of RDP objectives</w:t>
            </w:r>
            <w:r w:rsidRPr="00CB34A3">
              <w:rPr>
                <w:lang w:val="en-GB"/>
              </w:rPr>
              <w:t>: Under this step, evaluators may consider other aspects of the evaluation approach’s practicability by answering the question: which evaluation approach is most suitable for the analysis of common, horizontal and specific objectives of individual RDPs. Or, which approach appears as the most advantageous concerning the analysis of a particular type of objective, e.g. horizontal objective? This can also be done, e.g. by assigning scores (1-5) to each criterion mentioned above.</w:t>
            </w:r>
          </w:p>
        </w:tc>
      </w:tr>
      <w:tr w:rsidR="00CB507F" w:rsidRPr="00F61F42" w14:paraId="4928C0C1" w14:textId="77777777" w:rsidTr="004E4415">
        <w:trPr>
          <w:jc w:val="center"/>
        </w:trPr>
        <w:tc>
          <w:tcPr>
            <w:tcW w:w="9071" w:type="dxa"/>
          </w:tcPr>
          <w:p w14:paraId="7A55D066" w14:textId="77777777" w:rsidR="00CB507F" w:rsidRPr="00CB34A3" w:rsidRDefault="00CB507F" w:rsidP="004B63F1">
            <w:pPr>
              <w:rPr>
                <w:rFonts w:cs="Arial"/>
                <w:sz w:val="20"/>
                <w:szCs w:val="20"/>
                <w:lang w:val="en-GB"/>
              </w:rPr>
            </w:pPr>
            <w:r w:rsidRPr="00CB34A3">
              <w:rPr>
                <w:b/>
                <w:color w:val="373737" w:themeColor="background1" w:themeShade="40"/>
                <w:sz w:val="20"/>
                <w:lang w:val="en-GB"/>
              </w:rPr>
              <w:lastRenderedPageBreak/>
              <w:t xml:space="preserve">Expected outcome: </w:t>
            </w:r>
            <w:r w:rsidRPr="00CB34A3">
              <w:rPr>
                <w:color w:val="373737" w:themeColor="background1" w:themeShade="40"/>
                <w:sz w:val="20"/>
                <w:lang w:val="en-GB"/>
              </w:rPr>
              <w:t xml:space="preserve">Decision on evaluation approach. </w:t>
            </w:r>
          </w:p>
        </w:tc>
      </w:tr>
    </w:tbl>
    <w:p w14:paraId="3B7794F0" w14:textId="77777777" w:rsidR="00B8727E" w:rsidRPr="00CB34A3" w:rsidRDefault="00B8727E" w:rsidP="00C147EB">
      <w:pPr>
        <w:pStyle w:val="HHeading5"/>
        <w:rPr>
          <w:rFonts w:cs="Arial"/>
          <w:lang w:val="en-GB"/>
        </w:rPr>
      </w:pPr>
      <w:r w:rsidRPr="00CB34A3">
        <w:rPr>
          <w:lang w:val="en-GB"/>
        </w:rPr>
        <w:t>What needs to be captured by the evaluation approach?</w:t>
      </w:r>
    </w:p>
    <w:p w14:paraId="75999972" w14:textId="77777777" w:rsidR="00B8727E" w:rsidRPr="00CB34A3" w:rsidRDefault="00B8727E" w:rsidP="00673940">
      <w:pPr>
        <w:pStyle w:val="HStandard"/>
        <w:rPr>
          <w:rFonts w:cs="Arial"/>
          <w:lang w:val="en-GB"/>
        </w:rPr>
      </w:pPr>
      <w:r w:rsidRPr="00CB34A3">
        <w:rPr>
          <w:lang w:val="en-GB"/>
        </w:rPr>
        <w:t xml:space="preserve">The main focus of the RDP evaluation in 2017 will be the quantification of programme achievements, in particular through the assessment of result indicators and answering focus area-related EQs. This quantification will reflect the real uptake of the RDP and will be based on all operations collected through the operations database by the end of 2016. </w:t>
      </w:r>
    </w:p>
    <w:p w14:paraId="20A09796" w14:textId="77777777" w:rsidR="00706418" w:rsidRPr="00CB34A3" w:rsidRDefault="00B8727E" w:rsidP="00706418">
      <w:pPr>
        <w:pStyle w:val="HStandard"/>
        <w:rPr>
          <w:rFonts w:cs="Arial"/>
          <w:lang w:val="en-GB"/>
        </w:rPr>
      </w:pPr>
      <w:r w:rsidRPr="00CB34A3">
        <w:rPr>
          <w:lang w:val="en-GB"/>
        </w:rPr>
        <w:t>The assessment of programme results</w:t>
      </w:r>
      <w:r w:rsidRPr="003726BE">
        <w:rPr>
          <w:rStyle w:val="FootnoteReference"/>
        </w:rPr>
        <w:footnoteReference w:id="57"/>
      </w:r>
      <w:r w:rsidRPr="00CB34A3">
        <w:rPr>
          <w:lang w:val="en-GB"/>
        </w:rPr>
        <w:t xml:space="preserve"> requires taking into consideration:</w:t>
      </w:r>
    </w:p>
    <w:p w14:paraId="4BE421FE" w14:textId="77777777" w:rsidR="00B3590E" w:rsidRPr="00CB34A3" w:rsidRDefault="00B8727E" w:rsidP="00A449D5">
      <w:pPr>
        <w:pStyle w:val="Hlistbullet"/>
        <w:rPr>
          <w:lang w:val="en-GB"/>
        </w:rPr>
      </w:pPr>
      <w:r w:rsidRPr="00CB34A3">
        <w:rPr>
          <w:lang w:val="en-GB"/>
        </w:rPr>
        <w:t xml:space="preserve">Direct programme effects which occur at the level of the programme beneficiaries (to see them involves, in most cases, comparison of the effects between programme beneficiaries and non-beneficiaries), </w:t>
      </w:r>
    </w:p>
    <w:p w14:paraId="09F8F893" w14:textId="77777777" w:rsidR="00B8727E" w:rsidRPr="00CB34A3" w:rsidRDefault="00B8727E" w:rsidP="00A449D5">
      <w:pPr>
        <w:pStyle w:val="Hlistbullet"/>
        <w:rPr>
          <w:lang w:val="en-GB"/>
        </w:rPr>
      </w:pPr>
      <w:r w:rsidRPr="00CB34A3">
        <w:rPr>
          <w:lang w:val="en-GB"/>
        </w:rPr>
        <w:t xml:space="preserve">Indirect programme effects (e.g. deadweight loss, leverage effects, etc.), which also occur at the level of programme beneficiaries have to be assessed on a case by case basis, depending on the indicators and likelihood of indirect effects to appear, More information on programme direct and indirect effects can be found in Chapter 5.1 'Revisit the RDP intervention logic'. </w:t>
      </w:r>
    </w:p>
    <w:p w14:paraId="2F64D713" w14:textId="77777777" w:rsidR="00706418" w:rsidRPr="00CB34A3" w:rsidRDefault="00706418" w:rsidP="00706418">
      <w:pPr>
        <w:pStyle w:val="Hlistbullet"/>
        <w:numPr>
          <w:ilvl w:val="0"/>
          <w:numId w:val="0"/>
        </w:numPr>
        <w:rPr>
          <w:rFonts w:cs="Arial"/>
          <w:lang w:val="en-GB"/>
        </w:rPr>
      </w:pPr>
      <w:r w:rsidRPr="00CB34A3">
        <w:rPr>
          <w:lang w:val="en-GB"/>
        </w:rPr>
        <w:t>In the assessment of RDP results the calculation of the results indicator covers the operations:</w:t>
      </w:r>
    </w:p>
    <w:p w14:paraId="4A9BCC2B" w14:textId="77777777" w:rsidR="00BD1ECC" w:rsidRPr="00CB34A3" w:rsidRDefault="00706418" w:rsidP="00A449D5">
      <w:pPr>
        <w:pStyle w:val="Hlistbullet"/>
        <w:rPr>
          <w:lang w:val="en-GB"/>
        </w:rPr>
      </w:pPr>
      <w:r w:rsidRPr="00CB34A3">
        <w:rPr>
          <w:lang w:val="en-GB"/>
        </w:rPr>
        <w:t>Primarily programmed and implemented under the FA which rel</w:t>
      </w:r>
      <w:r w:rsidR="00A844E1">
        <w:rPr>
          <w:lang w:val="en-GB"/>
        </w:rPr>
        <w:t xml:space="preserve">ates to the results indicator. </w:t>
      </w:r>
    </w:p>
    <w:p w14:paraId="55F46669" w14:textId="77777777" w:rsidR="00706418" w:rsidRPr="00CB34A3" w:rsidRDefault="00706418" w:rsidP="00A449D5">
      <w:pPr>
        <w:pStyle w:val="Hlistbullet"/>
        <w:rPr>
          <w:lang w:val="en-GB"/>
        </w:rPr>
      </w:pPr>
      <w:r w:rsidRPr="00CB34A3">
        <w:rPr>
          <w:lang w:val="en-GB"/>
        </w:rPr>
        <w:t>Operations which are programmed under other FAs but which contribute secondarily to the above result indicator.</w:t>
      </w:r>
    </w:p>
    <w:p w14:paraId="1C09AD5A" w14:textId="77777777" w:rsidR="003069B5" w:rsidRPr="00CB34A3" w:rsidRDefault="00D4638A" w:rsidP="00673940">
      <w:pPr>
        <w:pStyle w:val="HStandard"/>
        <w:rPr>
          <w:rFonts w:cs="Arial"/>
          <w:lang w:val="en-GB"/>
        </w:rPr>
      </w:pPr>
      <w:r w:rsidRPr="00CB34A3">
        <w:rPr>
          <w:lang w:val="en-GB"/>
        </w:rPr>
        <w:t xml:space="preserve">To assess </w:t>
      </w:r>
      <w:r w:rsidRPr="00CB34A3">
        <w:rPr>
          <w:b/>
          <w:lang w:val="en-GB"/>
        </w:rPr>
        <w:t>secondary contributions</w:t>
      </w:r>
      <w:r w:rsidRPr="00CB34A3">
        <w:rPr>
          <w:lang w:val="en-GB"/>
        </w:rPr>
        <w:t xml:space="preserve"> of operations to focus areas other than those under which they are programmed, Member States can use sampling techniques. Samples are based on information </w:t>
      </w:r>
      <w:r w:rsidRPr="00CB34A3">
        <w:rPr>
          <w:lang w:val="en-GB"/>
        </w:rPr>
        <w:lastRenderedPageBreak/>
        <w:t xml:space="preserve">collected via the operations database, namely from application forms and payment requests, where beneficiaries flag all focus areas to which implemented operations contribute in addition to the one under which they are programmed, while estimating the extent of their contribution (in ratio). If massive contributions are expected, samples should be representative of the identified population. In case of minor contributions of certain operations to other focus areas, the total population of beneficiaries could be used for calculation. If, however, the contributions are minimal, they can be neglected. More information on the assessment of secondary contributions with respect to concrete result indicators and related CEQs can be found in the Annex 11, published as a separate document. </w:t>
      </w:r>
    </w:p>
    <w:p w14:paraId="3A4C1C0E" w14:textId="77777777" w:rsidR="00D4638A" w:rsidRPr="00CB34A3" w:rsidRDefault="003069B5" w:rsidP="000172A2">
      <w:pPr>
        <w:pStyle w:val="Hlistbullet2"/>
        <w:numPr>
          <w:ilvl w:val="0"/>
          <w:numId w:val="0"/>
        </w:numPr>
        <w:rPr>
          <w:rFonts w:cs="Arial"/>
          <w:lang w:val="en-GB"/>
        </w:rPr>
      </w:pPr>
      <w:r w:rsidRPr="00CB34A3">
        <w:rPr>
          <w:lang w:val="en-GB"/>
        </w:rPr>
        <w:t xml:space="preserve">The assessment of secondary contributions also shows where the programme is generating synergies (positive transverse effects) among focus areas and rural development priorities. For preliminary analysis of synergies or potential negative transverse effects, the evaluators may use the qualitative assessment tool of Annex 8 of PART III. </w:t>
      </w:r>
    </w:p>
    <w:p w14:paraId="14DD0E12" w14:textId="77777777" w:rsidR="00B8727E" w:rsidRPr="00CB34A3" w:rsidRDefault="00B8727E" w:rsidP="00C71423">
      <w:pPr>
        <w:pStyle w:val="H-Heading4"/>
        <w:rPr>
          <w:lang w:val="en-GB"/>
        </w:rPr>
      </w:pPr>
      <w:r w:rsidRPr="00CB34A3">
        <w:rPr>
          <w:lang w:val="en-GB"/>
        </w:rPr>
        <w:t xml:space="preserve">Challenges in the assessment of programme results </w:t>
      </w:r>
    </w:p>
    <w:p w14:paraId="7F7178DD" w14:textId="77777777" w:rsidR="00B8727E" w:rsidRPr="00CB34A3" w:rsidRDefault="0075301D" w:rsidP="00673940">
      <w:pPr>
        <w:pStyle w:val="HStandard"/>
        <w:rPr>
          <w:rFonts w:cs="Arial"/>
          <w:lang w:val="en-GB"/>
        </w:rPr>
      </w:pPr>
      <w:r w:rsidRPr="00CB34A3">
        <w:rPr>
          <w:lang w:val="en-GB"/>
        </w:rPr>
        <w:t xml:space="preserve">The </w:t>
      </w:r>
      <w:r w:rsidRPr="00CB34A3">
        <w:rPr>
          <w:b/>
          <w:lang w:val="en-GB"/>
        </w:rPr>
        <w:t>major challenge</w:t>
      </w:r>
      <w:r w:rsidRPr="00CB34A3">
        <w:rPr>
          <w:lang w:val="en-GB"/>
        </w:rPr>
        <w:t xml:space="preserve"> in the assessment of RDPs is to attribute observable changes in the programme area (as values of indicators or qualitative changes) to RDP´s intervention. The robustness and rigour of the identified attribution will depend on the selected evaluation approach. A number of challenges must be addressed in the selection of the evaluation approach</w:t>
      </w:r>
      <w:r w:rsidRPr="003726BE">
        <w:rPr>
          <w:rStyle w:val="FootnoteReference"/>
        </w:rPr>
        <w:footnoteReference w:id="58"/>
      </w:r>
      <w:r w:rsidRPr="00CB34A3">
        <w:rPr>
          <w:lang w:val="en-GB"/>
        </w:rPr>
        <w:t>:</w:t>
      </w:r>
    </w:p>
    <w:p w14:paraId="3F36BC8F" w14:textId="77777777" w:rsidR="00B8727E" w:rsidRPr="00CB34A3" w:rsidRDefault="00B8727E" w:rsidP="006875CA">
      <w:pPr>
        <w:pStyle w:val="Hlistbullet"/>
        <w:numPr>
          <w:ilvl w:val="0"/>
          <w:numId w:val="0"/>
        </w:numPr>
        <w:rPr>
          <w:rFonts w:cs="Arial"/>
          <w:lang w:val="en-GB"/>
        </w:rPr>
      </w:pPr>
      <w:r w:rsidRPr="00CB34A3">
        <w:rPr>
          <w:lang w:val="en-GB"/>
        </w:rPr>
        <w:t>The scope of socio-economic and environmental objectives is very broad because of the heterogeneity of rural areas and their specific strengths and weaknesses;</w:t>
      </w:r>
    </w:p>
    <w:p w14:paraId="31EC809C" w14:textId="77777777" w:rsidR="0009758C" w:rsidRPr="00CB34A3" w:rsidRDefault="00E318AD" w:rsidP="0079615D">
      <w:pPr>
        <w:pStyle w:val="HStandard"/>
        <w:rPr>
          <w:rFonts w:cs="Arial"/>
          <w:lang w:val="en-GB"/>
        </w:rPr>
      </w:pPr>
      <w:r w:rsidRPr="00CB34A3">
        <w:rPr>
          <w:lang w:val="en-GB"/>
        </w:rPr>
        <w:t>Availability of data is the key factor in the selection of methods to assess the programme effects: for quasi-experimental evaluation, micro-data at the single farms/firms, municipality, district, NUTS III, NUTS II are needed, which are aggregated and extrapolated up to the programme area. In cases where there is a lack of data, the input-output models can be used. However, such methods are not ideal from an analytical point of view because they do not provide robust findings</w:t>
      </w:r>
      <w:r w:rsidRPr="003726BE">
        <w:rPr>
          <w:i/>
          <w:vertAlign w:val="superscript"/>
        </w:rPr>
        <w:footnoteReference w:id="59"/>
      </w:r>
      <w:r w:rsidRPr="00CB34A3">
        <w:rPr>
          <w:vertAlign w:val="superscript"/>
          <w:lang w:val="en-GB"/>
        </w:rPr>
        <w:t>.</w:t>
      </w:r>
    </w:p>
    <w:p w14:paraId="590E9F29" w14:textId="77777777" w:rsidR="00B8727E" w:rsidRPr="00CB34A3" w:rsidRDefault="00B8727E" w:rsidP="00673940">
      <w:pPr>
        <w:pStyle w:val="HStandard"/>
        <w:rPr>
          <w:rFonts w:cs="Arial"/>
          <w:lang w:val="en-GB"/>
        </w:rPr>
      </w:pPr>
      <w:r w:rsidRPr="00CB34A3">
        <w:rPr>
          <w:lang w:val="en-GB"/>
        </w:rPr>
        <w:t xml:space="preserve">The main methodological challenge in the assessment of programme results (at a micro-level) in 2017 will be to answer the question: “What would have happened to the respective programme beneficiaries /area without the programme?” by providing the evidence of a true cause-and-effect link between the values of observed indicators and the RDP. </w:t>
      </w:r>
    </w:p>
    <w:p w14:paraId="20FCD478" w14:textId="77777777" w:rsidR="00B8727E" w:rsidRPr="00CB34A3" w:rsidRDefault="00B8727E" w:rsidP="00673940">
      <w:pPr>
        <w:pStyle w:val="HStandard"/>
        <w:rPr>
          <w:rFonts w:cs="Arial"/>
          <w:lang w:val="en-GB"/>
        </w:rPr>
      </w:pPr>
      <w:r w:rsidRPr="00CB34A3">
        <w:rPr>
          <w:lang w:val="en-GB"/>
        </w:rPr>
        <w:t xml:space="preserve">This question cannot be answered straightforwardly: It is not easy to establish whether causal relationships between the programme and the observable values of the indicators exist as also other factors (independent from the RDP) may simultaneously affect it. For example, the change in agricultural output/AWU observed for the group of programme beneficiaries can be affected by the change in input and output prices, managerial skills of beneficiary farmers, factor endowment, etc. </w:t>
      </w:r>
    </w:p>
    <w:p w14:paraId="1E6FBAA4" w14:textId="77777777" w:rsidR="00B8727E" w:rsidRPr="00CB34A3" w:rsidRDefault="00B8727E" w:rsidP="00673940">
      <w:pPr>
        <w:pStyle w:val="HStandard"/>
        <w:rPr>
          <w:rFonts w:cs="Arial"/>
          <w:lang w:val="en-GB"/>
        </w:rPr>
      </w:pPr>
      <w:r w:rsidRPr="00CB34A3">
        <w:rPr>
          <w:lang w:val="en-GB"/>
        </w:rPr>
        <w:t>This causal inference problem can be solved empirically by finding an appropriate counterfactual. While finding a suitable counterfactual is more easily achieved for RDP measures focused on sectorial and socio-economic effects, it proves to be more complicated for most of the environmental measures affecting biodiversity, water quality, HNV, climate change, etc. Due to the complexity and site specificity of programmes oriented particularly at the environment, the identification of control groups/areas and the establishment of a situation with and without the programme may become especially difficult.</w:t>
      </w:r>
    </w:p>
    <w:p w14:paraId="3F57DE26" w14:textId="77777777" w:rsidR="00B8727E" w:rsidRPr="00CB34A3" w:rsidRDefault="00B8727E" w:rsidP="00C71423">
      <w:pPr>
        <w:pStyle w:val="H-Heading4"/>
        <w:rPr>
          <w:lang w:val="en-GB"/>
        </w:rPr>
      </w:pPr>
      <w:r w:rsidRPr="00CB34A3">
        <w:rPr>
          <w:lang w:val="en-GB"/>
        </w:rPr>
        <w:lastRenderedPageBreak/>
        <w:t>Selection of the most advantageous evaluation approach</w:t>
      </w:r>
    </w:p>
    <w:p w14:paraId="28F236F7" w14:textId="77777777" w:rsidR="00B8727E" w:rsidRPr="00CB34A3" w:rsidRDefault="00B8727E" w:rsidP="00673940">
      <w:pPr>
        <w:pStyle w:val="HStandard"/>
        <w:rPr>
          <w:rFonts w:cs="Arial"/>
          <w:lang w:val="en-GB"/>
        </w:rPr>
      </w:pPr>
      <w:r w:rsidRPr="00CB34A3">
        <w:rPr>
          <w:lang w:val="en-GB"/>
        </w:rPr>
        <w:t xml:space="preserve">There are four basic evaluation approaches: a) theory of change, b) quantitative, c) qualitative and d) mixed approaches (see </w:t>
      </w:r>
      <w:hyperlink r:id="rId49">
        <w:r w:rsidRPr="00CB34A3">
          <w:rPr>
            <w:rStyle w:val="Hyperlink"/>
            <w:lang w:val="en-GB"/>
          </w:rPr>
          <w:t>Guidelines for ex-post evaluation of RDPs 2007-2013</w:t>
        </w:r>
      </w:hyperlink>
      <w:r w:rsidRPr="00CB34A3">
        <w:rPr>
          <w:lang w:val="en-GB"/>
        </w:rPr>
        <w:t xml:space="preserve">). </w:t>
      </w:r>
    </w:p>
    <w:p w14:paraId="6F336F6E" w14:textId="77777777" w:rsidR="00B8727E" w:rsidRPr="00CB34A3" w:rsidRDefault="00B8727E" w:rsidP="00673940">
      <w:pPr>
        <w:pStyle w:val="HStandard"/>
        <w:rPr>
          <w:rFonts w:cs="Arial"/>
          <w:lang w:val="en-GB"/>
        </w:rPr>
      </w:pPr>
      <w:r w:rsidRPr="00CB34A3">
        <w:rPr>
          <w:lang w:val="en-GB"/>
        </w:rPr>
        <w:t xml:space="preserve">The evaluation practice shows that a mixed-method approach involving the integration of rigorous (e.g. quasi-experimental) quantitative and qualitative methodologies is the most adequate empirical approach to evaluate RDPs provided that sufficient data on beneficiaries can be collected. Mixed-method evaluations seek to integrate social science disciplines with quantitative (counterfactuals) and qualitative approaches to theory, data collection, data analysis and interpretation. </w:t>
      </w:r>
    </w:p>
    <w:p w14:paraId="2346B6AA" w14:textId="77777777" w:rsidR="00B8727E" w:rsidRPr="00CB34A3" w:rsidRDefault="00B8727E" w:rsidP="00673940">
      <w:pPr>
        <w:pStyle w:val="HStandard"/>
        <w:rPr>
          <w:rFonts w:cs="Arial"/>
          <w:lang w:val="en-GB"/>
        </w:rPr>
      </w:pPr>
      <w:r w:rsidRPr="00CB34A3">
        <w:rPr>
          <w:lang w:val="en-GB"/>
        </w:rPr>
        <w:t xml:space="preserve">Mixed-methods approaches can help to develop more comprehensive evidence of programme results (and impacts) and, for example, can be used to distinguish between implementation failure and theory failure in the event of a lack of intended results/impacts. The key strength of this approach is the ability to provide a triangulation of specific methods and data. </w:t>
      </w:r>
    </w:p>
    <w:p w14:paraId="6ADA5A38" w14:textId="77777777" w:rsidR="00B8727E" w:rsidRPr="00CB34A3" w:rsidRDefault="00B8727E" w:rsidP="00673940">
      <w:pPr>
        <w:pStyle w:val="HStandard"/>
        <w:rPr>
          <w:rFonts w:cs="Arial"/>
          <w:lang w:val="en-GB"/>
        </w:rPr>
      </w:pPr>
      <w:r w:rsidRPr="00CB34A3">
        <w:rPr>
          <w:lang w:val="en-GB"/>
        </w:rPr>
        <w:t xml:space="preserve">One of the main areas in the RDP evaluation where mixed-methods are especially applicable is for the verification and in-depth analysis of the main reasons for high, medium or low effectiveness of programme support. If the results from different methods converge, then inferences about the character and magnitude of these impacts will be stronger. If they diverge, mixed-methods can provide a more objective explanation of factors behind it. </w:t>
      </w:r>
    </w:p>
    <w:p w14:paraId="55C3F49A" w14:textId="77777777" w:rsidR="00187580" w:rsidRPr="00CB34A3" w:rsidRDefault="00B8727E" w:rsidP="00673940">
      <w:pPr>
        <w:pStyle w:val="HStandard"/>
        <w:rPr>
          <w:rFonts w:cs="Arial"/>
          <w:lang w:val="en-GB"/>
        </w:rPr>
      </w:pPr>
      <w:r w:rsidRPr="00CB34A3">
        <w:rPr>
          <w:lang w:val="en-GB"/>
        </w:rPr>
        <w:t>The selection of a robust evaluation approach must take into account the limitations and requirements of different methods. For testing evaluation approaches and methods, the evaluators should apply the criteria for basic evaluation standards, such as credibility, rigour, reliability, robustness, validity, transparency and practicability (see also the table of criteria for selection of evaluation approach in Part III, Annex 9)</w:t>
      </w:r>
      <w:r w:rsidRPr="003726BE">
        <w:rPr>
          <w:rStyle w:val="FootnoteReference"/>
        </w:rPr>
        <w:footnoteReference w:id="60"/>
      </w:r>
      <w:r w:rsidRPr="00CB34A3">
        <w:rPr>
          <w:lang w:val="en-GB"/>
        </w:rPr>
        <w:t xml:space="preserve">. </w:t>
      </w:r>
    </w:p>
    <w:p w14:paraId="598BA544" w14:textId="77777777" w:rsidR="00B8727E" w:rsidRPr="00CB34A3" w:rsidRDefault="00B8727E" w:rsidP="00C147EB">
      <w:pPr>
        <w:pStyle w:val="HHeading5"/>
        <w:rPr>
          <w:rFonts w:cs="Arial"/>
          <w:lang w:val="en-GB"/>
        </w:rPr>
      </w:pPr>
      <w:r w:rsidRPr="00CB34A3">
        <w:rPr>
          <w:lang w:val="en-GB"/>
        </w:rPr>
        <w:t xml:space="preserve">Further reading </w:t>
      </w:r>
    </w:p>
    <w:p w14:paraId="5D4FFC11" w14:textId="77777777" w:rsidR="00567F4C" w:rsidRPr="00CB34A3" w:rsidRDefault="00567F4C" w:rsidP="00567F4C">
      <w:pPr>
        <w:pStyle w:val="HBox"/>
        <w:rPr>
          <w:rFonts w:cs="Arial"/>
          <w:lang w:val="en-GB"/>
        </w:rPr>
      </w:pPr>
      <w:r w:rsidRPr="00CB34A3">
        <w:rPr>
          <w:lang w:val="en-GB"/>
        </w:rPr>
        <w:t xml:space="preserve">Capturing the success of your RDP: guidelines for ex post evaluation of 2007-2013 RDPs, Chapter 4, Part II, </w:t>
      </w:r>
      <w:r w:rsidRPr="00CB34A3">
        <w:rPr>
          <w:rStyle w:val="Hyperlink"/>
          <w:lang w:val="en-GB"/>
        </w:rPr>
        <w:t>e</w:t>
      </w:r>
      <w:hyperlink r:id="rId50">
        <w:r w:rsidRPr="00CB34A3">
          <w:rPr>
            <w:rStyle w:val="Hyperlink"/>
            <w:lang w:val="en-GB"/>
          </w:rPr>
          <w:t>nrd.ec.europa.eu/enrd-static/evaluation/library/evaluation-helpdesk-publications/en/evaluation-helpdesk-publications_en.html</w:t>
        </w:r>
      </w:hyperlink>
    </w:p>
    <w:p w14:paraId="6085F443" w14:textId="77777777" w:rsidR="00567F4C" w:rsidRPr="00CB34A3" w:rsidRDefault="00567F4C" w:rsidP="00567F4C">
      <w:pPr>
        <w:pStyle w:val="HHeading3"/>
        <w:rPr>
          <w:rFonts w:cs="Arial"/>
          <w:lang w:val="en-GB"/>
        </w:rPr>
      </w:pPr>
      <w:bookmarkStart w:id="92" w:name="_Toc460936117"/>
      <w:bookmarkStart w:id="93" w:name="_Toc474132157"/>
      <w:r w:rsidRPr="00CB34A3">
        <w:rPr>
          <w:lang w:val="en-GB"/>
        </w:rPr>
        <w:t>Select evaluation methods and their combinations</w:t>
      </w:r>
      <w:bookmarkEnd w:id="92"/>
      <w:bookmarkEnd w:id="93"/>
      <w:r w:rsidRPr="00CB34A3">
        <w:rPr>
          <w:lang w:val="en-GB"/>
        </w:rPr>
        <w:t xml:space="preserve"> </w:t>
      </w:r>
    </w:p>
    <w:tbl>
      <w:tblPr>
        <w:tblStyle w:val="TableGrid"/>
        <w:tblW w:w="9071" w:type="dxa"/>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shd w:val="clear" w:color="auto" w:fill="FFFFFF" w:themeFill="accent1" w:themeFillTint="33"/>
        <w:tblLook w:val="04A0" w:firstRow="1" w:lastRow="0" w:firstColumn="1" w:lastColumn="0" w:noHBand="0" w:noVBand="1"/>
      </w:tblPr>
      <w:tblGrid>
        <w:gridCol w:w="9071"/>
      </w:tblGrid>
      <w:tr w:rsidR="00673940" w:rsidRPr="00F61F42" w14:paraId="13E8EEBD" w14:textId="77777777" w:rsidTr="004E4415">
        <w:trPr>
          <w:jc w:val="center"/>
        </w:trPr>
        <w:tc>
          <w:tcPr>
            <w:tcW w:w="9071" w:type="dxa"/>
            <w:tcBorders>
              <w:bottom w:val="single" w:sz="4" w:space="0" w:color="6F6F6F" w:themeColor="text1"/>
            </w:tcBorders>
            <w:shd w:val="clear" w:color="auto" w:fill="F6B183" w:themeFill="background2" w:themeFillTint="99"/>
          </w:tcPr>
          <w:p w14:paraId="0DF89140" w14:textId="77777777" w:rsidR="00CB507F" w:rsidRPr="00CB34A3" w:rsidRDefault="00CB507F" w:rsidP="004B63F1">
            <w:pPr>
              <w:pStyle w:val="HStandard"/>
              <w:rPr>
                <w:rFonts w:cs="Arial"/>
                <w:lang w:val="en-GB"/>
              </w:rPr>
            </w:pPr>
            <w:r w:rsidRPr="00CB34A3">
              <w:rPr>
                <w:lang w:val="en-GB"/>
              </w:rPr>
              <w:t>Although the main responsibility for the choice and use of evaluation methods lies on evaluators, the Managing Authorities may however express a preference for certain methods in the Terms of Reference. In each case, the choice of evaluation methods should meet the criteria for conducting a high quality evaluation. The application of different methods, even using the same data set, may lead to different results, including the estimated magnitude of programme effects and even its sign (+/-). As a consequence, the application of inadequate evaluation methods and techniques which are unable to control the selection bias and eliminate other systematic errors, may considerably obstruct evidence-based policy-making.</w:t>
            </w:r>
          </w:p>
        </w:tc>
      </w:tr>
      <w:tr w:rsidR="00CB507F" w:rsidRPr="00F61F42" w14:paraId="20C246E1" w14:textId="77777777" w:rsidTr="004E4415">
        <w:trPr>
          <w:jc w:val="center"/>
        </w:trPr>
        <w:tc>
          <w:tcPr>
            <w:tcW w:w="9071" w:type="dxa"/>
            <w:shd w:val="clear" w:color="auto" w:fill="FCE5D5" w:themeFill="background2" w:themeFillTint="33"/>
          </w:tcPr>
          <w:p w14:paraId="6A1B7BC2" w14:textId="77777777" w:rsidR="00CB507F" w:rsidRPr="003726BE" w:rsidRDefault="0079615D" w:rsidP="00C147EB">
            <w:pPr>
              <w:pStyle w:val="HHeading5"/>
              <w:rPr>
                <w:rFonts w:cs="Arial"/>
              </w:rPr>
            </w:pPr>
            <w:r w:rsidRPr="003726BE">
              <w:t xml:space="preserve">Recommended working steps: </w:t>
            </w:r>
          </w:p>
          <w:p w14:paraId="3B67BD09" w14:textId="77777777" w:rsidR="00CB507F" w:rsidRPr="00CB34A3" w:rsidRDefault="00CB507F" w:rsidP="00673940">
            <w:pPr>
              <w:pStyle w:val="Hlistbullet"/>
              <w:rPr>
                <w:rFonts w:eastAsiaTheme="majorEastAsia" w:cs="Arial"/>
                <w:lang w:val="en-GB"/>
              </w:rPr>
            </w:pPr>
            <w:r w:rsidRPr="00CB34A3">
              <w:rPr>
                <w:rFonts w:eastAsiaTheme="majorEastAsia"/>
                <w:b/>
                <w:lang w:val="en-GB"/>
              </w:rPr>
              <w:t>Verify the applicability of a given evaluation method in the context of a pre-selected evaluation approach</w:t>
            </w:r>
            <w:r w:rsidRPr="00CB34A3">
              <w:rPr>
                <w:rFonts w:eastAsiaTheme="majorEastAsia"/>
                <w:lang w:val="en-GB"/>
              </w:rPr>
              <w:t xml:space="preserve">: The recommended mixed evaluation approach combines various quantitative and qualitative approaches with a theory based approach. It is crucial that at least some of the selected evaluation methods enable to assess the true programme effects and attribute observed changes to the intervention. </w:t>
            </w:r>
          </w:p>
          <w:p w14:paraId="15CBC9E7" w14:textId="77777777" w:rsidR="00CB507F" w:rsidRPr="00CB34A3" w:rsidRDefault="00CB507F" w:rsidP="00826AD2">
            <w:pPr>
              <w:pStyle w:val="Hlistbullet"/>
              <w:rPr>
                <w:rFonts w:eastAsiaTheme="majorEastAsia" w:cs="Arial"/>
                <w:lang w:val="en-GB"/>
              </w:rPr>
            </w:pPr>
            <w:r w:rsidRPr="00CB34A3">
              <w:rPr>
                <w:rFonts w:eastAsiaTheme="majorEastAsia"/>
                <w:b/>
                <w:lang w:val="en-GB"/>
              </w:rPr>
              <w:lastRenderedPageBreak/>
              <w:t>Review the ability of a method to meet basic evaluation standards</w:t>
            </w:r>
            <w:r w:rsidRPr="00CB34A3">
              <w:rPr>
                <w:rFonts w:eastAsiaTheme="majorEastAsia"/>
                <w:lang w:val="en-GB"/>
              </w:rPr>
              <w:t>: Conducting rigorous evaluations of impacts (a mix of quantitative methods based on counterfactual analysis and credible qualitative methods) is crucial for policy learning. Pre-selected methods should meet basic evaluation standards (rigour, credibility, reliability, robustness, validity, and transparency).</w:t>
            </w:r>
          </w:p>
          <w:p w14:paraId="460D6F45" w14:textId="77777777" w:rsidR="00CB507F" w:rsidRPr="00CB34A3" w:rsidRDefault="00CB507F" w:rsidP="00A449D5">
            <w:pPr>
              <w:pStyle w:val="Hlistbullet"/>
              <w:rPr>
                <w:rFonts w:eastAsiaTheme="majorEastAsia"/>
                <w:lang w:val="en-GB"/>
              </w:rPr>
            </w:pPr>
            <w:r w:rsidRPr="00CB34A3">
              <w:rPr>
                <w:rFonts w:eastAsiaTheme="majorEastAsia"/>
                <w:b/>
                <w:lang w:val="en-GB"/>
              </w:rPr>
              <w:t>Consider the budget, time and data constraints</w:t>
            </w:r>
            <w:r w:rsidRPr="00CB34A3">
              <w:rPr>
                <w:rFonts w:eastAsiaTheme="majorEastAsia"/>
                <w:lang w:val="en-GB"/>
              </w:rPr>
              <w:t xml:space="preserve">: Early thinking on evaluation design can facilitate better budget planning, save resources and improve data quality and quantity. If this is not the case, the evaluator may face severe budget, time and data constraints, which may act as disincentives to conduct rigorous evaluations. In general, there are several options for carrying out sound evaluation under budget, time and data constraints. </w:t>
            </w:r>
          </w:p>
          <w:p w14:paraId="0C72876E" w14:textId="77777777" w:rsidR="00CB507F" w:rsidRPr="00CB34A3" w:rsidRDefault="00CB507F" w:rsidP="00A449D5">
            <w:pPr>
              <w:pStyle w:val="Hlistbullet"/>
              <w:rPr>
                <w:rFonts w:eastAsiaTheme="majorEastAsia"/>
                <w:lang w:val="en-GB"/>
              </w:rPr>
            </w:pPr>
            <w:r w:rsidRPr="00CB34A3">
              <w:rPr>
                <w:rFonts w:eastAsiaTheme="majorEastAsia"/>
                <w:b/>
                <w:lang w:val="en-GB"/>
              </w:rPr>
              <w:t>Selection of suitable methods</w:t>
            </w:r>
            <w:r w:rsidRPr="00CB34A3">
              <w:rPr>
                <w:rFonts w:eastAsiaTheme="majorEastAsia"/>
                <w:lang w:val="en-GB"/>
              </w:rPr>
              <w:t>: An appropriate bundle of methods can minimise potential bias and systematic errors in evaluations. It is therefore recommended to carry out additional surveys in order to collect additional data on characteristics and performance of programme beneficiaries and non-beneficiaries instead of taking the risk of overstretching the interpretation of programme results based on simple yet biased evaluation techniques.</w:t>
            </w:r>
          </w:p>
        </w:tc>
      </w:tr>
      <w:tr w:rsidR="00CB507F" w:rsidRPr="00F61F42" w14:paraId="3EB1C8A9" w14:textId="77777777" w:rsidTr="004E4415">
        <w:trPr>
          <w:jc w:val="center"/>
        </w:trPr>
        <w:tc>
          <w:tcPr>
            <w:tcW w:w="9071" w:type="dxa"/>
            <w:shd w:val="clear" w:color="auto" w:fill="FFFFFF" w:themeFill="accent1" w:themeFillTint="33"/>
          </w:tcPr>
          <w:p w14:paraId="5825D6E4" w14:textId="77777777" w:rsidR="00CB507F" w:rsidRPr="00CB34A3" w:rsidRDefault="00CB507F" w:rsidP="00E342F5">
            <w:pPr>
              <w:pStyle w:val="HStandard"/>
              <w:rPr>
                <w:rFonts w:cs="Arial"/>
                <w:lang w:val="en-GB"/>
              </w:rPr>
            </w:pPr>
            <w:r w:rsidRPr="00CB34A3">
              <w:rPr>
                <w:b/>
                <w:lang w:val="en-GB"/>
              </w:rPr>
              <w:lastRenderedPageBreak/>
              <w:t>Expected outcome</w:t>
            </w:r>
            <w:r w:rsidRPr="00CB34A3">
              <w:rPr>
                <w:lang w:val="en-GB"/>
              </w:rPr>
              <w:t>: Selected evaluation methods</w:t>
            </w:r>
          </w:p>
        </w:tc>
      </w:tr>
    </w:tbl>
    <w:p w14:paraId="456BE172" w14:textId="77777777" w:rsidR="00567F4C" w:rsidRPr="00CB34A3" w:rsidRDefault="00567F4C" w:rsidP="00C71423">
      <w:pPr>
        <w:pStyle w:val="H-Heading4"/>
        <w:rPr>
          <w:lang w:val="en-GB"/>
        </w:rPr>
      </w:pPr>
      <w:r w:rsidRPr="00CB34A3">
        <w:rPr>
          <w:lang w:val="en-GB"/>
        </w:rPr>
        <w:t>What should be considered in the selection of suitable evaluation methods?</w:t>
      </w:r>
    </w:p>
    <w:p w14:paraId="56B4BB63" w14:textId="77777777" w:rsidR="00567F4C" w:rsidRPr="00CB34A3" w:rsidRDefault="00567F4C" w:rsidP="00673940">
      <w:pPr>
        <w:pStyle w:val="HStandard"/>
        <w:rPr>
          <w:rFonts w:cs="Arial"/>
          <w:lang w:val="en-GB"/>
        </w:rPr>
      </w:pPr>
      <w:r w:rsidRPr="00CB34A3">
        <w:rPr>
          <w:lang w:val="en-GB"/>
        </w:rPr>
        <w:t>In the process of selecting a suitable method, the following issues are crucial</w:t>
      </w:r>
      <w:r w:rsidRPr="003726BE">
        <w:rPr>
          <w:rStyle w:val="FootnoteReference"/>
        </w:rPr>
        <w:footnoteReference w:id="61"/>
      </w:r>
      <w:r w:rsidRPr="00CB34A3">
        <w:rPr>
          <w:lang w:val="en-GB"/>
        </w:rPr>
        <w:t>:</w:t>
      </w:r>
    </w:p>
    <w:p w14:paraId="6E85B129" w14:textId="77777777" w:rsidR="00567F4C" w:rsidRPr="00CB34A3" w:rsidRDefault="00567F4C" w:rsidP="00673940">
      <w:pPr>
        <w:pStyle w:val="Hlistbullet"/>
        <w:rPr>
          <w:rFonts w:cs="Arial"/>
          <w:lang w:val="en-GB"/>
        </w:rPr>
      </w:pPr>
      <w:r w:rsidRPr="00CB34A3">
        <w:rPr>
          <w:lang w:val="en-GB"/>
        </w:rPr>
        <w:t>Users of evaluations have an inherent interest in the results being reliable, scientifically sound, robust, and valid. When using these criteria, it is possible to classify methods and evaluation techniques with respect to their appropriateness to evaluate individual RD measures. Various methods meet the criteria of soundness, robustness, and validity at different levels. Each method has specific data requirements, strengths, and limitations. There is no best method with respect to the quality of all criteria used in evaluation</w:t>
      </w:r>
      <w:r w:rsidRPr="003726BE">
        <w:rPr>
          <w:rStyle w:val="FootnoteReference"/>
        </w:rPr>
        <w:footnoteReference w:id="62"/>
      </w:r>
      <w:r w:rsidRPr="00CB34A3">
        <w:rPr>
          <w:lang w:val="en-GB"/>
        </w:rPr>
        <w:t>. Restrictions on the access of individual data may decrease the level of transparency but model specification, estimation techniques, and test statistics should be transparent even in such cases.</w:t>
      </w:r>
    </w:p>
    <w:p w14:paraId="19EA56D3" w14:textId="77777777" w:rsidR="00567F4C" w:rsidRPr="00CB34A3" w:rsidRDefault="00567F4C" w:rsidP="00673940">
      <w:pPr>
        <w:pStyle w:val="Hlistbullet"/>
        <w:rPr>
          <w:rFonts w:cs="Arial"/>
          <w:lang w:val="en-GB"/>
        </w:rPr>
      </w:pPr>
      <w:r w:rsidRPr="00CB34A3">
        <w:rPr>
          <w:lang w:val="en-GB"/>
        </w:rPr>
        <w:t xml:space="preserve">Methods that can provide quantitative results are generally preferred; however, other methods may still be useful when there are restrictions in the use of quantitative methods (e.g. data gaps, etc.) </w:t>
      </w:r>
    </w:p>
    <w:p w14:paraId="4E11A9E7" w14:textId="77777777" w:rsidR="00567F4C" w:rsidRPr="00CB34A3" w:rsidRDefault="0058636E" w:rsidP="00673940">
      <w:pPr>
        <w:pStyle w:val="Hlistbullet"/>
        <w:rPr>
          <w:rFonts w:cs="Arial"/>
          <w:lang w:val="en-GB"/>
        </w:rPr>
      </w:pPr>
      <w:r w:rsidRPr="00CB34A3">
        <w:rPr>
          <w:lang w:val="en-GB"/>
        </w:rPr>
        <w:t xml:space="preserve">The majority of quantitative evaluation techniques are also not directly substitutable with each other. For example, a counterfactual approach that can be applied to the evaluation of programme results at the micro-level cannot be replaced by another quantitative technique, e.g. Input-Output method which is applicable for the assessment of specific programme effects at the regional- or macro-level. </w:t>
      </w:r>
    </w:p>
    <w:p w14:paraId="16AFE72D" w14:textId="77777777" w:rsidR="00567F4C" w:rsidRPr="00CB34A3" w:rsidRDefault="00567F4C" w:rsidP="00673940">
      <w:pPr>
        <w:pStyle w:val="Hlistbullet"/>
        <w:rPr>
          <w:rFonts w:cs="Arial"/>
          <w:lang w:val="en-GB"/>
        </w:rPr>
      </w:pPr>
      <w:r w:rsidRPr="00CB34A3">
        <w:rPr>
          <w:lang w:val="en-GB"/>
        </w:rPr>
        <w:t>The results of different methods are expressed in different scales: e.g. counterfactual econometric and quantitative methods (e.g. Propensity-Score Matching</w:t>
      </w:r>
      <w:r w:rsidRPr="003726BE">
        <w:rPr>
          <w:rStyle w:val="FootnoteReference"/>
        </w:rPr>
        <w:footnoteReference w:id="63"/>
      </w:r>
      <w:r w:rsidRPr="00CB34A3">
        <w:rPr>
          <w:lang w:val="en-GB"/>
        </w:rPr>
        <w:t>, Input-Output or programming methods) provide results on cardinal scales, the other (e.g. qualitative) on ordinal scales or on nominal scales. When results have to be expressed in numbers (cardinal scale), the scope of methods is limited because qualitative, theory-based and descriptive approaches allow ordinal statements at best.</w:t>
      </w:r>
    </w:p>
    <w:p w14:paraId="75445E2B" w14:textId="77777777" w:rsidR="00567F4C" w:rsidRPr="00CB34A3" w:rsidRDefault="00567F4C" w:rsidP="00673940">
      <w:pPr>
        <w:pStyle w:val="Hlistbullet"/>
        <w:rPr>
          <w:rFonts w:cs="Arial"/>
          <w:lang w:val="en-GB"/>
        </w:rPr>
      </w:pPr>
      <w:r w:rsidRPr="00CB34A3">
        <w:rPr>
          <w:lang w:val="en-GB"/>
        </w:rPr>
        <w:t xml:space="preserve">One of the biggest challenges in evaluation is to identify and test causal relations between the policy intervention and the outcomes. Only a small set of methods (typically econometric counterfactual models) are suited to provide exact results in this respect. Key in testing causal relation is the development of a counterfactual in order to see the effect of the programme, which cannot be directly observed. In general, there are two alternatives: results can be based on </w:t>
      </w:r>
      <w:r w:rsidRPr="00CB34A3">
        <w:rPr>
          <w:lang w:val="en-GB"/>
        </w:rPr>
        <w:lastRenderedPageBreak/>
        <w:t xml:space="preserve">statistical evidence of randomised controlled trials or based on adequate counterfactual econometric assessments (e.g. Propensity-Score Matching). In case causal effects cannot be identified by observations, assumptions on causality need to be made possibly through the application of qualitative methods. The latter approach captures causal relations conceptually, but does not provide robust information on the causal relationship. </w:t>
      </w:r>
    </w:p>
    <w:p w14:paraId="5ADD99FF" w14:textId="77777777" w:rsidR="00567F4C" w:rsidRPr="00CB34A3" w:rsidRDefault="00567F4C" w:rsidP="00673940">
      <w:pPr>
        <w:pStyle w:val="Hlistbullet"/>
        <w:rPr>
          <w:rFonts w:cs="Arial"/>
          <w:lang w:val="en-GB"/>
        </w:rPr>
      </w:pPr>
      <w:r w:rsidRPr="00CB34A3">
        <w:rPr>
          <w:lang w:val="en-GB"/>
        </w:rPr>
        <w:t>Results based on counterfactual approaches (Propensity-Score Matching) should be tested by other methods in order to improve the validity of the results. The combination of methods contributes to the validity of results. For example, empirical evaluation studies reveal that the qualitative method can set the context and contribute to the development of hypotheses, which can subsequently be tested with quantitative methods. The results of quantitative methods can be validated and causal relationships explained more in-depth by applying qualitative methodologies.</w:t>
      </w:r>
    </w:p>
    <w:p w14:paraId="0269A794" w14:textId="77777777" w:rsidR="00567F4C" w:rsidRPr="00CB34A3" w:rsidRDefault="00567F4C" w:rsidP="00673940">
      <w:pPr>
        <w:pStyle w:val="Hlistbullet"/>
        <w:rPr>
          <w:rFonts w:cs="Arial"/>
          <w:lang w:val="en-GB"/>
        </w:rPr>
      </w:pPr>
      <w:r w:rsidRPr="00CB34A3">
        <w:rPr>
          <w:lang w:val="en-GB"/>
        </w:rPr>
        <w:t>Indirect effects such as leverage, substitution, displacement effects and deadweight (windfall profit) are very important to consider when specific measures are evaluated. Any method can be used to take account for leverage and deadweight effect, but only counterfactual econometric methods (e.g. Propensity-Score Matching) can be used to quantify their size.</w:t>
      </w:r>
    </w:p>
    <w:p w14:paraId="2A4E875F" w14:textId="77777777" w:rsidR="00567F4C" w:rsidRPr="00CB34A3" w:rsidRDefault="00567F4C" w:rsidP="00673940">
      <w:pPr>
        <w:pStyle w:val="Hlistbullet"/>
        <w:rPr>
          <w:rFonts w:cs="Arial"/>
          <w:lang w:val="en-GB"/>
        </w:rPr>
      </w:pPr>
      <w:r w:rsidRPr="00CB34A3">
        <w:rPr>
          <w:lang w:val="en-GB"/>
        </w:rPr>
        <w:t xml:space="preserve">Qualitative methods can be very helpful in developing hypotheses that can be tested or further explored with quantitative methods. For example, qualitative methods should be utilised to explore the range of possible RDP unintended and indirect effects. The magnitude, scale and importance of the above effects should however be verified by </w:t>
      </w:r>
      <w:r w:rsidR="00A844E1">
        <w:rPr>
          <w:lang w:val="en-GB"/>
        </w:rPr>
        <w:t xml:space="preserve">using quantitative approaches. </w:t>
      </w:r>
    </w:p>
    <w:p w14:paraId="21AC209B" w14:textId="77777777" w:rsidR="00567F4C" w:rsidRPr="00CB34A3" w:rsidRDefault="00567F4C" w:rsidP="00673940">
      <w:pPr>
        <w:pStyle w:val="Hlistbullet"/>
        <w:rPr>
          <w:rFonts w:cs="Arial"/>
          <w:lang w:val="en-GB"/>
        </w:rPr>
      </w:pPr>
      <w:r w:rsidRPr="00CB34A3">
        <w:rPr>
          <w:lang w:val="en-GB"/>
        </w:rPr>
        <w:t>Qualitative and quantitative methods are complementary and should not be regarded as substitutes. Quantitative methods are also complementary in many respects because some important results (e.g. deadweight, leverage or multipliers) can only be estimated using specific method/techniques.</w:t>
      </w:r>
    </w:p>
    <w:p w14:paraId="636BA3A9" w14:textId="77777777" w:rsidR="00567F4C" w:rsidRPr="00CB34A3" w:rsidRDefault="00567F4C" w:rsidP="00A449D5">
      <w:pPr>
        <w:pStyle w:val="Hlistbullet"/>
        <w:rPr>
          <w:lang w:val="en-GB"/>
        </w:rPr>
      </w:pPr>
      <w:r w:rsidRPr="00CB34A3">
        <w:rPr>
          <w:lang w:val="en-GB"/>
        </w:rPr>
        <w:t>Given the above, it is advisable that the evaluation team chooses an evaluation design not based on a single method but on a bundle of evaluation methods and techniques which should be internally consistent and complementary to each other. Moreover, all selected methods should meet the basic evaluation quality criteria, i.e. rigour, reliability, robustness, transparency, validity, and practicability. The evaluator should try to select a strong evaluation design (consisting of a bundle of evaluation techniques and methods), bearing in mind time, money and practicability constraints (including data availability)</w:t>
      </w:r>
      <w:r w:rsidRPr="003726BE">
        <w:rPr>
          <w:rStyle w:val="FootnoteReference"/>
        </w:rPr>
        <w:footnoteReference w:id="64"/>
      </w:r>
      <w:r w:rsidRPr="00CB34A3">
        <w:rPr>
          <w:lang w:val="en-GB"/>
        </w:rPr>
        <w:t>.</w:t>
      </w:r>
    </w:p>
    <w:p w14:paraId="337283EE" w14:textId="77777777" w:rsidR="00567F4C" w:rsidRPr="00CB34A3" w:rsidRDefault="00567F4C" w:rsidP="00C147EB">
      <w:pPr>
        <w:pStyle w:val="HHeading5"/>
        <w:rPr>
          <w:rFonts w:cs="Arial"/>
          <w:lang w:val="en-GB"/>
        </w:rPr>
      </w:pPr>
      <w:r w:rsidRPr="00CB34A3">
        <w:rPr>
          <w:lang w:val="en-GB"/>
        </w:rPr>
        <w:t>Specificities of LEADER</w:t>
      </w:r>
    </w:p>
    <w:p w14:paraId="4B3C0CC3" w14:textId="77777777" w:rsidR="00567F4C" w:rsidRPr="00CB34A3" w:rsidRDefault="00986B3D" w:rsidP="0056241E">
      <w:pPr>
        <w:pStyle w:val="HStandard"/>
        <w:rPr>
          <w:rFonts w:cs="Arial"/>
          <w:lang w:val="en-GB"/>
        </w:rPr>
      </w:pPr>
      <w:r w:rsidRPr="00CB34A3">
        <w:rPr>
          <w:lang w:val="en-GB"/>
        </w:rPr>
        <w:t xml:space="preserve">LEADER has to be seen as a multidimensional evaluation topic. It is evaluated at the RDP level as the measure programmed under FA 6B, but contributing to a range of RDP focus areas and priorities through the CLLD strategy (see the left upper box of figure 11). However, LEADER is not only the subsidy delivered via the CLLD strategy, it is also the method which helps to create and develop partnerships (by integrating various sectors and areas of rural life), to foster participation of local people in development (bottom-up), innovation, cooperation and networking. Furthermore, LEADER can bring additional value, such as increased social capital, enhanced utilisation of local resources, improved local governance, etc. (see the right upper box of figure 11). LEADER is also part of CLLD where several ESI Funds work together towards achieving EU level objectives (see the top box of figure 11). All these aspects and others may become evaluation topics at the national level. </w:t>
      </w:r>
    </w:p>
    <w:p w14:paraId="59C283BC" w14:textId="77777777" w:rsidR="00567F4C" w:rsidRPr="00CB34A3" w:rsidRDefault="00986B3D" w:rsidP="00673940">
      <w:pPr>
        <w:pStyle w:val="HStandard"/>
        <w:rPr>
          <w:rFonts w:cs="Arial"/>
          <w:lang w:val="en-GB"/>
        </w:rPr>
      </w:pPr>
      <w:r w:rsidRPr="00CB34A3">
        <w:rPr>
          <w:lang w:val="en-GB"/>
        </w:rPr>
        <w:t xml:space="preserve">LEADER should also be evaluated at the local/LAG level (see the bottom part of figure 11). Here again the evaluation is multidimensional, covering the evaluation of CLLD strategy, assessment of the application of the 7 principles and LEADER’s added value for rural areas. </w:t>
      </w:r>
    </w:p>
    <w:p w14:paraId="1644968C" w14:textId="77777777" w:rsidR="00567F4C" w:rsidRPr="00CB34A3" w:rsidRDefault="00986B3D" w:rsidP="0010223F">
      <w:pPr>
        <w:pStyle w:val="HHeadingfigures"/>
        <w:rPr>
          <w:lang w:val="en-GB"/>
        </w:rPr>
      </w:pPr>
      <w:bookmarkStart w:id="94" w:name="_Toc460936157"/>
      <w:bookmarkStart w:id="95" w:name="_Toc474132647"/>
      <w:r w:rsidRPr="00CB34A3">
        <w:rPr>
          <w:lang w:val="en-GB"/>
        </w:rPr>
        <w:lastRenderedPageBreak/>
        <w:t>LEADER as an evaluation topic.</w:t>
      </w:r>
      <w:bookmarkEnd w:id="94"/>
      <w:bookmarkEnd w:id="95"/>
    </w:p>
    <w:p w14:paraId="605024C4" w14:textId="77777777" w:rsidR="00567F4C" w:rsidRPr="003726BE" w:rsidRDefault="003228B0" w:rsidP="008F72F4">
      <w:pPr>
        <w:jc w:val="center"/>
        <w:rPr>
          <w:rFonts w:cs="Arial"/>
        </w:rPr>
      </w:pPr>
      <w:r w:rsidRPr="003726BE">
        <w:rPr>
          <w:rFonts w:cs="Arial"/>
          <w:noProof/>
          <w:lang w:val="en-GB" w:eastAsia="en-GB" w:bidi="ar-SA"/>
        </w:rPr>
        <w:drawing>
          <wp:inline distT="0" distB="0" distL="0" distR="0" wp14:anchorId="001F7C59" wp14:editId="52F21608">
            <wp:extent cx="4895850" cy="329628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Leader.jpg"/>
                    <pic:cNvPicPr/>
                  </pic:nvPicPr>
                  <pic:blipFill>
                    <a:blip r:embed="rId51" cstate="print">
                      <a:extLst>
                        <a:ext uri="{28A0092B-C50C-407E-A947-70E740481C1C}">
                          <a14:useLocalDpi xmlns:a14="http://schemas.microsoft.com/office/drawing/2010/main"/>
                        </a:ext>
                      </a:extLst>
                    </a:blip>
                    <a:stretch>
                      <a:fillRect/>
                    </a:stretch>
                  </pic:blipFill>
                  <pic:spPr>
                    <a:xfrm>
                      <a:off x="0" y="0"/>
                      <a:ext cx="4895850" cy="3296285"/>
                    </a:xfrm>
                    <a:prstGeom prst="rect">
                      <a:avLst/>
                    </a:prstGeom>
                  </pic:spPr>
                </pic:pic>
              </a:graphicData>
            </a:graphic>
          </wp:inline>
        </w:drawing>
      </w:r>
    </w:p>
    <w:p w14:paraId="7D9F5DF9" w14:textId="77777777" w:rsidR="00567F4C" w:rsidRPr="00CB34A3" w:rsidRDefault="00567F4C" w:rsidP="00B334BA">
      <w:pPr>
        <w:pStyle w:val="HSource"/>
        <w:rPr>
          <w:rFonts w:cs="Arial"/>
          <w:lang w:val="en-GB"/>
        </w:rPr>
      </w:pPr>
      <w:r w:rsidRPr="00CB34A3">
        <w:rPr>
          <w:lang w:val="en-GB"/>
        </w:rPr>
        <w:t>Source: European Evaluation Helpdesk for Rural Development, 2015</w:t>
      </w:r>
    </w:p>
    <w:p w14:paraId="65E51370" w14:textId="77777777" w:rsidR="00A6017D" w:rsidRPr="00CB34A3" w:rsidRDefault="00567F4C" w:rsidP="00673940">
      <w:pPr>
        <w:pStyle w:val="HStandard"/>
        <w:rPr>
          <w:rFonts w:cs="Arial"/>
          <w:lang w:val="en-GB"/>
        </w:rPr>
      </w:pPr>
      <w:r w:rsidRPr="00CB34A3">
        <w:rPr>
          <w:lang w:val="en-GB"/>
        </w:rPr>
        <w:t xml:space="preserve">The complexity of LEADER as an evaluation topic requires a variety of quantitative and qualitative evaluation methods and combinations thereof. To capture the effects of the LEADER measure quantitative approaches will be used. In this respect LEADER operations and their contributions to the range of focus areas are collected via the LAG operations database and assessed together with other RDP operations by means of result indicators. Secondary contributions of LEADER to various rural development focus areas are estimated using sampling techniques. </w:t>
      </w:r>
    </w:p>
    <w:p w14:paraId="2027A4CD" w14:textId="77777777" w:rsidR="00567F4C" w:rsidRPr="00CB34A3" w:rsidRDefault="00567F4C" w:rsidP="00673940">
      <w:pPr>
        <w:pStyle w:val="HStandard"/>
        <w:rPr>
          <w:rFonts w:cs="Arial"/>
          <w:lang w:val="en-GB"/>
        </w:rPr>
      </w:pPr>
      <w:r w:rsidRPr="00CB34A3">
        <w:rPr>
          <w:lang w:val="en-GB"/>
        </w:rPr>
        <w:t xml:space="preserve">Qualitative methods are used to triangulate quantitative findings. In case of other evaluation topics, such as the delivery of the LEADER method or the LEADER added value, mostly qualitative approach will be applied. It is important to recognise that the counterfactual is also a suitable tool to see programme effects caused by LEADER and can be used in quantitative, qualitative and mixed approaches. In countries where only parts of the territory are covered by LAGs, control groups could be selected within the same region with similar characteristics as the territory covered by LAGs. In “LEADER mainstream” countries (where the whole territory is covered by LAGs), LAGs with similar characteristics and different types of operations could be compared when assessing RDP LEADER effects. </w:t>
      </w:r>
    </w:p>
    <w:p w14:paraId="2BEA22A4" w14:textId="77777777" w:rsidR="00567F4C" w:rsidRPr="00CB34A3" w:rsidRDefault="00567F4C" w:rsidP="00C147EB">
      <w:pPr>
        <w:pStyle w:val="HHeading5"/>
        <w:rPr>
          <w:rFonts w:cs="Arial"/>
          <w:lang w:val="en-GB"/>
        </w:rPr>
      </w:pPr>
      <w:r w:rsidRPr="00CB34A3">
        <w:rPr>
          <w:lang w:val="en-GB"/>
        </w:rPr>
        <w:t>Specificities of TA and the NRN</w:t>
      </w:r>
    </w:p>
    <w:p w14:paraId="503FC312" w14:textId="77777777" w:rsidR="00567F4C" w:rsidRPr="00CB34A3" w:rsidRDefault="00567F4C" w:rsidP="00673940">
      <w:pPr>
        <w:pStyle w:val="HStandard"/>
        <w:rPr>
          <w:rFonts w:cs="Arial"/>
          <w:lang w:val="en-GB"/>
        </w:rPr>
      </w:pPr>
      <w:r w:rsidRPr="00CB34A3">
        <w:rPr>
          <w:lang w:val="en-GB"/>
        </w:rPr>
        <w:t xml:space="preserve">Specific interventions such as TA and NRNs often require specific considerations in the selection of both the evaluation approach and the methods. Although mixed approaches are proposed, in the majority of cases qualitative methods will be applied (focus groups, interviews, case studies, etc.), accompanied by the assessment of monitoring data. More information is provided in this respect in the NRN evaluation guidelines. </w:t>
      </w:r>
    </w:p>
    <w:p w14:paraId="392B6D0B" w14:textId="77777777" w:rsidR="00567F4C" w:rsidRPr="00CB34A3" w:rsidRDefault="00567F4C" w:rsidP="00C147EB">
      <w:pPr>
        <w:pStyle w:val="HHeading5"/>
        <w:rPr>
          <w:rFonts w:cs="Arial"/>
          <w:lang w:val="en-GB"/>
        </w:rPr>
      </w:pPr>
      <w:r w:rsidRPr="00CB34A3">
        <w:rPr>
          <w:lang w:val="en-GB"/>
        </w:rPr>
        <w:t xml:space="preserve">Further reading </w:t>
      </w:r>
    </w:p>
    <w:p w14:paraId="5203213A" w14:textId="77777777" w:rsidR="00B334BA" w:rsidRPr="00CB34A3" w:rsidRDefault="00B334BA" w:rsidP="00B334BA">
      <w:pPr>
        <w:pStyle w:val="HBox"/>
        <w:rPr>
          <w:rFonts w:cs="Arial"/>
          <w:lang w:val="en-GB"/>
        </w:rPr>
      </w:pPr>
      <w:r w:rsidRPr="00CB34A3">
        <w:rPr>
          <w:lang w:val="en-GB"/>
        </w:rPr>
        <w:t xml:space="preserve">Capturing the success of your RDP: guidelines for ex post evaluation of 2007-2013 RDPs, Chapter 4, Part II, </w:t>
      </w:r>
      <w:r w:rsidRPr="00CB34A3">
        <w:rPr>
          <w:rStyle w:val="Hyperlink"/>
          <w:lang w:val="en-GB"/>
        </w:rPr>
        <w:t>e</w:t>
      </w:r>
      <w:hyperlink r:id="rId52">
        <w:r w:rsidRPr="00CB34A3">
          <w:rPr>
            <w:rStyle w:val="Hyperlink"/>
            <w:lang w:val="en-GB"/>
          </w:rPr>
          <w:t>nrd.ec.europa.eu/enrd-static/evaluation/library/evaluation-helpdesk-publications/en/evaluation-helpdesk-publications_en.html</w:t>
        </w:r>
      </w:hyperlink>
    </w:p>
    <w:p w14:paraId="5D1E8CEE" w14:textId="77777777" w:rsidR="00567F4C" w:rsidRPr="003726BE" w:rsidRDefault="00567F4C" w:rsidP="00B334BA">
      <w:pPr>
        <w:pStyle w:val="HHeading2"/>
        <w:rPr>
          <w:rFonts w:cs="Arial"/>
        </w:rPr>
      </w:pPr>
      <w:bookmarkStart w:id="96" w:name="_Toc428969473"/>
      <w:bookmarkStart w:id="97" w:name="_Toc460936118"/>
      <w:bookmarkStart w:id="98" w:name="_Toc474132158"/>
      <w:r w:rsidRPr="003726BE">
        <w:lastRenderedPageBreak/>
        <w:t>Establish the evidence for evaluation</w:t>
      </w:r>
      <w:bookmarkEnd w:id="96"/>
      <w:bookmarkEnd w:id="97"/>
      <w:bookmarkEnd w:id="98"/>
      <w:r w:rsidRPr="003726BE">
        <w:t xml:space="preserve"> </w:t>
      </w:r>
    </w:p>
    <w:p w14:paraId="78115EA6" w14:textId="77777777" w:rsidR="00567F4C" w:rsidRPr="00CB34A3" w:rsidRDefault="00567F4C" w:rsidP="00FF0E20">
      <w:pPr>
        <w:pStyle w:val="HHeading3"/>
        <w:tabs>
          <w:tab w:val="clear" w:pos="567"/>
          <w:tab w:val="clear" w:pos="720"/>
        </w:tabs>
        <w:rPr>
          <w:rFonts w:cs="Arial"/>
          <w:lang w:val="en-GB"/>
        </w:rPr>
      </w:pPr>
      <w:bookmarkStart w:id="99" w:name="_Toc460936119"/>
      <w:bookmarkStart w:id="100" w:name="_Toc474132159"/>
      <w:r w:rsidRPr="00CB34A3">
        <w:rPr>
          <w:lang w:val="en-GB"/>
        </w:rPr>
        <w:t>Review data requirements for the chosen methods</w:t>
      </w:r>
      <w:bookmarkEnd w:id="99"/>
      <w:bookmarkEnd w:id="100"/>
      <w:r w:rsidRPr="00CB34A3">
        <w:rPr>
          <w:lang w:val="en-GB"/>
        </w:rPr>
        <w:t xml:space="preserve"> </w:t>
      </w:r>
    </w:p>
    <w:tbl>
      <w:tblPr>
        <w:tblStyle w:val="TableGrid"/>
        <w:tblW w:w="9071" w:type="dxa"/>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9071"/>
      </w:tblGrid>
      <w:tr w:rsidR="00673940" w:rsidRPr="00F61F42" w14:paraId="4FF7E8BC" w14:textId="77777777" w:rsidTr="004E4415">
        <w:trPr>
          <w:jc w:val="center"/>
        </w:trPr>
        <w:tc>
          <w:tcPr>
            <w:tcW w:w="9071" w:type="dxa"/>
            <w:tcBorders>
              <w:bottom w:val="single" w:sz="4" w:space="0" w:color="6F6F6F" w:themeColor="text1"/>
            </w:tcBorders>
            <w:shd w:val="clear" w:color="auto" w:fill="F6B183" w:themeFill="background2" w:themeFillTint="99"/>
          </w:tcPr>
          <w:p w14:paraId="4D68FE7D" w14:textId="77777777" w:rsidR="00CB507F" w:rsidRPr="00CB34A3" w:rsidRDefault="00CB507F" w:rsidP="00673940">
            <w:pPr>
              <w:pStyle w:val="HStandard"/>
              <w:rPr>
                <w:rFonts w:cs="Arial"/>
                <w:lang w:val="en-GB"/>
              </w:rPr>
            </w:pPr>
            <w:r w:rsidRPr="00CB34A3">
              <w:rPr>
                <w:lang w:val="en-GB"/>
              </w:rPr>
              <w:t>High quality and timely available data is essential in order to apply suitable methods to accomplish all required evaluation tasks and to obtain robust evaluation findings. While different methods have different data needs, the evaluator also has to develop strategies to overcome these data gaps.</w:t>
            </w:r>
          </w:p>
        </w:tc>
      </w:tr>
      <w:tr w:rsidR="00CB507F" w:rsidRPr="00F61F42" w14:paraId="4382558F" w14:textId="77777777" w:rsidTr="004E4415">
        <w:trPr>
          <w:jc w:val="center"/>
        </w:trPr>
        <w:tc>
          <w:tcPr>
            <w:tcW w:w="9071" w:type="dxa"/>
            <w:shd w:val="clear" w:color="auto" w:fill="FCE5D5" w:themeFill="background2" w:themeFillTint="33"/>
          </w:tcPr>
          <w:p w14:paraId="74A860A4" w14:textId="77777777" w:rsidR="00CB507F" w:rsidRPr="003726BE" w:rsidRDefault="00CB507F" w:rsidP="00C147EB">
            <w:pPr>
              <w:pStyle w:val="HHeading5"/>
              <w:rPr>
                <w:rFonts w:cs="Arial"/>
              </w:rPr>
            </w:pPr>
            <w:r w:rsidRPr="003726BE">
              <w:t>Recommended working steps</w:t>
            </w:r>
          </w:p>
          <w:p w14:paraId="7A906671" w14:textId="77777777" w:rsidR="00CB507F" w:rsidRPr="00CB34A3" w:rsidRDefault="00CB507F" w:rsidP="00673940">
            <w:pPr>
              <w:pStyle w:val="Hlistbullet"/>
              <w:rPr>
                <w:rFonts w:cs="Arial"/>
                <w:lang w:val="en-GB"/>
              </w:rPr>
            </w:pPr>
            <w:r w:rsidRPr="00CB34A3">
              <w:rPr>
                <w:b/>
                <w:lang w:val="en-GB"/>
              </w:rPr>
              <w:t>Check the availability of data for all common, additional and programme-specific indicators and of financial data:</w:t>
            </w:r>
            <w:r w:rsidRPr="00CB34A3">
              <w:rPr>
                <w:lang w:val="en-GB"/>
              </w:rPr>
              <w:t xml:space="preserve"> Identify data gaps (quality and availability). In case the data for certain common indicators are missing and cannot be obtained in a cost effective way, proxy indicators should be used. </w:t>
            </w:r>
          </w:p>
          <w:p w14:paraId="10B6E86D" w14:textId="77777777" w:rsidR="00CB507F" w:rsidRPr="00CB34A3" w:rsidRDefault="00CB507F" w:rsidP="00673940">
            <w:pPr>
              <w:pStyle w:val="Hlistbullet"/>
              <w:rPr>
                <w:rFonts w:cs="Arial"/>
                <w:lang w:val="en-GB"/>
              </w:rPr>
            </w:pPr>
            <w:r w:rsidRPr="00CB34A3">
              <w:rPr>
                <w:b/>
                <w:lang w:val="en-GB"/>
              </w:rPr>
              <w:t>Check the availability of data to calculate target values of indicators:</w:t>
            </w:r>
            <w:r w:rsidRPr="00CB34A3">
              <w:rPr>
                <w:lang w:val="en-GB"/>
              </w:rPr>
              <w:t xml:space="preserve"> Examine if the data to calculate target values is in place. Some expected values, e.g. expected leverage of investments, should be set after specific research work has been carried out. </w:t>
            </w:r>
          </w:p>
          <w:p w14:paraId="53FF5C50" w14:textId="77777777" w:rsidR="00CB507F" w:rsidRPr="00CB34A3" w:rsidRDefault="00CB507F" w:rsidP="00673940">
            <w:pPr>
              <w:pStyle w:val="Hlistbullet"/>
              <w:rPr>
                <w:rFonts w:cs="Arial"/>
                <w:lang w:val="en-GB"/>
              </w:rPr>
            </w:pPr>
            <w:r w:rsidRPr="00CB34A3">
              <w:rPr>
                <w:b/>
                <w:lang w:val="en-GB"/>
              </w:rPr>
              <w:t>Decide which data is needed to calculate the net values of result (in 2017) and impact (in 2019) indicators and check their availability</w:t>
            </w:r>
            <w:r w:rsidRPr="00CB34A3">
              <w:rPr>
                <w:lang w:val="en-GB"/>
              </w:rPr>
              <w:t xml:space="preserve">: In this step, the data to conduct the counterfactual, and calculate net values of indicators in line with the selected methods, and additional data needed to answer the EQ, should be identified. This contains also the data for control groups, relevant sector data or any type of data which is needed for applying selected evaluation methods. Existing sources/databases of required data should be identified and assessed for their suitability in the RDP evaluation. </w:t>
            </w:r>
          </w:p>
          <w:p w14:paraId="0685442E" w14:textId="77777777" w:rsidR="00CB507F" w:rsidRPr="00CB34A3" w:rsidRDefault="00CB507F" w:rsidP="00673940">
            <w:pPr>
              <w:pStyle w:val="Hlistbullet"/>
              <w:rPr>
                <w:rFonts w:cs="Arial"/>
                <w:lang w:val="en-GB"/>
              </w:rPr>
            </w:pPr>
            <w:r w:rsidRPr="00CB34A3">
              <w:rPr>
                <w:b/>
                <w:lang w:val="en-GB"/>
              </w:rPr>
              <w:t>Make the necessary arrangements for ensuring data availability:</w:t>
            </w:r>
            <w:r w:rsidRPr="00CB34A3">
              <w:rPr>
                <w:lang w:val="en-GB"/>
              </w:rPr>
              <w:t xml:space="preserve"> Existing data might not be in the format required for the RDP evaluation. Therefore, it is necessary to make arrangements to obtain data for the evaluation from existing databases, e.g. contract data providers, agree on data sets in a specific format, apply legal procedures if necessary, etc. </w:t>
            </w:r>
          </w:p>
          <w:p w14:paraId="41954764" w14:textId="77777777" w:rsidR="00CB507F" w:rsidRPr="00CB34A3" w:rsidRDefault="00CB507F" w:rsidP="00673940">
            <w:pPr>
              <w:pStyle w:val="Hlistbullet"/>
              <w:rPr>
                <w:rFonts w:cs="Arial"/>
                <w:lang w:val="en-GB"/>
              </w:rPr>
            </w:pPr>
            <w:r w:rsidRPr="00CB34A3">
              <w:rPr>
                <w:b/>
                <w:lang w:val="en-GB"/>
              </w:rPr>
              <w:t>Decide if additional data needs to be collected:</w:t>
            </w:r>
            <w:r w:rsidRPr="00CB34A3">
              <w:rPr>
                <w:lang w:val="en-GB"/>
              </w:rPr>
              <w:t xml:space="preserve"> In case existing databases do not satisfy the evaluation needs, additional data shall be collected. Data for beneficiaries can be collected via the existing monitoring system. For control groups surveys can be carried out selecting the samples in line with the chosen ev</w:t>
            </w:r>
            <w:r w:rsidR="006217D2">
              <w:rPr>
                <w:lang w:val="en-GB"/>
              </w:rPr>
              <w:t>aluation method.</w:t>
            </w:r>
          </w:p>
          <w:p w14:paraId="16E0A764" w14:textId="77777777" w:rsidR="00CB507F" w:rsidRPr="00CB34A3" w:rsidRDefault="00093F19">
            <w:pPr>
              <w:pStyle w:val="Hlistbullet"/>
              <w:rPr>
                <w:rFonts w:cs="Arial"/>
                <w:lang w:val="en-GB"/>
              </w:rPr>
            </w:pPr>
            <w:r w:rsidRPr="00CB34A3">
              <w:rPr>
                <w:b/>
                <w:lang w:val="en-GB"/>
              </w:rPr>
              <w:t>Propose adjustments of the monitoring system in order to make it better fit for evaluation:</w:t>
            </w:r>
            <w:r w:rsidRPr="00CB34A3">
              <w:rPr>
                <w:lang w:val="en-GB"/>
              </w:rPr>
              <w:t xml:space="preserve"> A monitoring system, which collects data on beneficiaries and allows for this data to be used for the purpose of evaluation, is a cost effective tool to obtain data even for common and programme-specific result and impact indicators. As such, it can be used as a source for counterfactual analysis providing data is in a suitable format and time. </w:t>
            </w:r>
          </w:p>
        </w:tc>
      </w:tr>
      <w:tr w:rsidR="00CB507F" w:rsidRPr="00F61F42" w14:paraId="32A8FA45" w14:textId="77777777" w:rsidTr="004E4415">
        <w:trPr>
          <w:jc w:val="center"/>
        </w:trPr>
        <w:tc>
          <w:tcPr>
            <w:tcW w:w="9071" w:type="dxa"/>
          </w:tcPr>
          <w:p w14:paraId="7A192B8F" w14:textId="77777777" w:rsidR="00CB507F" w:rsidRPr="00CB34A3" w:rsidRDefault="00CB507F" w:rsidP="00AF3316">
            <w:pPr>
              <w:pStyle w:val="HStandard"/>
              <w:rPr>
                <w:rFonts w:cs="Arial"/>
                <w:lang w:val="en-GB"/>
              </w:rPr>
            </w:pPr>
            <w:r w:rsidRPr="00CB34A3">
              <w:rPr>
                <w:b/>
                <w:lang w:val="en-GB"/>
              </w:rPr>
              <w:t>Expected outcome</w:t>
            </w:r>
            <w:r w:rsidRPr="00CB34A3">
              <w:rPr>
                <w:lang w:val="en-GB"/>
              </w:rPr>
              <w:t xml:space="preserve">: inventory of existing data sources, data gap analysis, arrangements for data provision and access. </w:t>
            </w:r>
          </w:p>
        </w:tc>
      </w:tr>
    </w:tbl>
    <w:p w14:paraId="17960382" w14:textId="77777777" w:rsidR="00567F4C" w:rsidRPr="00CB34A3" w:rsidRDefault="00567F4C" w:rsidP="00C147EB">
      <w:pPr>
        <w:pStyle w:val="HHeading5"/>
        <w:rPr>
          <w:rFonts w:cs="Arial"/>
          <w:lang w:val="en-GB"/>
        </w:rPr>
      </w:pPr>
      <w:r w:rsidRPr="00CB34A3">
        <w:rPr>
          <w:lang w:val="en-GB"/>
        </w:rPr>
        <w:t>Evaluation tasks and data needs</w:t>
      </w:r>
    </w:p>
    <w:p w14:paraId="71114EEA" w14:textId="77777777" w:rsidR="00567F4C" w:rsidRPr="00CB34A3" w:rsidRDefault="00567F4C" w:rsidP="00673940">
      <w:pPr>
        <w:pStyle w:val="HStandard"/>
        <w:rPr>
          <w:rFonts w:cs="Arial"/>
          <w:lang w:val="en-GB"/>
        </w:rPr>
      </w:pPr>
      <w:r w:rsidRPr="00CB34A3">
        <w:rPr>
          <w:lang w:val="en-GB"/>
        </w:rPr>
        <w:t>Data requirements for evaluations are linked to evaluation tasks and evaluation needs, which are expressed in the form of EQs answered by means of indicators. As such, data requirements are rooted in the intervention logic of the programme and its objectives, which address the “why” and “how” of the policy. The “why” describes the policy need and, to some extent, sets the quantified targets of the policy/measure. The “how” addresses the way by which instruments and resources will be used to achieve targets.</w:t>
      </w:r>
    </w:p>
    <w:p w14:paraId="400D6C28" w14:textId="77777777" w:rsidR="00B334BA" w:rsidRPr="00CB34A3" w:rsidRDefault="00567F4C" w:rsidP="00673940">
      <w:pPr>
        <w:pStyle w:val="HStandard"/>
        <w:rPr>
          <w:rFonts w:cs="Arial"/>
          <w:lang w:val="en-GB"/>
        </w:rPr>
      </w:pPr>
      <w:r w:rsidRPr="00CB34A3">
        <w:rPr>
          <w:lang w:val="en-GB"/>
        </w:rPr>
        <w:lastRenderedPageBreak/>
        <w:t>The following table presents the evaluation tasks to be reported in the AIR 2017</w:t>
      </w:r>
      <w:r w:rsidRPr="003726BE">
        <w:rPr>
          <w:rStyle w:val="FootnoteReference"/>
        </w:rPr>
        <w:footnoteReference w:id="65"/>
      </w:r>
      <w:r w:rsidRPr="00CB34A3">
        <w:rPr>
          <w:lang w:val="en-GB"/>
        </w:rPr>
        <w:t xml:space="preserve"> and respective data requirements. </w:t>
      </w:r>
    </w:p>
    <w:p w14:paraId="5DFB0BD4" w14:textId="77777777" w:rsidR="00567F4C" w:rsidRPr="00CB34A3" w:rsidRDefault="00567F4C" w:rsidP="00B334BA">
      <w:pPr>
        <w:pStyle w:val="HHeadingtables"/>
        <w:rPr>
          <w:rFonts w:cs="Arial"/>
          <w:lang w:val="en-GB"/>
        </w:rPr>
      </w:pPr>
      <w:bookmarkStart w:id="101" w:name="_Toc460936138"/>
      <w:bookmarkStart w:id="102" w:name="_Toc474132626"/>
      <w:r w:rsidRPr="00CB34A3">
        <w:rPr>
          <w:lang w:val="en-GB"/>
        </w:rPr>
        <w:t>Evaluation task and data needs in 2017</w:t>
      </w:r>
      <w:bookmarkEnd w:id="101"/>
      <w:bookmarkEnd w:id="102"/>
    </w:p>
    <w:tbl>
      <w:tblPr>
        <w:tblStyle w:val="TableGrid"/>
        <w:tblW w:w="0" w:type="auto"/>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3644"/>
        <w:gridCol w:w="2275"/>
        <w:gridCol w:w="1035"/>
        <w:gridCol w:w="2060"/>
      </w:tblGrid>
      <w:tr w:rsidR="00567F4C" w:rsidRPr="003726BE" w14:paraId="7F4121C9" w14:textId="77777777" w:rsidTr="008F72F4">
        <w:trPr>
          <w:trHeight w:val="578"/>
          <w:tblHeader/>
          <w:jc w:val="center"/>
        </w:trPr>
        <w:tc>
          <w:tcPr>
            <w:tcW w:w="3644" w:type="dxa"/>
            <w:shd w:val="clear" w:color="auto" w:fill="F07E31" w:themeFill="background2"/>
          </w:tcPr>
          <w:p w14:paraId="0301A0EE" w14:textId="77777777" w:rsidR="00567F4C" w:rsidRPr="003726BE" w:rsidRDefault="00567F4C" w:rsidP="00B334BA">
            <w:pPr>
              <w:pStyle w:val="Htableleftbolt"/>
              <w:rPr>
                <w:rFonts w:cs="Arial"/>
                <w:color w:val="FFFFFF" w:themeColor="accent1"/>
              </w:rPr>
            </w:pPr>
            <w:r w:rsidRPr="003726BE">
              <w:rPr>
                <w:color w:val="FFFFFF" w:themeColor="accent1"/>
              </w:rPr>
              <w:t>Evaluation tasks</w:t>
            </w:r>
          </w:p>
        </w:tc>
        <w:tc>
          <w:tcPr>
            <w:tcW w:w="2275" w:type="dxa"/>
            <w:shd w:val="clear" w:color="auto" w:fill="F07E31" w:themeFill="background2"/>
          </w:tcPr>
          <w:p w14:paraId="708786ED" w14:textId="77777777" w:rsidR="00567F4C" w:rsidRPr="00CB34A3" w:rsidRDefault="00567F4C" w:rsidP="00B334BA">
            <w:pPr>
              <w:pStyle w:val="Htableleftbolt"/>
              <w:rPr>
                <w:rFonts w:cs="Arial"/>
                <w:color w:val="FFFFFF" w:themeColor="accent1"/>
                <w:lang w:val="en-GB"/>
              </w:rPr>
            </w:pPr>
            <w:r w:rsidRPr="00CB34A3">
              <w:rPr>
                <w:color w:val="FFFFFF" w:themeColor="accent1"/>
                <w:lang w:val="en-GB"/>
              </w:rPr>
              <w:t>Types of data needed / Relevant data needs</w:t>
            </w:r>
          </w:p>
        </w:tc>
        <w:tc>
          <w:tcPr>
            <w:tcW w:w="1031" w:type="dxa"/>
            <w:shd w:val="clear" w:color="auto" w:fill="F07E31" w:themeFill="background2"/>
          </w:tcPr>
          <w:p w14:paraId="1A502258" w14:textId="77777777" w:rsidR="00567F4C" w:rsidRPr="003726BE" w:rsidRDefault="00567F4C" w:rsidP="00B334BA">
            <w:pPr>
              <w:pStyle w:val="Htableleftbolt"/>
              <w:rPr>
                <w:rFonts w:cs="Arial"/>
                <w:color w:val="FFFFFF" w:themeColor="accent1"/>
              </w:rPr>
            </w:pPr>
            <w:r w:rsidRPr="003726BE">
              <w:rPr>
                <w:color w:val="FFFFFF" w:themeColor="accent1"/>
              </w:rPr>
              <w:t>Time to collect</w:t>
            </w:r>
          </w:p>
        </w:tc>
        <w:tc>
          <w:tcPr>
            <w:tcW w:w="2060" w:type="dxa"/>
            <w:shd w:val="clear" w:color="auto" w:fill="F07E31" w:themeFill="background2"/>
          </w:tcPr>
          <w:p w14:paraId="0F425846" w14:textId="77777777" w:rsidR="00567F4C" w:rsidRPr="003726BE" w:rsidRDefault="00567F4C" w:rsidP="00B334BA">
            <w:pPr>
              <w:pStyle w:val="Htableleftbolt"/>
              <w:rPr>
                <w:rFonts w:cs="Arial"/>
                <w:color w:val="FFFFFF" w:themeColor="accent1"/>
              </w:rPr>
            </w:pPr>
            <w:r w:rsidRPr="003726BE">
              <w:rPr>
                <w:color w:val="FFFFFF" w:themeColor="accent1"/>
              </w:rPr>
              <w:t>Legal Base</w:t>
            </w:r>
          </w:p>
        </w:tc>
      </w:tr>
      <w:tr w:rsidR="00567F4C" w:rsidRPr="003726BE" w14:paraId="5B3DC2C2" w14:textId="77777777" w:rsidTr="008F72F4">
        <w:trPr>
          <w:trHeight w:val="1373"/>
          <w:jc w:val="center"/>
        </w:trPr>
        <w:tc>
          <w:tcPr>
            <w:tcW w:w="3644" w:type="dxa"/>
            <w:shd w:val="clear" w:color="auto" w:fill="auto"/>
          </w:tcPr>
          <w:p w14:paraId="00BA0A3E" w14:textId="77777777" w:rsidR="00567F4C" w:rsidRPr="00CB34A3" w:rsidRDefault="00567F4C" w:rsidP="00B334BA">
            <w:pPr>
              <w:pStyle w:val="Htableleft"/>
              <w:rPr>
                <w:rFonts w:cs="Arial"/>
                <w:sz w:val="16"/>
                <w:szCs w:val="16"/>
                <w:lang w:val="en-GB"/>
              </w:rPr>
            </w:pPr>
            <w:r w:rsidRPr="00CB34A3">
              <w:rPr>
                <w:sz w:val="16"/>
                <w:lang w:val="en-GB"/>
              </w:rPr>
              <w:t>Assessment of the information and progress towards achieving the objectives of the programme: reporting and quantification of programme achievements, in particular through the assessment of the complementary result indicators and relevant evaluation questions</w:t>
            </w:r>
          </w:p>
        </w:tc>
        <w:tc>
          <w:tcPr>
            <w:tcW w:w="2275" w:type="dxa"/>
            <w:shd w:val="clear" w:color="auto" w:fill="auto"/>
          </w:tcPr>
          <w:p w14:paraId="7C27A77D" w14:textId="77777777" w:rsidR="00567F4C" w:rsidRPr="00CB34A3" w:rsidRDefault="00567F4C" w:rsidP="00B334BA">
            <w:pPr>
              <w:pStyle w:val="Htableleft"/>
              <w:rPr>
                <w:rFonts w:cs="Arial"/>
                <w:sz w:val="16"/>
                <w:szCs w:val="16"/>
                <w:lang w:val="en-GB"/>
              </w:rPr>
            </w:pPr>
            <w:r w:rsidRPr="00CB34A3">
              <w:rPr>
                <w:sz w:val="16"/>
                <w:lang w:val="en-GB"/>
              </w:rPr>
              <w:t>Data to calculate gross and, whenever possible, also net values of result indicators (complementary result indicators, target indicators expressed in ratios, additional indicators, and programme-specific indicators)</w:t>
            </w:r>
          </w:p>
          <w:p w14:paraId="185164BE" w14:textId="77777777" w:rsidR="00567F4C" w:rsidRPr="00CB34A3" w:rsidRDefault="00567F4C" w:rsidP="006217D2">
            <w:pPr>
              <w:pStyle w:val="Htableleft"/>
              <w:rPr>
                <w:rFonts w:cs="Arial"/>
                <w:sz w:val="16"/>
                <w:szCs w:val="16"/>
                <w:lang w:val="en-GB"/>
              </w:rPr>
            </w:pPr>
            <w:r w:rsidRPr="00CB34A3">
              <w:rPr>
                <w:sz w:val="16"/>
                <w:lang w:val="en-GB"/>
              </w:rPr>
              <w:t xml:space="preserve">Additional data &amp; information needed to answer focus area- related EQ and EQ related to other RDP aspects </w:t>
            </w:r>
          </w:p>
        </w:tc>
        <w:tc>
          <w:tcPr>
            <w:tcW w:w="1031" w:type="dxa"/>
            <w:shd w:val="clear" w:color="auto" w:fill="auto"/>
          </w:tcPr>
          <w:p w14:paraId="0592957C" w14:textId="77777777" w:rsidR="00F3350F" w:rsidRPr="003726BE" w:rsidRDefault="00F3350F" w:rsidP="00F3350F">
            <w:pPr>
              <w:pStyle w:val="Htableleft"/>
              <w:keepNext/>
              <w:framePr w:hSpace="142" w:vSpace="142" w:wrap="notBeside" w:vAnchor="page" w:hAnchor="margin" w:y="1532"/>
              <w:pBdr>
                <w:left w:val="single" w:sz="48" w:space="8" w:color="33CCCC"/>
              </w:pBdr>
              <w:tabs>
                <w:tab w:val="left" w:pos="227"/>
              </w:tabs>
              <w:outlineLvl w:val="0"/>
              <w:rPr>
                <w:rFonts w:cs="Arial"/>
                <w:sz w:val="16"/>
                <w:szCs w:val="16"/>
              </w:rPr>
            </w:pPr>
            <w:r w:rsidRPr="003726BE">
              <w:rPr>
                <w:sz w:val="16"/>
              </w:rPr>
              <w:t xml:space="preserve">Since the programme start </w:t>
            </w:r>
          </w:p>
        </w:tc>
        <w:tc>
          <w:tcPr>
            <w:tcW w:w="2060" w:type="dxa"/>
            <w:shd w:val="clear" w:color="auto" w:fill="auto"/>
          </w:tcPr>
          <w:p w14:paraId="637D5BF5" w14:textId="77777777" w:rsidR="00567F4C" w:rsidRPr="003726BE" w:rsidRDefault="00567F4C" w:rsidP="00D43D33">
            <w:pPr>
              <w:pStyle w:val="Htableleft"/>
              <w:rPr>
                <w:rFonts w:cs="Arial"/>
                <w:sz w:val="16"/>
                <w:szCs w:val="16"/>
              </w:rPr>
            </w:pPr>
            <w:r w:rsidRPr="003726BE">
              <w:rPr>
                <w:sz w:val="16"/>
              </w:rPr>
              <w:t>Commission Implementing Regulation (EU) No 808/2014, Annex VII, point 7</w:t>
            </w:r>
          </w:p>
        </w:tc>
      </w:tr>
    </w:tbl>
    <w:p w14:paraId="6B6576DF" w14:textId="77777777" w:rsidR="00567F4C" w:rsidRPr="00CB34A3" w:rsidRDefault="00567F4C" w:rsidP="00C147EB">
      <w:pPr>
        <w:pStyle w:val="HHeading5"/>
        <w:rPr>
          <w:rFonts w:cs="Arial"/>
          <w:lang w:val="en-GB"/>
        </w:rPr>
      </w:pPr>
      <w:r w:rsidRPr="00CB34A3">
        <w:rPr>
          <w:lang w:val="en-GB"/>
        </w:rPr>
        <w:t>Types of data in RDP evaluation</w:t>
      </w:r>
    </w:p>
    <w:p w14:paraId="2E8E4685" w14:textId="77777777" w:rsidR="00567F4C" w:rsidRPr="00CB34A3" w:rsidRDefault="00093F19" w:rsidP="00673940">
      <w:pPr>
        <w:pStyle w:val="HStandard"/>
        <w:rPr>
          <w:rFonts w:cs="Arial"/>
          <w:lang w:val="en-GB"/>
        </w:rPr>
      </w:pPr>
      <w:r w:rsidRPr="00CB34A3">
        <w:rPr>
          <w:lang w:val="en-GB"/>
        </w:rPr>
        <w:t>The following table provides an overview of the different types of data used in the evaluation of RDPs.</w:t>
      </w:r>
    </w:p>
    <w:p w14:paraId="23341963" w14:textId="77777777" w:rsidR="00567F4C" w:rsidRPr="00CB34A3" w:rsidRDefault="00567F4C" w:rsidP="00B334BA">
      <w:pPr>
        <w:pStyle w:val="HHeadingtables"/>
        <w:rPr>
          <w:rFonts w:cs="Arial"/>
          <w:lang w:val="en-GB"/>
        </w:rPr>
      </w:pPr>
      <w:bookmarkStart w:id="103" w:name="_Toc428965199"/>
      <w:bookmarkStart w:id="104" w:name="_Toc460936139"/>
      <w:bookmarkStart w:id="105" w:name="_Toc474132627"/>
      <w:r w:rsidRPr="00CB34A3">
        <w:rPr>
          <w:lang w:val="en-GB"/>
        </w:rPr>
        <w:t>Types of data used in rural development evaluation</w:t>
      </w:r>
      <w:bookmarkEnd w:id="103"/>
      <w:bookmarkEnd w:id="104"/>
      <w:bookmarkEnd w:id="105"/>
    </w:p>
    <w:tbl>
      <w:tblPr>
        <w:tblStyle w:val="TableGrid"/>
        <w:tblW w:w="7855" w:type="dxa"/>
        <w:jc w:val="center"/>
        <w:tblLook w:val="04A0" w:firstRow="1" w:lastRow="0" w:firstColumn="1" w:lastColumn="0" w:noHBand="0" w:noVBand="1"/>
      </w:tblPr>
      <w:tblGrid>
        <w:gridCol w:w="1263"/>
        <w:gridCol w:w="1868"/>
        <w:gridCol w:w="1775"/>
        <w:gridCol w:w="1542"/>
        <w:gridCol w:w="1407"/>
      </w:tblGrid>
      <w:tr w:rsidR="00567F4C" w:rsidRPr="003726BE" w14:paraId="6B9496D7" w14:textId="77777777" w:rsidTr="008F72F4">
        <w:trPr>
          <w:tblHeader/>
          <w:jc w:val="center"/>
        </w:trPr>
        <w:tc>
          <w:tcPr>
            <w:tcW w:w="1271"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F07E31" w:themeFill="background2"/>
          </w:tcPr>
          <w:p w14:paraId="20BE9FDE" w14:textId="77777777" w:rsidR="00567F4C" w:rsidRPr="003726BE" w:rsidRDefault="00567F4C" w:rsidP="00B334BA">
            <w:pPr>
              <w:pStyle w:val="Htableleftbolt"/>
              <w:rPr>
                <w:rFonts w:cs="Arial"/>
                <w:color w:val="FFFFFF" w:themeColor="accent1"/>
              </w:rPr>
            </w:pPr>
            <w:r w:rsidRPr="003726BE">
              <w:rPr>
                <w:color w:val="FFFFFF" w:themeColor="accent1"/>
              </w:rPr>
              <w:t xml:space="preserve">Data </w:t>
            </w:r>
          </w:p>
        </w:tc>
        <w:tc>
          <w:tcPr>
            <w:tcW w:w="1877"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F07E31" w:themeFill="background2"/>
          </w:tcPr>
          <w:p w14:paraId="4C07C444" w14:textId="77777777" w:rsidR="00567F4C" w:rsidRPr="00CB34A3" w:rsidRDefault="00567F4C" w:rsidP="00B334BA">
            <w:pPr>
              <w:pStyle w:val="Htableleftbolt"/>
              <w:rPr>
                <w:rFonts w:cs="Arial"/>
                <w:color w:val="FFFFFF" w:themeColor="accent1"/>
                <w:lang w:val="en-GB"/>
              </w:rPr>
            </w:pPr>
            <w:r w:rsidRPr="00CB34A3">
              <w:rPr>
                <w:color w:val="FFFFFF" w:themeColor="accent1"/>
                <w:lang w:val="en-GB"/>
              </w:rPr>
              <w:t>Sources of available data sets</w:t>
            </w:r>
          </w:p>
        </w:tc>
        <w:tc>
          <w:tcPr>
            <w:tcW w:w="180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F07E31" w:themeFill="background2"/>
          </w:tcPr>
          <w:p w14:paraId="61013C84" w14:textId="77777777" w:rsidR="00567F4C" w:rsidRPr="003726BE" w:rsidRDefault="00567F4C" w:rsidP="00B334BA">
            <w:pPr>
              <w:pStyle w:val="Htableleftbolt"/>
              <w:rPr>
                <w:rFonts w:cs="Arial"/>
                <w:color w:val="FFFFFF" w:themeColor="accent1"/>
              </w:rPr>
            </w:pPr>
            <w:r w:rsidRPr="003726BE">
              <w:rPr>
                <w:color w:val="FFFFFF" w:themeColor="accent1"/>
              </w:rPr>
              <w:t xml:space="preserve">Provider </w:t>
            </w:r>
          </w:p>
        </w:tc>
        <w:tc>
          <w:tcPr>
            <w:tcW w:w="155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F07E31" w:themeFill="background2"/>
          </w:tcPr>
          <w:p w14:paraId="077B8FAA" w14:textId="77777777" w:rsidR="00567F4C" w:rsidRPr="003726BE" w:rsidRDefault="00567F4C" w:rsidP="00B334BA">
            <w:pPr>
              <w:pStyle w:val="Htableleftbolt"/>
              <w:rPr>
                <w:rFonts w:cs="Arial"/>
                <w:color w:val="FFFFFF" w:themeColor="accent1"/>
              </w:rPr>
            </w:pPr>
            <w:r w:rsidRPr="003726BE">
              <w:rPr>
                <w:color w:val="FFFFFF" w:themeColor="accent1"/>
              </w:rPr>
              <w:t xml:space="preserve">Availability </w:t>
            </w:r>
          </w:p>
        </w:tc>
        <w:tc>
          <w:tcPr>
            <w:tcW w:w="133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F07E31" w:themeFill="background2"/>
          </w:tcPr>
          <w:p w14:paraId="2A431BF7" w14:textId="77777777" w:rsidR="00567F4C" w:rsidRPr="003726BE" w:rsidRDefault="00567F4C" w:rsidP="00B334BA">
            <w:pPr>
              <w:pStyle w:val="Htableleftbolt"/>
              <w:rPr>
                <w:rFonts w:cs="Arial"/>
                <w:color w:val="FFFFFF" w:themeColor="accent1"/>
              </w:rPr>
            </w:pPr>
            <w:r w:rsidRPr="003726BE">
              <w:rPr>
                <w:color w:val="FFFFFF" w:themeColor="accent1"/>
              </w:rPr>
              <w:t xml:space="preserve">Necessary arrangements </w:t>
            </w:r>
          </w:p>
        </w:tc>
      </w:tr>
      <w:tr w:rsidR="00567F4C" w:rsidRPr="003726BE" w14:paraId="0BE9B596" w14:textId="77777777" w:rsidTr="008F72F4">
        <w:trPr>
          <w:jc w:val="center"/>
        </w:trPr>
        <w:tc>
          <w:tcPr>
            <w:tcW w:w="1271" w:type="dxa"/>
            <w:vMerge w:val="restart"/>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14:paraId="3E6B9437" w14:textId="77777777" w:rsidR="00567F4C" w:rsidRPr="003726BE" w:rsidRDefault="00567F4C" w:rsidP="00B334BA">
            <w:pPr>
              <w:pStyle w:val="Htableleft"/>
              <w:rPr>
                <w:rFonts w:cs="Arial"/>
                <w:sz w:val="16"/>
                <w:szCs w:val="16"/>
              </w:rPr>
            </w:pPr>
            <w:r w:rsidRPr="003726BE">
              <w:rPr>
                <w:sz w:val="16"/>
              </w:rPr>
              <w:t xml:space="preserve">Primary data on beneficiaries </w:t>
            </w:r>
          </w:p>
        </w:tc>
        <w:tc>
          <w:tcPr>
            <w:tcW w:w="1877"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14:paraId="4021E137" w14:textId="77777777" w:rsidR="00567F4C" w:rsidRPr="003726BE" w:rsidRDefault="00567F4C" w:rsidP="00B334BA">
            <w:pPr>
              <w:pStyle w:val="Htableleft"/>
              <w:rPr>
                <w:rFonts w:cs="Arial"/>
                <w:sz w:val="16"/>
                <w:szCs w:val="16"/>
              </w:rPr>
            </w:pPr>
            <w:r w:rsidRPr="003726BE">
              <w:rPr>
                <w:sz w:val="16"/>
              </w:rPr>
              <w:t xml:space="preserve">Operations database/monitoring </w:t>
            </w:r>
          </w:p>
        </w:tc>
        <w:tc>
          <w:tcPr>
            <w:tcW w:w="180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14:paraId="6EC9CFA6" w14:textId="77777777" w:rsidR="00567F4C" w:rsidRPr="003726BE" w:rsidRDefault="00567F4C" w:rsidP="00B334BA">
            <w:pPr>
              <w:pStyle w:val="Htableleft"/>
              <w:rPr>
                <w:rFonts w:cs="Arial"/>
                <w:sz w:val="16"/>
                <w:szCs w:val="16"/>
              </w:rPr>
            </w:pPr>
            <w:r w:rsidRPr="003726BE">
              <w:rPr>
                <w:sz w:val="16"/>
              </w:rPr>
              <w:t>Paying Agency</w:t>
            </w:r>
          </w:p>
        </w:tc>
        <w:tc>
          <w:tcPr>
            <w:tcW w:w="155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14:paraId="4F2FF6E2" w14:textId="77777777" w:rsidR="00567F4C" w:rsidRPr="003726BE" w:rsidRDefault="00567F4C" w:rsidP="00B334BA">
            <w:pPr>
              <w:pStyle w:val="Htableleft"/>
              <w:rPr>
                <w:rFonts w:cs="Arial"/>
                <w:sz w:val="16"/>
                <w:szCs w:val="16"/>
              </w:rPr>
            </w:pPr>
            <w:r w:rsidRPr="003726BE">
              <w:rPr>
                <w:sz w:val="16"/>
              </w:rPr>
              <w:t>Yes, without additional costs</w:t>
            </w:r>
          </w:p>
        </w:tc>
        <w:tc>
          <w:tcPr>
            <w:tcW w:w="133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14:paraId="7E1F255F" w14:textId="77777777" w:rsidR="00567F4C" w:rsidRPr="003726BE" w:rsidRDefault="00567F4C" w:rsidP="00B334BA">
            <w:pPr>
              <w:pStyle w:val="Htableleft"/>
              <w:rPr>
                <w:rFonts w:cs="Arial"/>
                <w:sz w:val="16"/>
                <w:szCs w:val="16"/>
              </w:rPr>
            </w:pPr>
            <w:r w:rsidRPr="003726BE">
              <w:rPr>
                <w:sz w:val="16"/>
              </w:rPr>
              <w:t xml:space="preserve">None </w:t>
            </w:r>
          </w:p>
        </w:tc>
      </w:tr>
      <w:tr w:rsidR="00567F4C" w:rsidRPr="00F61F42" w14:paraId="425F7F56" w14:textId="77777777" w:rsidTr="008F72F4">
        <w:trPr>
          <w:jc w:val="center"/>
        </w:trPr>
        <w:tc>
          <w:tcPr>
            <w:tcW w:w="1271" w:type="dxa"/>
            <w:vMerge/>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14:paraId="1FE7E993" w14:textId="77777777" w:rsidR="00567F4C" w:rsidRPr="003726BE" w:rsidRDefault="00567F4C" w:rsidP="00B334BA">
            <w:pPr>
              <w:pStyle w:val="Htableleft"/>
              <w:rPr>
                <w:rFonts w:cs="Arial"/>
                <w:sz w:val="16"/>
                <w:szCs w:val="16"/>
              </w:rPr>
            </w:pPr>
          </w:p>
        </w:tc>
        <w:tc>
          <w:tcPr>
            <w:tcW w:w="1877"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14:paraId="1EF87B14" w14:textId="77777777" w:rsidR="00567F4C" w:rsidRPr="003726BE" w:rsidRDefault="00567F4C" w:rsidP="00B334BA">
            <w:pPr>
              <w:pStyle w:val="Htableleft"/>
              <w:rPr>
                <w:rFonts w:cs="Arial"/>
                <w:sz w:val="16"/>
                <w:szCs w:val="16"/>
              </w:rPr>
            </w:pPr>
            <w:r w:rsidRPr="003726BE">
              <w:rPr>
                <w:sz w:val="16"/>
              </w:rPr>
              <w:t>Surveys</w:t>
            </w:r>
          </w:p>
        </w:tc>
        <w:tc>
          <w:tcPr>
            <w:tcW w:w="180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14:paraId="3D967D77" w14:textId="77777777" w:rsidR="00567F4C" w:rsidRPr="003726BE" w:rsidRDefault="00567F4C" w:rsidP="00B334BA">
            <w:pPr>
              <w:pStyle w:val="Htableleft"/>
              <w:rPr>
                <w:rFonts w:cs="Arial"/>
                <w:sz w:val="16"/>
                <w:szCs w:val="16"/>
              </w:rPr>
            </w:pPr>
            <w:r w:rsidRPr="003726BE">
              <w:rPr>
                <w:sz w:val="16"/>
              </w:rPr>
              <w:t>Evaluators</w:t>
            </w:r>
          </w:p>
        </w:tc>
        <w:tc>
          <w:tcPr>
            <w:tcW w:w="155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14:paraId="515817D8" w14:textId="77777777" w:rsidR="00567F4C" w:rsidRPr="003726BE" w:rsidRDefault="00567F4C" w:rsidP="00B334BA">
            <w:pPr>
              <w:pStyle w:val="Htableleft"/>
              <w:rPr>
                <w:rFonts w:cs="Arial"/>
                <w:sz w:val="16"/>
                <w:szCs w:val="16"/>
              </w:rPr>
            </w:pPr>
            <w:r w:rsidRPr="003726BE">
              <w:rPr>
                <w:sz w:val="16"/>
              </w:rPr>
              <w:t>Yes, with additional costs</w:t>
            </w:r>
          </w:p>
        </w:tc>
        <w:tc>
          <w:tcPr>
            <w:tcW w:w="133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14:paraId="3B979C99" w14:textId="77777777" w:rsidR="00567F4C" w:rsidRPr="00CB34A3" w:rsidRDefault="00567F4C" w:rsidP="00B334BA">
            <w:pPr>
              <w:pStyle w:val="Htableleft"/>
              <w:rPr>
                <w:rFonts w:cs="Arial"/>
                <w:sz w:val="16"/>
                <w:szCs w:val="16"/>
                <w:lang w:val="en-GB"/>
              </w:rPr>
            </w:pPr>
            <w:r w:rsidRPr="00CB34A3">
              <w:rPr>
                <w:sz w:val="16"/>
                <w:lang w:val="en-GB"/>
              </w:rPr>
              <w:t>Evaluator prepares and conducts the survey</w:t>
            </w:r>
          </w:p>
        </w:tc>
      </w:tr>
      <w:tr w:rsidR="00567F4C" w:rsidRPr="00F61F42" w14:paraId="2DF22618" w14:textId="77777777" w:rsidTr="008F72F4">
        <w:trPr>
          <w:jc w:val="center"/>
        </w:trPr>
        <w:tc>
          <w:tcPr>
            <w:tcW w:w="1271" w:type="dxa"/>
            <w:vMerge/>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14:paraId="64A4D357" w14:textId="77777777" w:rsidR="00567F4C" w:rsidRPr="00CB34A3" w:rsidRDefault="00567F4C" w:rsidP="00B334BA">
            <w:pPr>
              <w:pStyle w:val="Htableleft"/>
              <w:rPr>
                <w:rFonts w:cs="Arial"/>
                <w:sz w:val="16"/>
                <w:szCs w:val="16"/>
                <w:lang w:val="en-GB"/>
              </w:rPr>
            </w:pPr>
          </w:p>
        </w:tc>
        <w:tc>
          <w:tcPr>
            <w:tcW w:w="1877"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14:paraId="224CAD4A" w14:textId="77777777" w:rsidR="00567F4C" w:rsidRPr="003726BE" w:rsidRDefault="00567F4C" w:rsidP="00B334BA">
            <w:pPr>
              <w:pStyle w:val="Htableleft"/>
              <w:rPr>
                <w:rFonts w:cs="Arial"/>
                <w:sz w:val="16"/>
                <w:szCs w:val="16"/>
              </w:rPr>
            </w:pPr>
            <w:r w:rsidRPr="003726BE">
              <w:rPr>
                <w:sz w:val="16"/>
              </w:rPr>
              <w:t>Income statements</w:t>
            </w:r>
          </w:p>
        </w:tc>
        <w:tc>
          <w:tcPr>
            <w:tcW w:w="180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14:paraId="72A0ACF2" w14:textId="77777777" w:rsidR="00567F4C" w:rsidRPr="003726BE" w:rsidRDefault="00567F4C" w:rsidP="00B334BA">
            <w:pPr>
              <w:pStyle w:val="Htableleft"/>
              <w:rPr>
                <w:rFonts w:cs="Arial"/>
                <w:sz w:val="16"/>
                <w:szCs w:val="16"/>
              </w:rPr>
            </w:pPr>
            <w:r w:rsidRPr="003726BE">
              <w:rPr>
                <w:sz w:val="16"/>
              </w:rPr>
              <w:t xml:space="preserve">Tax office </w:t>
            </w:r>
          </w:p>
        </w:tc>
        <w:tc>
          <w:tcPr>
            <w:tcW w:w="155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14:paraId="1917C18B" w14:textId="77777777" w:rsidR="00567F4C" w:rsidRPr="003726BE" w:rsidRDefault="00567F4C" w:rsidP="00B334BA">
            <w:pPr>
              <w:pStyle w:val="Htableleft"/>
              <w:rPr>
                <w:rFonts w:cs="Arial"/>
                <w:sz w:val="16"/>
                <w:szCs w:val="16"/>
              </w:rPr>
            </w:pPr>
            <w:r w:rsidRPr="003726BE">
              <w:rPr>
                <w:sz w:val="16"/>
              </w:rPr>
              <w:t>Yes, with additional costs</w:t>
            </w:r>
          </w:p>
        </w:tc>
        <w:tc>
          <w:tcPr>
            <w:tcW w:w="133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14:paraId="3F68AE43" w14:textId="77777777" w:rsidR="00567F4C" w:rsidRPr="00CB34A3" w:rsidRDefault="00567F4C" w:rsidP="00B334BA">
            <w:pPr>
              <w:pStyle w:val="Htableleft"/>
              <w:rPr>
                <w:rFonts w:cs="Arial"/>
                <w:sz w:val="16"/>
                <w:szCs w:val="16"/>
                <w:lang w:val="en-GB"/>
              </w:rPr>
            </w:pPr>
            <w:r w:rsidRPr="00CB34A3">
              <w:rPr>
                <w:sz w:val="16"/>
                <w:lang w:val="en-GB"/>
              </w:rPr>
              <w:t>Agreement with the tax office</w:t>
            </w:r>
          </w:p>
        </w:tc>
      </w:tr>
      <w:tr w:rsidR="00567F4C" w:rsidRPr="003726BE" w14:paraId="11864F4D" w14:textId="77777777" w:rsidTr="008F72F4">
        <w:trPr>
          <w:jc w:val="center"/>
        </w:trPr>
        <w:tc>
          <w:tcPr>
            <w:tcW w:w="1271" w:type="dxa"/>
            <w:vMerge w:val="restart"/>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14:paraId="3DAC33D2" w14:textId="77777777" w:rsidR="00567F4C" w:rsidRPr="003726BE" w:rsidRDefault="00567F4C" w:rsidP="00B334BA">
            <w:pPr>
              <w:pStyle w:val="Htableleft"/>
              <w:rPr>
                <w:rFonts w:cs="Arial"/>
                <w:sz w:val="16"/>
                <w:szCs w:val="16"/>
              </w:rPr>
            </w:pPr>
            <w:r w:rsidRPr="003726BE">
              <w:rPr>
                <w:sz w:val="16"/>
              </w:rPr>
              <w:t xml:space="preserve">Primary data on non-beneficiaries </w:t>
            </w:r>
          </w:p>
        </w:tc>
        <w:tc>
          <w:tcPr>
            <w:tcW w:w="1877"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14:paraId="124CD59C" w14:textId="77777777" w:rsidR="00567F4C" w:rsidRPr="003726BE" w:rsidRDefault="00567F4C" w:rsidP="00B334BA">
            <w:pPr>
              <w:pStyle w:val="Htableleft"/>
              <w:rPr>
                <w:rFonts w:cs="Arial"/>
                <w:sz w:val="16"/>
                <w:szCs w:val="16"/>
              </w:rPr>
            </w:pPr>
            <w:r w:rsidRPr="003726BE">
              <w:rPr>
                <w:sz w:val="16"/>
              </w:rPr>
              <w:t>FADN (ensuring anonymity)</w:t>
            </w:r>
          </w:p>
        </w:tc>
        <w:tc>
          <w:tcPr>
            <w:tcW w:w="180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14:paraId="28AB7EBD" w14:textId="77777777" w:rsidR="00567F4C" w:rsidRPr="003726BE" w:rsidRDefault="00567F4C" w:rsidP="00B334BA">
            <w:pPr>
              <w:pStyle w:val="Htableleft"/>
              <w:rPr>
                <w:rFonts w:cs="Arial"/>
                <w:sz w:val="16"/>
                <w:szCs w:val="16"/>
              </w:rPr>
            </w:pPr>
            <w:r w:rsidRPr="003726BE">
              <w:rPr>
                <w:sz w:val="16"/>
              </w:rPr>
              <w:t xml:space="preserve">Member States responsible body </w:t>
            </w:r>
          </w:p>
        </w:tc>
        <w:tc>
          <w:tcPr>
            <w:tcW w:w="155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14:paraId="5629F3EC" w14:textId="77777777" w:rsidR="00567F4C" w:rsidRPr="003726BE" w:rsidRDefault="00567F4C" w:rsidP="00B334BA">
            <w:pPr>
              <w:pStyle w:val="Htableleft"/>
              <w:rPr>
                <w:rFonts w:cs="Arial"/>
                <w:sz w:val="16"/>
                <w:szCs w:val="16"/>
              </w:rPr>
            </w:pPr>
            <w:r w:rsidRPr="003726BE">
              <w:rPr>
                <w:sz w:val="16"/>
              </w:rPr>
              <w:t>Yes</w:t>
            </w:r>
          </w:p>
        </w:tc>
        <w:tc>
          <w:tcPr>
            <w:tcW w:w="133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14:paraId="227F87B7" w14:textId="77777777" w:rsidR="00567F4C" w:rsidRPr="003726BE" w:rsidRDefault="00567F4C" w:rsidP="00B334BA">
            <w:pPr>
              <w:pStyle w:val="Htableleft"/>
              <w:rPr>
                <w:rFonts w:cs="Arial"/>
                <w:sz w:val="16"/>
                <w:szCs w:val="16"/>
              </w:rPr>
            </w:pPr>
            <w:r w:rsidRPr="003726BE">
              <w:rPr>
                <w:sz w:val="16"/>
              </w:rPr>
              <w:t xml:space="preserve">None </w:t>
            </w:r>
          </w:p>
        </w:tc>
      </w:tr>
      <w:tr w:rsidR="00567F4C" w:rsidRPr="003726BE" w14:paraId="206D5516" w14:textId="77777777" w:rsidTr="008F72F4">
        <w:trPr>
          <w:jc w:val="center"/>
        </w:trPr>
        <w:tc>
          <w:tcPr>
            <w:tcW w:w="1271" w:type="dxa"/>
            <w:vMerge/>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14:paraId="689CEBF3" w14:textId="77777777" w:rsidR="00567F4C" w:rsidRPr="003726BE" w:rsidRDefault="00567F4C" w:rsidP="00B334BA">
            <w:pPr>
              <w:pStyle w:val="Htableleft"/>
              <w:rPr>
                <w:rFonts w:cs="Arial"/>
                <w:sz w:val="16"/>
                <w:szCs w:val="16"/>
              </w:rPr>
            </w:pPr>
          </w:p>
        </w:tc>
        <w:tc>
          <w:tcPr>
            <w:tcW w:w="1877"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14:paraId="6714C535" w14:textId="77777777" w:rsidR="00567F4C" w:rsidRPr="00CB34A3" w:rsidRDefault="00567F4C" w:rsidP="00B334BA">
            <w:pPr>
              <w:pStyle w:val="Htableleft"/>
              <w:rPr>
                <w:rFonts w:cs="Arial"/>
                <w:sz w:val="16"/>
                <w:szCs w:val="16"/>
                <w:lang w:val="en-GB"/>
              </w:rPr>
            </w:pPr>
            <w:r w:rsidRPr="00CB34A3">
              <w:rPr>
                <w:sz w:val="16"/>
                <w:lang w:val="en-GB"/>
              </w:rPr>
              <w:t xml:space="preserve">National/regional statistics (ensuring anonymity) </w:t>
            </w:r>
          </w:p>
        </w:tc>
        <w:tc>
          <w:tcPr>
            <w:tcW w:w="180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14:paraId="22DE6CBB" w14:textId="77777777" w:rsidR="00567F4C" w:rsidRPr="003726BE" w:rsidRDefault="00567F4C" w:rsidP="00B334BA">
            <w:pPr>
              <w:pStyle w:val="Htableleft"/>
              <w:rPr>
                <w:rFonts w:cs="Arial"/>
                <w:sz w:val="16"/>
                <w:szCs w:val="16"/>
              </w:rPr>
            </w:pPr>
            <w:r w:rsidRPr="003726BE">
              <w:rPr>
                <w:sz w:val="16"/>
              </w:rPr>
              <w:t>Statistical office</w:t>
            </w:r>
          </w:p>
        </w:tc>
        <w:tc>
          <w:tcPr>
            <w:tcW w:w="155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14:paraId="49FDF9AE" w14:textId="77777777" w:rsidR="00567F4C" w:rsidRPr="003726BE" w:rsidRDefault="00567F4C" w:rsidP="00B334BA">
            <w:pPr>
              <w:pStyle w:val="Htableleft"/>
              <w:rPr>
                <w:rFonts w:cs="Arial"/>
                <w:sz w:val="16"/>
                <w:szCs w:val="16"/>
              </w:rPr>
            </w:pPr>
            <w:r w:rsidRPr="003726BE">
              <w:rPr>
                <w:sz w:val="16"/>
              </w:rPr>
              <w:t>Yes, no additional costs</w:t>
            </w:r>
          </w:p>
        </w:tc>
        <w:tc>
          <w:tcPr>
            <w:tcW w:w="133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14:paraId="2F606772" w14:textId="77777777" w:rsidR="00567F4C" w:rsidRPr="003726BE" w:rsidRDefault="00567F4C" w:rsidP="00B334BA">
            <w:pPr>
              <w:pStyle w:val="Htableleft"/>
              <w:rPr>
                <w:rFonts w:cs="Arial"/>
                <w:sz w:val="16"/>
                <w:szCs w:val="16"/>
              </w:rPr>
            </w:pPr>
            <w:r w:rsidRPr="003726BE">
              <w:rPr>
                <w:sz w:val="16"/>
              </w:rPr>
              <w:t>Request for data sets</w:t>
            </w:r>
          </w:p>
        </w:tc>
      </w:tr>
      <w:tr w:rsidR="00567F4C" w:rsidRPr="00F61F42" w14:paraId="33089DAE" w14:textId="77777777" w:rsidTr="008F72F4">
        <w:trPr>
          <w:trHeight w:val="180"/>
          <w:jc w:val="center"/>
        </w:trPr>
        <w:tc>
          <w:tcPr>
            <w:tcW w:w="1271" w:type="dxa"/>
            <w:vMerge/>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14:paraId="1D65EA36" w14:textId="77777777" w:rsidR="00567F4C" w:rsidRPr="003726BE" w:rsidRDefault="00567F4C" w:rsidP="00B334BA">
            <w:pPr>
              <w:pStyle w:val="Htableleft"/>
              <w:rPr>
                <w:rFonts w:cs="Arial"/>
                <w:sz w:val="16"/>
                <w:szCs w:val="16"/>
              </w:rPr>
            </w:pPr>
          </w:p>
        </w:tc>
        <w:tc>
          <w:tcPr>
            <w:tcW w:w="1877"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14:paraId="69D6DC73" w14:textId="77777777" w:rsidR="00567F4C" w:rsidRPr="003726BE" w:rsidRDefault="006217D2" w:rsidP="00B334BA">
            <w:pPr>
              <w:pStyle w:val="Htableleft"/>
              <w:rPr>
                <w:rFonts w:cs="Arial"/>
                <w:sz w:val="16"/>
                <w:szCs w:val="16"/>
              </w:rPr>
            </w:pPr>
            <w:r>
              <w:rPr>
                <w:sz w:val="16"/>
              </w:rPr>
              <w:t xml:space="preserve">Surveys </w:t>
            </w:r>
          </w:p>
        </w:tc>
        <w:tc>
          <w:tcPr>
            <w:tcW w:w="180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14:paraId="72D428E0" w14:textId="77777777" w:rsidR="00567F4C" w:rsidRPr="003726BE" w:rsidRDefault="00567F4C" w:rsidP="00B334BA">
            <w:pPr>
              <w:pStyle w:val="Htableleft"/>
              <w:rPr>
                <w:rFonts w:cs="Arial"/>
                <w:sz w:val="16"/>
                <w:szCs w:val="16"/>
              </w:rPr>
            </w:pPr>
            <w:r w:rsidRPr="003726BE">
              <w:rPr>
                <w:sz w:val="16"/>
              </w:rPr>
              <w:t xml:space="preserve">Evaluators </w:t>
            </w:r>
          </w:p>
        </w:tc>
        <w:tc>
          <w:tcPr>
            <w:tcW w:w="155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14:paraId="5031184E" w14:textId="77777777" w:rsidR="00567F4C" w:rsidRPr="003726BE" w:rsidRDefault="00567F4C" w:rsidP="00B334BA">
            <w:pPr>
              <w:pStyle w:val="Htableleft"/>
              <w:rPr>
                <w:rFonts w:cs="Arial"/>
                <w:sz w:val="16"/>
                <w:szCs w:val="16"/>
              </w:rPr>
            </w:pPr>
            <w:r w:rsidRPr="003726BE">
              <w:rPr>
                <w:sz w:val="16"/>
              </w:rPr>
              <w:t>Yes, with additional costs</w:t>
            </w:r>
          </w:p>
        </w:tc>
        <w:tc>
          <w:tcPr>
            <w:tcW w:w="133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14:paraId="067E36CA" w14:textId="77777777" w:rsidR="00567F4C" w:rsidRPr="00CB34A3" w:rsidRDefault="00567F4C" w:rsidP="00B334BA">
            <w:pPr>
              <w:pStyle w:val="Htableleft"/>
              <w:rPr>
                <w:rFonts w:cs="Arial"/>
                <w:sz w:val="16"/>
                <w:szCs w:val="16"/>
                <w:lang w:val="en-GB"/>
              </w:rPr>
            </w:pPr>
            <w:r w:rsidRPr="00CB34A3">
              <w:rPr>
                <w:sz w:val="16"/>
                <w:lang w:val="en-GB"/>
              </w:rPr>
              <w:t>Evaluator prepares and conducts the survey</w:t>
            </w:r>
          </w:p>
        </w:tc>
      </w:tr>
      <w:tr w:rsidR="00567F4C" w:rsidRPr="003726BE" w14:paraId="12E8D1CA" w14:textId="77777777" w:rsidTr="008F72F4">
        <w:trPr>
          <w:trHeight w:val="195"/>
          <w:jc w:val="center"/>
        </w:trPr>
        <w:tc>
          <w:tcPr>
            <w:tcW w:w="1271" w:type="dxa"/>
            <w:vMerge w:val="restart"/>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14:paraId="6C95DBD3" w14:textId="77777777" w:rsidR="00567F4C" w:rsidRPr="00CB34A3" w:rsidRDefault="00567F4C" w:rsidP="00B334BA">
            <w:pPr>
              <w:pStyle w:val="Htableleft"/>
              <w:rPr>
                <w:rFonts w:cs="Arial"/>
                <w:sz w:val="16"/>
                <w:szCs w:val="16"/>
                <w:lang w:val="en-GB"/>
              </w:rPr>
            </w:pPr>
            <w:r w:rsidRPr="00CB34A3">
              <w:rPr>
                <w:sz w:val="16"/>
                <w:lang w:val="en-GB"/>
              </w:rPr>
              <w:t xml:space="preserve">Secondary data on beneficiaries and non-beneficiaries </w:t>
            </w:r>
          </w:p>
        </w:tc>
        <w:tc>
          <w:tcPr>
            <w:tcW w:w="1877"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14:paraId="4C1F0FA8" w14:textId="77777777" w:rsidR="00567F4C" w:rsidRPr="003726BE" w:rsidRDefault="00567F4C" w:rsidP="00B334BA">
            <w:pPr>
              <w:pStyle w:val="Htableleft"/>
              <w:rPr>
                <w:rFonts w:cs="Arial"/>
                <w:sz w:val="16"/>
                <w:szCs w:val="16"/>
              </w:rPr>
            </w:pPr>
            <w:r w:rsidRPr="003726BE">
              <w:rPr>
                <w:sz w:val="16"/>
              </w:rPr>
              <w:t xml:space="preserve">FADN </w:t>
            </w:r>
          </w:p>
        </w:tc>
        <w:tc>
          <w:tcPr>
            <w:tcW w:w="180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14:paraId="5EA89059" w14:textId="77777777" w:rsidR="00567F4C" w:rsidRPr="003726BE" w:rsidRDefault="00567F4C" w:rsidP="00B334BA">
            <w:pPr>
              <w:pStyle w:val="Htableleft"/>
              <w:rPr>
                <w:rFonts w:cs="Arial"/>
                <w:sz w:val="16"/>
                <w:szCs w:val="16"/>
              </w:rPr>
            </w:pPr>
            <w:r w:rsidRPr="003726BE">
              <w:rPr>
                <w:sz w:val="16"/>
              </w:rPr>
              <w:t>EU</w:t>
            </w:r>
          </w:p>
        </w:tc>
        <w:tc>
          <w:tcPr>
            <w:tcW w:w="155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14:paraId="03B68AE4" w14:textId="77777777" w:rsidR="00567F4C" w:rsidRPr="003726BE" w:rsidRDefault="00567F4C" w:rsidP="00B334BA">
            <w:pPr>
              <w:pStyle w:val="Htableleft"/>
              <w:rPr>
                <w:rFonts w:cs="Arial"/>
                <w:sz w:val="16"/>
                <w:szCs w:val="16"/>
              </w:rPr>
            </w:pPr>
            <w:r w:rsidRPr="003726BE">
              <w:rPr>
                <w:sz w:val="16"/>
              </w:rPr>
              <w:t>Yes</w:t>
            </w:r>
          </w:p>
        </w:tc>
        <w:tc>
          <w:tcPr>
            <w:tcW w:w="133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14:paraId="0CFAF72B" w14:textId="77777777" w:rsidR="00567F4C" w:rsidRPr="003726BE" w:rsidRDefault="00567F4C" w:rsidP="00B334BA">
            <w:pPr>
              <w:pStyle w:val="Htableleft"/>
              <w:rPr>
                <w:rFonts w:cs="Arial"/>
                <w:sz w:val="16"/>
                <w:szCs w:val="16"/>
              </w:rPr>
            </w:pPr>
            <w:r w:rsidRPr="003726BE">
              <w:rPr>
                <w:sz w:val="16"/>
              </w:rPr>
              <w:t xml:space="preserve">None </w:t>
            </w:r>
          </w:p>
        </w:tc>
      </w:tr>
      <w:tr w:rsidR="00567F4C" w:rsidRPr="003726BE" w14:paraId="3F26DD30" w14:textId="77777777" w:rsidTr="008F72F4">
        <w:trPr>
          <w:trHeight w:val="271"/>
          <w:jc w:val="center"/>
        </w:trPr>
        <w:tc>
          <w:tcPr>
            <w:tcW w:w="1271" w:type="dxa"/>
            <w:vMerge/>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14:paraId="08C4E975" w14:textId="77777777" w:rsidR="00567F4C" w:rsidRPr="003726BE" w:rsidRDefault="00567F4C" w:rsidP="00B334BA">
            <w:pPr>
              <w:pStyle w:val="Htableleft"/>
              <w:rPr>
                <w:rFonts w:cs="Arial"/>
                <w:sz w:val="16"/>
                <w:szCs w:val="16"/>
              </w:rPr>
            </w:pPr>
          </w:p>
        </w:tc>
        <w:tc>
          <w:tcPr>
            <w:tcW w:w="1877"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14:paraId="053CF464" w14:textId="77777777" w:rsidR="00567F4C" w:rsidRPr="003726BE" w:rsidRDefault="00567F4C" w:rsidP="00B334BA">
            <w:pPr>
              <w:pStyle w:val="Htableleft"/>
              <w:rPr>
                <w:rFonts w:cs="Arial"/>
                <w:sz w:val="16"/>
                <w:szCs w:val="16"/>
              </w:rPr>
            </w:pPr>
            <w:r w:rsidRPr="003726BE">
              <w:rPr>
                <w:sz w:val="16"/>
              </w:rPr>
              <w:t>National/regional statistics</w:t>
            </w:r>
          </w:p>
        </w:tc>
        <w:tc>
          <w:tcPr>
            <w:tcW w:w="180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14:paraId="0E784D5D" w14:textId="77777777" w:rsidR="00567F4C" w:rsidRPr="003726BE" w:rsidRDefault="00567F4C" w:rsidP="00B334BA">
            <w:pPr>
              <w:pStyle w:val="Htableleft"/>
              <w:rPr>
                <w:rFonts w:cs="Arial"/>
                <w:sz w:val="16"/>
                <w:szCs w:val="16"/>
              </w:rPr>
            </w:pPr>
            <w:r w:rsidRPr="003726BE">
              <w:rPr>
                <w:sz w:val="16"/>
              </w:rPr>
              <w:t>Statistical office</w:t>
            </w:r>
          </w:p>
        </w:tc>
        <w:tc>
          <w:tcPr>
            <w:tcW w:w="155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14:paraId="383CA2A1" w14:textId="77777777" w:rsidR="00567F4C" w:rsidRPr="003726BE" w:rsidRDefault="00567F4C" w:rsidP="00B334BA">
            <w:pPr>
              <w:pStyle w:val="Htableleft"/>
              <w:rPr>
                <w:rFonts w:cs="Arial"/>
                <w:sz w:val="16"/>
                <w:szCs w:val="16"/>
              </w:rPr>
            </w:pPr>
            <w:r w:rsidRPr="003726BE">
              <w:rPr>
                <w:sz w:val="16"/>
              </w:rPr>
              <w:t>Yes, no additional costs</w:t>
            </w:r>
          </w:p>
        </w:tc>
        <w:tc>
          <w:tcPr>
            <w:tcW w:w="133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14:paraId="0937DD06" w14:textId="77777777" w:rsidR="00567F4C" w:rsidRPr="003726BE" w:rsidRDefault="00567F4C" w:rsidP="00B334BA">
            <w:pPr>
              <w:pStyle w:val="Htableleft"/>
              <w:rPr>
                <w:rFonts w:cs="Arial"/>
                <w:sz w:val="16"/>
                <w:szCs w:val="16"/>
              </w:rPr>
            </w:pPr>
            <w:r w:rsidRPr="003726BE">
              <w:rPr>
                <w:sz w:val="16"/>
              </w:rPr>
              <w:t>Request for data sets</w:t>
            </w:r>
          </w:p>
        </w:tc>
      </w:tr>
      <w:tr w:rsidR="00567F4C" w:rsidRPr="00F61F42" w14:paraId="7724DF60" w14:textId="77777777" w:rsidTr="008F72F4">
        <w:trPr>
          <w:trHeight w:val="300"/>
          <w:jc w:val="center"/>
        </w:trPr>
        <w:tc>
          <w:tcPr>
            <w:tcW w:w="1271" w:type="dxa"/>
            <w:vMerge/>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14:paraId="51004225" w14:textId="77777777" w:rsidR="00567F4C" w:rsidRPr="003726BE" w:rsidRDefault="00567F4C" w:rsidP="00B334BA">
            <w:pPr>
              <w:pStyle w:val="Htableleft"/>
              <w:rPr>
                <w:rFonts w:cs="Arial"/>
                <w:sz w:val="16"/>
                <w:szCs w:val="16"/>
              </w:rPr>
            </w:pPr>
          </w:p>
        </w:tc>
        <w:tc>
          <w:tcPr>
            <w:tcW w:w="1877"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14:paraId="11F658C4" w14:textId="77777777" w:rsidR="00567F4C" w:rsidRPr="003726BE" w:rsidRDefault="00567F4C" w:rsidP="00B334BA">
            <w:pPr>
              <w:pStyle w:val="Htableleft"/>
              <w:rPr>
                <w:rFonts w:cs="Arial"/>
                <w:sz w:val="16"/>
                <w:szCs w:val="16"/>
              </w:rPr>
            </w:pPr>
            <w:r w:rsidRPr="003726BE">
              <w:rPr>
                <w:sz w:val="16"/>
              </w:rPr>
              <w:t xml:space="preserve">Surveys </w:t>
            </w:r>
          </w:p>
        </w:tc>
        <w:tc>
          <w:tcPr>
            <w:tcW w:w="180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14:paraId="32B80A15" w14:textId="77777777" w:rsidR="00567F4C" w:rsidRPr="003726BE" w:rsidRDefault="00567F4C" w:rsidP="00B334BA">
            <w:pPr>
              <w:pStyle w:val="Htableleft"/>
              <w:rPr>
                <w:rFonts w:cs="Arial"/>
                <w:sz w:val="16"/>
                <w:szCs w:val="16"/>
              </w:rPr>
            </w:pPr>
            <w:r w:rsidRPr="003726BE">
              <w:rPr>
                <w:sz w:val="16"/>
              </w:rPr>
              <w:t>Evaluators</w:t>
            </w:r>
          </w:p>
        </w:tc>
        <w:tc>
          <w:tcPr>
            <w:tcW w:w="155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14:paraId="596787EB" w14:textId="77777777" w:rsidR="00567F4C" w:rsidRPr="003726BE" w:rsidRDefault="00567F4C" w:rsidP="00B334BA">
            <w:pPr>
              <w:pStyle w:val="Htableleft"/>
              <w:rPr>
                <w:rFonts w:cs="Arial"/>
                <w:sz w:val="16"/>
                <w:szCs w:val="16"/>
              </w:rPr>
            </w:pPr>
            <w:r w:rsidRPr="003726BE">
              <w:rPr>
                <w:sz w:val="16"/>
              </w:rPr>
              <w:t>Yes, with additional costs</w:t>
            </w:r>
          </w:p>
        </w:tc>
        <w:tc>
          <w:tcPr>
            <w:tcW w:w="133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14:paraId="73D6165D" w14:textId="77777777" w:rsidR="00567F4C" w:rsidRPr="00CB34A3" w:rsidRDefault="00567F4C" w:rsidP="00B334BA">
            <w:pPr>
              <w:pStyle w:val="Htableleft"/>
              <w:rPr>
                <w:rFonts w:cs="Arial"/>
                <w:sz w:val="16"/>
                <w:szCs w:val="16"/>
                <w:lang w:val="en-GB"/>
              </w:rPr>
            </w:pPr>
            <w:r w:rsidRPr="00CB34A3">
              <w:rPr>
                <w:sz w:val="16"/>
                <w:lang w:val="en-GB"/>
              </w:rPr>
              <w:t>Evaluator prepares and conducts the survey</w:t>
            </w:r>
          </w:p>
        </w:tc>
      </w:tr>
      <w:tr w:rsidR="00567F4C" w:rsidRPr="00F61F42" w14:paraId="560F4F34" w14:textId="77777777" w:rsidTr="008F72F4">
        <w:trPr>
          <w:trHeight w:val="255"/>
          <w:jc w:val="center"/>
        </w:trPr>
        <w:tc>
          <w:tcPr>
            <w:tcW w:w="1271" w:type="dxa"/>
            <w:vMerge w:val="restart"/>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14:paraId="5C9A4DCD" w14:textId="77777777" w:rsidR="00567F4C" w:rsidRPr="003726BE" w:rsidRDefault="00567F4C" w:rsidP="00B334BA">
            <w:pPr>
              <w:pStyle w:val="Htableleft"/>
              <w:rPr>
                <w:rFonts w:cs="Arial"/>
                <w:sz w:val="16"/>
                <w:szCs w:val="16"/>
              </w:rPr>
            </w:pPr>
            <w:r w:rsidRPr="003726BE">
              <w:rPr>
                <w:sz w:val="16"/>
              </w:rPr>
              <w:t>Other data</w:t>
            </w:r>
          </w:p>
        </w:tc>
        <w:tc>
          <w:tcPr>
            <w:tcW w:w="1877"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14:paraId="26A788EA" w14:textId="77777777" w:rsidR="00567F4C" w:rsidRPr="003726BE" w:rsidRDefault="00567F4C" w:rsidP="00B334BA">
            <w:pPr>
              <w:pStyle w:val="Htableleft"/>
              <w:rPr>
                <w:rFonts w:cs="Arial"/>
                <w:sz w:val="16"/>
                <w:szCs w:val="16"/>
              </w:rPr>
            </w:pPr>
            <w:r w:rsidRPr="003726BE">
              <w:rPr>
                <w:sz w:val="16"/>
              </w:rPr>
              <w:t>Research reports</w:t>
            </w:r>
          </w:p>
        </w:tc>
        <w:tc>
          <w:tcPr>
            <w:tcW w:w="180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14:paraId="043C51E0" w14:textId="77777777" w:rsidR="00567F4C" w:rsidRPr="003726BE" w:rsidRDefault="00567F4C" w:rsidP="00B334BA">
            <w:pPr>
              <w:pStyle w:val="Htableleft"/>
              <w:rPr>
                <w:rFonts w:cs="Arial"/>
                <w:sz w:val="16"/>
                <w:szCs w:val="16"/>
              </w:rPr>
            </w:pPr>
            <w:r w:rsidRPr="003726BE">
              <w:rPr>
                <w:sz w:val="16"/>
              </w:rPr>
              <w:t>Research institutes</w:t>
            </w:r>
          </w:p>
        </w:tc>
        <w:tc>
          <w:tcPr>
            <w:tcW w:w="155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14:paraId="191DC230" w14:textId="77777777" w:rsidR="00567F4C" w:rsidRPr="003726BE" w:rsidRDefault="00567F4C" w:rsidP="00B334BA">
            <w:pPr>
              <w:pStyle w:val="Htableleft"/>
              <w:rPr>
                <w:rFonts w:cs="Arial"/>
                <w:sz w:val="16"/>
                <w:szCs w:val="16"/>
              </w:rPr>
            </w:pPr>
            <w:r w:rsidRPr="003726BE">
              <w:rPr>
                <w:sz w:val="16"/>
              </w:rPr>
              <w:t>Yes, with additional costs</w:t>
            </w:r>
          </w:p>
        </w:tc>
        <w:tc>
          <w:tcPr>
            <w:tcW w:w="133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14:paraId="25AF6DAD" w14:textId="77777777" w:rsidR="00567F4C" w:rsidRPr="00CB34A3" w:rsidRDefault="00567F4C" w:rsidP="00B334BA">
            <w:pPr>
              <w:pStyle w:val="Htableleft"/>
              <w:rPr>
                <w:rFonts w:cs="Arial"/>
                <w:sz w:val="16"/>
                <w:szCs w:val="16"/>
                <w:lang w:val="en-GB"/>
              </w:rPr>
            </w:pPr>
            <w:r w:rsidRPr="00CB34A3">
              <w:rPr>
                <w:sz w:val="16"/>
                <w:lang w:val="en-GB"/>
              </w:rPr>
              <w:t>Contract with the research institute</w:t>
            </w:r>
          </w:p>
        </w:tc>
      </w:tr>
      <w:tr w:rsidR="00567F4C" w:rsidRPr="003726BE" w14:paraId="41AD3E74" w14:textId="77777777" w:rsidTr="008F72F4">
        <w:trPr>
          <w:jc w:val="center"/>
        </w:trPr>
        <w:tc>
          <w:tcPr>
            <w:tcW w:w="1271" w:type="dxa"/>
            <w:vMerge/>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14:paraId="245E5110" w14:textId="77777777" w:rsidR="00567F4C" w:rsidRPr="00CB34A3" w:rsidRDefault="00567F4C" w:rsidP="00B334BA">
            <w:pPr>
              <w:pStyle w:val="Htableleft"/>
              <w:rPr>
                <w:rFonts w:cs="Arial"/>
                <w:sz w:val="16"/>
                <w:szCs w:val="16"/>
                <w:lang w:val="en-GB"/>
              </w:rPr>
            </w:pPr>
          </w:p>
        </w:tc>
        <w:tc>
          <w:tcPr>
            <w:tcW w:w="1877"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14:paraId="51589E1D" w14:textId="77777777" w:rsidR="00567F4C" w:rsidRPr="003726BE" w:rsidRDefault="00567F4C" w:rsidP="00B334BA">
            <w:pPr>
              <w:pStyle w:val="Htableleft"/>
              <w:rPr>
                <w:rFonts w:cs="Arial"/>
                <w:sz w:val="16"/>
                <w:szCs w:val="16"/>
              </w:rPr>
            </w:pPr>
            <w:r w:rsidRPr="003726BE">
              <w:rPr>
                <w:sz w:val="16"/>
              </w:rPr>
              <w:t xml:space="preserve">Other reports </w:t>
            </w:r>
          </w:p>
        </w:tc>
        <w:tc>
          <w:tcPr>
            <w:tcW w:w="180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14:paraId="4FB6AD6E" w14:textId="77777777" w:rsidR="00567F4C" w:rsidRPr="003726BE" w:rsidRDefault="00567F4C" w:rsidP="00B334BA">
            <w:pPr>
              <w:pStyle w:val="Htableleft"/>
              <w:rPr>
                <w:rFonts w:cs="Arial"/>
                <w:sz w:val="16"/>
                <w:szCs w:val="16"/>
              </w:rPr>
            </w:pPr>
            <w:r w:rsidRPr="003726BE">
              <w:rPr>
                <w:sz w:val="16"/>
              </w:rPr>
              <w:t xml:space="preserve">NGO </w:t>
            </w:r>
          </w:p>
        </w:tc>
        <w:tc>
          <w:tcPr>
            <w:tcW w:w="155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14:paraId="2E282835" w14:textId="77777777" w:rsidR="00567F4C" w:rsidRPr="003726BE" w:rsidRDefault="00567F4C" w:rsidP="00B334BA">
            <w:pPr>
              <w:pStyle w:val="Htableleft"/>
              <w:rPr>
                <w:rFonts w:cs="Arial"/>
                <w:sz w:val="16"/>
                <w:szCs w:val="16"/>
              </w:rPr>
            </w:pPr>
            <w:r w:rsidRPr="003726BE">
              <w:rPr>
                <w:sz w:val="16"/>
              </w:rPr>
              <w:t>Yes, with additional costs</w:t>
            </w:r>
          </w:p>
        </w:tc>
        <w:tc>
          <w:tcPr>
            <w:tcW w:w="133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14:paraId="559B4B86" w14:textId="77777777" w:rsidR="00567F4C" w:rsidRPr="003726BE" w:rsidRDefault="00567F4C" w:rsidP="00B334BA">
            <w:pPr>
              <w:pStyle w:val="Htableleft"/>
              <w:rPr>
                <w:rFonts w:cs="Arial"/>
                <w:sz w:val="16"/>
                <w:szCs w:val="16"/>
              </w:rPr>
            </w:pPr>
            <w:r w:rsidRPr="003726BE">
              <w:rPr>
                <w:sz w:val="16"/>
              </w:rPr>
              <w:t>Contract with the NGO</w:t>
            </w:r>
          </w:p>
        </w:tc>
      </w:tr>
    </w:tbl>
    <w:p w14:paraId="2E41BBC3" w14:textId="77777777" w:rsidR="004C0D64" w:rsidRPr="003726BE" w:rsidRDefault="004C0D64" w:rsidP="00C147EB">
      <w:pPr>
        <w:pStyle w:val="HHeading5"/>
        <w:rPr>
          <w:rFonts w:cs="Arial"/>
        </w:rPr>
      </w:pPr>
    </w:p>
    <w:p w14:paraId="2ACCF697" w14:textId="77777777" w:rsidR="004C0D64" w:rsidRPr="003726BE" w:rsidRDefault="004C0D64" w:rsidP="004C0D64">
      <w:pPr>
        <w:pStyle w:val="HStandard"/>
        <w:rPr>
          <w:color w:val="57825E"/>
        </w:rPr>
      </w:pPr>
      <w:r w:rsidRPr="003726BE">
        <w:br w:type="page"/>
      </w:r>
    </w:p>
    <w:p w14:paraId="141CD507" w14:textId="77777777" w:rsidR="00567F4C" w:rsidRPr="003726BE" w:rsidRDefault="00567F4C" w:rsidP="00C147EB">
      <w:pPr>
        <w:pStyle w:val="HHeading5"/>
        <w:rPr>
          <w:rFonts w:cs="Arial"/>
        </w:rPr>
      </w:pPr>
      <w:r w:rsidRPr="003726BE">
        <w:lastRenderedPageBreak/>
        <w:t xml:space="preserve">Evaluation methods and data needs </w:t>
      </w:r>
    </w:p>
    <w:p w14:paraId="31251CAD" w14:textId="77777777" w:rsidR="00B8727E" w:rsidRPr="00CB34A3" w:rsidRDefault="00567F4C" w:rsidP="00673940">
      <w:pPr>
        <w:pStyle w:val="HStandard"/>
        <w:rPr>
          <w:rFonts w:cs="Arial"/>
          <w:lang w:val="en-GB"/>
        </w:rPr>
      </w:pPr>
      <w:r w:rsidRPr="00CB34A3">
        <w:rPr>
          <w:lang w:val="en-GB"/>
        </w:rPr>
        <w:t>The evaluation approach and methods chosen have consequences on data needs, as the data availability has implications on the selection of methods. The following table provides an overview of data requirements in relation to selected methods.</w:t>
      </w:r>
    </w:p>
    <w:p w14:paraId="77C9D5FC" w14:textId="77777777" w:rsidR="005B09B8" w:rsidRPr="00CB34A3" w:rsidRDefault="005B09B8" w:rsidP="00673940">
      <w:pPr>
        <w:pStyle w:val="HStandard"/>
        <w:rPr>
          <w:rFonts w:cs="Arial"/>
          <w:lang w:val="en-GB"/>
        </w:rPr>
        <w:sectPr w:rsidR="005B09B8" w:rsidRPr="00CB34A3" w:rsidSect="0001223C">
          <w:headerReference w:type="default" r:id="rId53"/>
          <w:footerReference w:type="default" r:id="rId54"/>
          <w:headerReference w:type="first" r:id="rId55"/>
          <w:footerReference w:type="first" r:id="rId56"/>
          <w:pgSz w:w="11906" w:h="16838" w:code="9"/>
          <w:pgMar w:top="1418" w:right="1418" w:bottom="1418" w:left="1418" w:header="737" w:footer="1021" w:gutter="0"/>
          <w:cols w:space="708"/>
          <w:titlePg/>
          <w:docGrid w:linePitch="360"/>
        </w:sectPr>
      </w:pPr>
    </w:p>
    <w:p w14:paraId="15232D25" w14:textId="77777777" w:rsidR="005B09B8" w:rsidRPr="00CB34A3" w:rsidRDefault="005B09B8" w:rsidP="005B09B8">
      <w:pPr>
        <w:pStyle w:val="HHeadingtables"/>
        <w:rPr>
          <w:rFonts w:cs="Arial"/>
          <w:lang w:val="en-GB"/>
        </w:rPr>
      </w:pPr>
      <w:bookmarkStart w:id="106" w:name="_Toc460936140"/>
      <w:bookmarkStart w:id="107" w:name="_Toc474132628"/>
      <w:r w:rsidRPr="00CB34A3">
        <w:rPr>
          <w:lang w:val="en-GB"/>
        </w:rPr>
        <w:lastRenderedPageBreak/>
        <w:t>Methods and related data needs (example)</w:t>
      </w:r>
      <w:bookmarkEnd w:id="106"/>
      <w:bookmarkEnd w:id="107"/>
    </w:p>
    <w:tbl>
      <w:tblPr>
        <w:tblStyle w:val="3"/>
        <w:tblW w:w="14879" w:type="dxa"/>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shd w:val="clear" w:color="auto" w:fill="DDDDDD"/>
        <w:tblLayout w:type="fixed"/>
        <w:tblLook w:val="04A0" w:firstRow="1" w:lastRow="0" w:firstColumn="1" w:lastColumn="0" w:noHBand="0" w:noVBand="1"/>
      </w:tblPr>
      <w:tblGrid>
        <w:gridCol w:w="1555"/>
        <w:gridCol w:w="4110"/>
        <w:gridCol w:w="4111"/>
        <w:gridCol w:w="2693"/>
        <w:gridCol w:w="2410"/>
      </w:tblGrid>
      <w:tr w:rsidR="005B09B8" w:rsidRPr="00F61F42" w14:paraId="58B5C7B8" w14:textId="77777777" w:rsidTr="00FB3426">
        <w:trPr>
          <w:tblHeader/>
        </w:trPr>
        <w:tc>
          <w:tcPr>
            <w:tcW w:w="1555" w:type="dxa"/>
            <w:shd w:val="clear" w:color="auto" w:fill="F07E31" w:themeFill="background2"/>
          </w:tcPr>
          <w:p w14:paraId="01879D04" w14:textId="77777777" w:rsidR="005B09B8" w:rsidRPr="003726BE" w:rsidRDefault="005B09B8" w:rsidP="005B09B8">
            <w:pPr>
              <w:pStyle w:val="Htableleftbolt"/>
              <w:rPr>
                <w:rFonts w:cs="Arial"/>
                <w:color w:val="FFFFFF" w:themeColor="accent1"/>
              </w:rPr>
            </w:pPr>
            <w:r w:rsidRPr="003726BE">
              <w:rPr>
                <w:color w:val="FFFFFF" w:themeColor="accent1"/>
              </w:rPr>
              <w:t>Method</w:t>
            </w:r>
          </w:p>
        </w:tc>
        <w:tc>
          <w:tcPr>
            <w:tcW w:w="4110" w:type="dxa"/>
            <w:shd w:val="clear" w:color="auto" w:fill="F07E31" w:themeFill="background2"/>
          </w:tcPr>
          <w:p w14:paraId="4A9F5B40" w14:textId="77777777" w:rsidR="005B09B8" w:rsidRPr="003726BE" w:rsidRDefault="005B09B8" w:rsidP="005B09B8">
            <w:pPr>
              <w:pStyle w:val="Htableleftbolt"/>
              <w:rPr>
                <w:rFonts w:cs="Arial"/>
                <w:color w:val="FFFFFF" w:themeColor="accent1"/>
              </w:rPr>
            </w:pPr>
            <w:r w:rsidRPr="003726BE">
              <w:rPr>
                <w:color w:val="FFFFFF" w:themeColor="accent1"/>
              </w:rPr>
              <w:t>Data needs</w:t>
            </w:r>
          </w:p>
        </w:tc>
        <w:tc>
          <w:tcPr>
            <w:tcW w:w="4111" w:type="dxa"/>
            <w:shd w:val="clear" w:color="auto" w:fill="F07E31" w:themeFill="background2"/>
          </w:tcPr>
          <w:p w14:paraId="5E7C73F3" w14:textId="77777777" w:rsidR="005B09B8" w:rsidRPr="00CB34A3" w:rsidRDefault="005B09B8" w:rsidP="005B09B8">
            <w:pPr>
              <w:pStyle w:val="Htableleftbolt"/>
              <w:rPr>
                <w:rFonts w:cs="Arial"/>
                <w:color w:val="FFFFFF" w:themeColor="accent1"/>
                <w:lang w:val="en-GB"/>
              </w:rPr>
            </w:pPr>
            <w:r w:rsidRPr="00CB34A3">
              <w:rPr>
                <w:color w:val="FFFFFF" w:themeColor="accent1"/>
                <w:lang w:val="en-GB"/>
              </w:rPr>
              <w:t xml:space="preserve">Existing data sources/providers </w:t>
            </w:r>
          </w:p>
          <w:p w14:paraId="67792471" w14:textId="77777777" w:rsidR="005B09B8" w:rsidRPr="00CB34A3" w:rsidRDefault="005B09B8" w:rsidP="00B946C9">
            <w:pPr>
              <w:pStyle w:val="Htableleftbolt"/>
              <w:rPr>
                <w:rFonts w:cs="Arial"/>
                <w:color w:val="FFFFFF" w:themeColor="accent1"/>
                <w:lang w:val="en-GB"/>
              </w:rPr>
            </w:pPr>
            <w:r w:rsidRPr="00CB34A3">
              <w:rPr>
                <w:color w:val="FFFFFF" w:themeColor="accent1"/>
                <w:lang w:val="en-GB"/>
              </w:rPr>
              <w:t>(links if possible)</w:t>
            </w:r>
          </w:p>
        </w:tc>
        <w:tc>
          <w:tcPr>
            <w:tcW w:w="2693" w:type="dxa"/>
            <w:shd w:val="clear" w:color="auto" w:fill="F07E31" w:themeFill="background2"/>
          </w:tcPr>
          <w:p w14:paraId="2D77E3DC" w14:textId="77777777" w:rsidR="005B09B8" w:rsidRPr="00CB34A3" w:rsidRDefault="005B09B8" w:rsidP="005B09B8">
            <w:pPr>
              <w:pStyle w:val="Htableleftbolt"/>
              <w:rPr>
                <w:rFonts w:cs="Arial"/>
                <w:color w:val="FFFFFF" w:themeColor="accent1"/>
                <w:lang w:val="en-GB"/>
              </w:rPr>
            </w:pPr>
            <w:r w:rsidRPr="00CB34A3">
              <w:rPr>
                <w:color w:val="FFFFFF" w:themeColor="accent1"/>
                <w:lang w:val="en-GB"/>
              </w:rPr>
              <w:t>Arrangements to ensure access (if needed)</w:t>
            </w:r>
          </w:p>
        </w:tc>
        <w:tc>
          <w:tcPr>
            <w:tcW w:w="2410" w:type="dxa"/>
            <w:shd w:val="clear" w:color="auto" w:fill="F07E31" w:themeFill="background2"/>
          </w:tcPr>
          <w:p w14:paraId="6B6D3C78" w14:textId="77777777" w:rsidR="005B09B8" w:rsidRPr="00CB34A3" w:rsidRDefault="005B09B8" w:rsidP="005B09B8">
            <w:pPr>
              <w:pStyle w:val="Htableleftbolt"/>
              <w:rPr>
                <w:rFonts w:cs="Arial"/>
                <w:color w:val="FFFFFF" w:themeColor="accent1"/>
                <w:lang w:val="en-GB"/>
              </w:rPr>
            </w:pPr>
            <w:r w:rsidRPr="00CB34A3">
              <w:rPr>
                <w:color w:val="FFFFFF" w:themeColor="accent1"/>
                <w:lang w:val="en-GB"/>
              </w:rPr>
              <w:t>Data gaps /collection by evaluator</w:t>
            </w:r>
          </w:p>
        </w:tc>
      </w:tr>
      <w:tr w:rsidR="005B09B8" w:rsidRPr="003726BE" w14:paraId="50035DE5" w14:textId="77777777" w:rsidTr="00FB3426">
        <w:tc>
          <w:tcPr>
            <w:tcW w:w="14879" w:type="dxa"/>
            <w:gridSpan w:val="5"/>
            <w:shd w:val="clear" w:color="auto" w:fill="auto"/>
          </w:tcPr>
          <w:p w14:paraId="50BBCF0F" w14:textId="77777777" w:rsidR="005B09B8" w:rsidRPr="003726BE" w:rsidRDefault="005B09B8" w:rsidP="005B09B8">
            <w:pPr>
              <w:pStyle w:val="Htableleft"/>
              <w:rPr>
                <w:rFonts w:cs="Arial"/>
                <w:sz w:val="16"/>
                <w:szCs w:val="16"/>
              </w:rPr>
            </w:pPr>
            <w:r w:rsidRPr="003726BE">
              <w:rPr>
                <w:sz w:val="16"/>
              </w:rPr>
              <w:t>Quantitative</w:t>
            </w:r>
          </w:p>
        </w:tc>
      </w:tr>
      <w:tr w:rsidR="005B09B8" w:rsidRPr="003726BE" w14:paraId="2F974948" w14:textId="77777777" w:rsidTr="00FB3426">
        <w:tc>
          <w:tcPr>
            <w:tcW w:w="14879" w:type="dxa"/>
            <w:gridSpan w:val="5"/>
            <w:shd w:val="clear" w:color="auto" w:fill="auto"/>
          </w:tcPr>
          <w:p w14:paraId="2C36062A" w14:textId="77777777" w:rsidR="005B09B8" w:rsidRPr="003726BE" w:rsidRDefault="005B09B8" w:rsidP="005B09B8">
            <w:pPr>
              <w:pStyle w:val="Htableleft"/>
              <w:rPr>
                <w:rFonts w:cs="Arial"/>
                <w:sz w:val="16"/>
                <w:szCs w:val="16"/>
              </w:rPr>
            </w:pPr>
            <w:r w:rsidRPr="003726BE">
              <w:rPr>
                <w:sz w:val="16"/>
              </w:rPr>
              <w:t>Micro Methods</w:t>
            </w:r>
          </w:p>
        </w:tc>
      </w:tr>
      <w:tr w:rsidR="005B09B8" w:rsidRPr="00F61F42" w14:paraId="0767AF35" w14:textId="77777777" w:rsidTr="00FB3426">
        <w:tc>
          <w:tcPr>
            <w:tcW w:w="1555" w:type="dxa"/>
            <w:shd w:val="clear" w:color="auto" w:fill="auto"/>
          </w:tcPr>
          <w:p w14:paraId="59E328B2" w14:textId="77777777" w:rsidR="005B09B8" w:rsidRPr="003726BE" w:rsidRDefault="005B09B8" w:rsidP="005B09B8">
            <w:pPr>
              <w:pStyle w:val="Htableleft"/>
              <w:rPr>
                <w:rFonts w:cs="Arial"/>
                <w:sz w:val="16"/>
                <w:szCs w:val="16"/>
              </w:rPr>
            </w:pPr>
            <w:r w:rsidRPr="003726BE">
              <w:rPr>
                <w:sz w:val="16"/>
              </w:rPr>
              <w:t>Counterfactual surveys</w:t>
            </w:r>
          </w:p>
        </w:tc>
        <w:tc>
          <w:tcPr>
            <w:tcW w:w="4110" w:type="dxa"/>
            <w:shd w:val="clear" w:color="auto" w:fill="auto"/>
          </w:tcPr>
          <w:p w14:paraId="7A9D10D3" w14:textId="77777777" w:rsidR="005B09B8" w:rsidRPr="00CB34A3" w:rsidRDefault="005B09B8" w:rsidP="00B946C9">
            <w:pPr>
              <w:pStyle w:val="Htableleft"/>
              <w:rPr>
                <w:rFonts w:cs="Arial"/>
                <w:sz w:val="16"/>
                <w:szCs w:val="16"/>
                <w:lang w:val="en-GB"/>
              </w:rPr>
            </w:pPr>
            <w:r w:rsidRPr="00CB34A3">
              <w:rPr>
                <w:sz w:val="16"/>
                <w:lang w:val="en-GB"/>
              </w:rPr>
              <w:t>The micro-level data may consist of bookkeeping data, survey data or both. Collected data should clearly identify programme beneficiaries and the level of support they received from individual RDP measures (e.g. measure X, etc.). Ideally, a micro-level data panel should comprise no less than 150 beneficiary enterprises, farms or holdings for each of the analysed measure (or group of measures) and 2-3 times more for non-beneficiaries.</w:t>
            </w:r>
          </w:p>
        </w:tc>
        <w:tc>
          <w:tcPr>
            <w:tcW w:w="4111" w:type="dxa"/>
            <w:shd w:val="clear" w:color="auto" w:fill="auto"/>
          </w:tcPr>
          <w:p w14:paraId="769B5886" w14:textId="77777777" w:rsidR="005B09B8" w:rsidRPr="00CB34A3" w:rsidRDefault="005B09B8" w:rsidP="005B09B8">
            <w:pPr>
              <w:pStyle w:val="Htableleft"/>
              <w:rPr>
                <w:rFonts w:cs="Arial"/>
                <w:sz w:val="16"/>
                <w:szCs w:val="16"/>
                <w:lang w:val="en-GB"/>
              </w:rPr>
            </w:pPr>
            <w:r w:rsidRPr="00CB34A3">
              <w:rPr>
                <w:sz w:val="16"/>
                <w:lang w:val="en-GB"/>
              </w:rPr>
              <w:t>Data at micro-level (from beneficiaries and non-beneficiaries) should be collected on the basis of secondary data and/or own surveys. The FADN database combined with an anonymous data from the Paying Agency can be used for this purpose.</w:t>
            </w:r>
          </w:p>
          <w:p w14:paraId="409FFFD8" w14:textId="77777777" w:rsidR="005B09B8" w:rsidRPr="00CB34A3" w:rsidRDefault="00914903" w:rsidP="005B09B8">
            <w:pPr>
              <w:pStyle w:val="Htableleft"/>
              <w:rPr>
                <w:rStyle w:val="Hyperlink"/>
                <w:sz w:val="16"/>
                <w:szCs w:val="16"/>
                <w:lang w:val="en-GB"/>
              </w:rPr>
            </w:pPr>
            <w:hyperlink r:id="rId57">
              <w:r w:rsidR="003571F4" w:rsidRPr="00CB34A3">
                <w:rPr>
                  <w:rStyle w:val="Hyperlink"/>
                  <w:sz w:val="16"/>
                  <w:lang w:val="en-GB"/>
                </w:rPr>
                <w:t>http://ec.europa.eu/agriculture/ricaprod/</w:t>
              </w:r>
            </w:hyperlink>
            <w:r w:rsidR="003571F4" w:rsidRPr="00CB34A3">
              <w:rPr>
                <w:rStyle w:val="Hyperlink"/>
                <w:sz w:val="16"/>
                <w:lang w:val="en-GB"/>
              </w:rPr>
              <w:t xml:space="preserve"> </w:t>
            </w:r>
          </w:p>
        </w:tc>
        <w:tc>
          <w:tcPr>
            <w:tcW w:w="2693" w:type="dxa"/>
            <w:shd w:val="clear" w:color="auto" w:fill="auto"/>
          </w:tcPr>
          <w:p w14:paraId="5526E25A" w14:textId="77777777" w:rsidR="005B09B8" w:rsidRPr="00CB34A3" w:rsidRDefault="005B09B8" w:rsidP="005B09B8">
            <w:pPr>
              <w:pStyle w:val="Htableleft"/>
              <w:rPr>
                <w:rFonts w:cs="Arial"/>
                <w:sz w:val="16"/>
                <w:szCs w:val="16"/>
                <w:lang w:val="en-GB"/>
              </w:rPr>
            </w:pPr>
            <w:r w:rsidRPr="00CB34A3">
              <w:rPr>
                <w:sz w:val="16"/>
                <w:lang w:val="en-GB"/>
              </w:rPr>
              <w:t>Arrangements carried out with Liaison Agencies:</w:t>
            </w:r>
          </w:p>
          <w:p w14:paraId="4FC66B37" w14:textId="77777777" w:rsidR="005B09B8" w:rsidRPr="00CB34A3" w:rsidRDefault="00914903" w:rsidP="005B09B8">
            <w:pPr>
              <w:pStyle w:val="Htableleft"/>
              <w:rPr>
                <w:rStyle w:val="Hyperlink"/>
                <w:sz w:val="16"/>
                <w:szCs w:val="16"/>
                <w:lang w:val="en-GB"/>
              </w:rPr>
            </w:pPr>
            <w:hyperlink r:id="rId58">
              <w:r w:rsidR="003571F4" w:rsidRPr="00CB34A3">
                <w:rPr>
                  <w:rStyle w:val="Hyperlink"/>
                  <w:sz w:val="16"/>
                  <w:lang w:val="en-GB"/>
                </w:rPr>
                <w:t>http://ec.europa.eu/agriculture/ricaprod/liaisonagency_en.cfm</w:t>
              </w:r>
            </w:hyperlink>
            <w:r w:rsidR="003571F4" w:rsidRPr="00CB34A3">
              <w:rPr>
                <w:rStyle w:val="Hyperlink"/>
                <w:sz w:val="16"/>
                <w:lang w:val="en-GB"/>
              </w:rPr>
              <w:t xml:space="preserve"> </w:t>
            </w:r>
          </w:p>
        </w:tc>
        <w:tc>
          <w:tcPr>
            <w:tcW w:w="2410" w:type="dxa"/>
            <w:shd w:val="clear" w:color="auto" w:fill="auto"/>
          </w:tcPr>
          <w:p w14:paraId="0A0BF2A1" w14:textId="77777777" w:rsidR="005B09B8" w:rsidRPr="00CB34A3" w:rsidRDefault="005B09B8" w:rsidP="005B09B8">
            <w:pPr>
              <w:pStyle w:val="Htableleft"/>
              <w:rPr>
                <w:rFonts w:cs="Arial"/>
                <w:sz w:val="16"/>
                <w:szCs w:val="16"/>
                <w:lang w:val="en-GB"/>
              </w:rPr>
            </w:pPr>
            <w:r w:rsidRPr="00CB34A3">
              <w:rPr>
                <w:sz w:val="16"/>
                <w:lang w:val="en-GB"/>
              </w:rPr>
              <w:t>Data on support from other programmes from the relevant authorities or the single Paying Agency.</w:t>
            </w:r>
          </w:p>
        </w:tc>
      </w:tr>
      <w:tr w:rsidR="005B09B8" w:rsidRPr="00F61F42" w14:paraId="6BEED0D4" w14:textId="77777777" w:rsidTr="00FB3426">
        <w:tc>
          <w:tcPr>
            <w:tcW w:w="1555" w:type="dxa"/>
            <w:shd w:val="clear" w:color="auto" w:fill="auto"/>
          </w:tcPr>
          <w:p w14:paraId="2FB937E1" w14:textId="77777777" w:rsidR="005B09B8" w:rsidRPr="003726BE" w:rsidRDefault="005B09B8" w:rsidP="005B09B8">
            <w:pPr>
              <w:pStyle w:val="Htableleft"/>
              <w:rPr>
                <w:rFonts w:cs="Arial"/>
                <w:sz w:val="16"/>
                <w:szCs w:val="16"/>
              </w:rPr>
            </w:pPr>
            <w:r w:rsidRPr="003726BE">
              <w:rPr>
                <w:sz w:val="16"/>
              </w:rPr>
              <w:t>Tracer surveys</w:t>
            </w:r>
          </w:p>
        </w:tc>
        <w:tc>
          <w:tcPr>
            <w:tcW w:w="4110" w:type="dxa"/>
            <w:shd w:val="clear" w:color="auto" w:fill="auto"/>
          </w:tcPr>
          <w:p w14:paraId="6FA19258" w14:textId="77777777" w:rsidR="005B09B8" w:rsidRPr="00CB34A3" w:rsidRDefault="005B09B8" w:rsidP="005B09B8">
            <w:pPr>
              <w:pStyle w:val="Htableleft"/>
              <w:rPr>
                <w:rFonts w:cs="Arial"/>
                <w:sz w:val="16"/>
                <w:szCs w:val="16"/>
                <w:lang w:val="en-GB"/>
              </w:rPr>
            </w:pPr>
            <w:r w:rsidRPr="00CB34A3">
              <w:rPr>
                <w:sz w:val="16"/>
                <w:lang w:val="en-GB"/>
              </w:rPr>
              <w:t xml:space="preserve">Tracer studies address businesses, workers and trainees and attempt to trace through time the changing status of the survey’s subject and record the time span of staying in a specific status. </w:t>
            </w:r>
          </w:p>
        </w:tc>
        <w:tc>
          <w:tcPr>
            <w:tcW w:w="4111" w:type="dxa"/>
            <w:shd w:val="clear" w:color="auto" w:fill="auto"/>
          </w:tcPr>
          <w:p w14:paraId="2478317B" w14:textId="77777777" w:rsidR="005B09B8" w:rsidRPr="003726BE" w:rsidRDefault="005B09B8" w:rsidP="005B09B8">
            <w:pPr>
              <w:pStyle w:val="Htableleft"/>
              <w:rPr>
                <w:rFonts w:cs="Arial"/>
                <w:sz w:val="16"/>
                <w:szCs w:val="16"/>
              </w:rPr>
            </w:pPr>
            <w:r w:rsidRPr="003726BE">
              <w:rPr>
                <w:sz w:val="16"/>
              </w:rPr>
              <w:t xml:space="preserve">Primary data collection </w:t>
            </w:r>
          </w:p>
        </w:tc>
        <w:tc>
          <w:tcPr>
            <w:tcW w:w="2693" w:type="dxa"/>
            <w:shd w:val="clear" w:color="auto" w:fill="auto"/>
          </w:tcPr>
          <w:p w14:paraId="320F0ABC" w14:textId="77777777" w:rsidR="005B09B8" w:rsidRPr="003726BE" w:rsidRDefault="005B09B8" w:rsidP="005B09B8">
            <w:pPr>
              <w:pStyle w:val="Htableleft"/>
              <w:rPr>
                <w:rFonts w:cs="Arial"/>
                <w:sz w:val="16"/>
                <w:szCs w:val="16"/>
              </w:rPr>
            </w:pPr>
            <w:r w:rsidRPr="003726BE">
              <w:rPr>
                <w:sz w:val="16"/>
              </w:rPr>
              <w:t>No access rules applied</w:t>
            </w:r>
          </w:p>
        </w:tc>
        <w:tc>
          <w:tcPr>
            <w:tcW w:w="2410" w:type="dxa"/>
            <w:shd w:val="clear" w:color="auto" w:fill="auto"/>
          </w:tcPr>
          <w:p w14:paraId="061B99FA" w14:textId="77777777" w:rsidR="005B09B8" w:rsidRPr="00CB34A3" w:rsidRDefault="005B09B8" w:rsidP="005B09B8">
            <w:pPr>
              <w:pStyle w:val="Htableleft"/>
              <w:rPr>
                <w:rFonts w:cs="Arial"/>
                <w:sz w:val="16"/>
                <w:szCs w:val="16"/>
                <w:lang w:val="en-GB"/>
              </w:rPr>
            </w:pPr>
            <w:r w:rsidRPr="00CB34A3">
              <w:rPr>
                <w:sz w:val="16"/>
                <w:lang w:val="en-GB"/>
              </w:rPr>
              <w:t xml:space="preserve">All data to be collected by evaluator. </w:t>
            </w:r>
          </w:p>
        </w:tc>
      </w:tr>
      <w:tr w:rsidR="005B09B8" w:rsidRPr="003726BE" w14:paraId="5994A5F6" w14:textId="77777777" w:rsidTr="00FB3426">
        <w:tc>
          <w:tcPr>
            <w:tcW w:w="14879" w:type="dxa"/>
            <w:gridSpan w:val="5"/>
            <w:shd w:val="clear" w:color="auto" w:fill="auto"/>
          </w:tcPr>
          <w:p w14:paraId="43CE3A05" w14:textId="77777777" w:rsidR="005B09B8" w:rsidRPr="003726BE" w:rsidRDefault="005B09B8" w:rsidP="005B09B8">
            <w:pPr>
              <w:pStyle w:val="Htableleft"/>
              <w:rPr>
                <w:rFonts w:cs="Arial"/>
                <w:sz w:val="16"/>
                <w:szCs w:val="16"/>
              </w:rPr>
            </w:pPr>
            <w:r w:rsidRPr="003726BE">
              <w:rPr>
                <w:sz w:val="16"/>
              </w:rPr>
              <w:t>Macro Methods</w:t>
            </w:r>
          </w:p>
        </w:tc>
      </w:tr>
      <w:tr w:rsidR="005B09B8" w:rsidRPr="00F61F42" w14:paraId="0773C409" w14:textId="77777777" w:rsidTr="00FB3426">
        <w:tc>
          <w:tcPr>
            <w:tcW w:w="1555" w:type="dxa"/>
            <w:shd w:val="clear" w:color="auto" w:fill="auto"/>
          </w:tcPr>
          <w:p w14:paraId="36AFA788" w14:textId="77777777" w:rsidR="005B09B8" w:rsidRPr="00CB34A3" w:rsidRDefault="005B09B8" w:rsidP="005B09B8">
            <w:pPr>
              <w:pStyle w:val="Htableleft"/>
              <w:rPr>
                <w:rFonts w:cs="Arial"/>
                <w:sz w:val="16"/>
                <w:szCs w:val="16"/>
                <w:lang w:val="en-GB"/>
              </w:rPr>
            </w:pPr>
            <w:r w:rsidRPr="00CB34A3">
              <w:rPr>
                <w:sz w:val="16"/>
                <w:lang w:val="en-GB"/>
              </w:rPr>
              <w:t>Input-Output (I-O) and related techniques</w:t>
            </w:r>
          </w:p>
        </w:tc>
        <w:tc>
          <w:tcPr>
            <w:tcW w:w="4110" w:type="dxa"/>
            <w:shd w:val="clear" w:color="auto" w:fill="auto"/>
          </w:tcPr>
          <w:p w14:paraId="0BBAEC18" w14:textId="77777777" w:rsidR="005B09B8" w:rsidRPr="00CB34A3" w:rsidRDefault="005B09B8" w:rsidP="0079615D">
            <w:pPr>
              <w:pStyle w:val="Htableleft"/>
              <w:rPr>
                <w:rFonts w:cs="Arial"/>
                <w:sz w:val="16"/>
                <w:szCs w:val="16"/>
                <w:lang w:val="en-GB"/>
              </w:rPr>
            </w:pPr>
            <w:r w:rsidRPr="00CB34A3">
              <w:rPr>
                <w:sz w:val="16"/>
                <w:lang w:val="en-GB"/>
              </w:rPr>
              <w:t xml:space="preserve">I-O data needs include a regional I-O model and RDP expenditure distinguished into demand for the product of model economic sectors and data on the change of productive capacity attributed to RDP projects. In the case of a Social Analysis Matrix, data needs include a regional (rural) I-O model, data specific to disaggregation of economic activities, production and households, and inter-institutional and factor-institution flows. </w:t>
            </w:r>
          </w:p>
        </w:tc>
        <w:tc>
          <w:tcPr>
            <w:tcW w:w="4111" w:type="dxa"/>
            <w:shd w:val="clear" w:color="auto" w:fill="auto"/>
          </w:tcPr>
          <w:p w14:paraId="1D000679" w14:textId="77777777" w:rsidR="005B09B8" w:rsidRPr="00CB34A3" w:rsidRDefault="005B09B8" w:rsidP="005B09B8">
            <w:pPr>
              <w:pStyle w:val="Htableleft"/>
              <w:rPr>
                <w:rFonts w:cs="Arial"/>
                <w:sz w:val="16"/>
                <w:szCs w:val="16"/>
                <w:lang w:val="en-GB"/>
              </w:rPr>
            </w:pPr>
            <w:r w:rsidRPr="00CB34A3">
              <w:rPr>
                <w:sz w:val="16"/>
                <w:lang w:val="en-GB"/>
              </w:rPr>
              <w:t>National I-O tables from Eurostat.</w:t>
            </w:r>
          </w:p>
          <w:p w14:paraId="25051AD0" w14:textId="77777777" w:rsidR="005B09B8" w:rsidRPr="00CB34A3" w:rsidRDefault="00914903" w:rsidP="005B09B8">
            <w:pPr>
              <w:pStyle w:val="Htableleft"/>
              <w:rPr>
                <w:rStyle w:val="Hyperlink"/>
                <w:sz w:val="16"/>
                <w:szCs w:val="16"/>
                <w:lang w:val="en-GB"/>
              </w:rPr>
            </w:pPr>
            <w:hyperlink r:id="rId59">
              <w:r w:rsidR="003571F4" w:rsidRPr="00CB34A3">
                <w:rPr>
                  <w:rStyle w:val="Hyperlink"/>
                  <w:sz w:val="16"/>
                  <w:lang w:val="en-GB"/>
                </w:rPr>
                <w:t>http://ec.europa.eu/eurostat/web/esa-supply-use-input-tables/data/database</w:t>
              </w:r>
            </w:hyperlink>
            <w:r w:rsidR="003571F4" w:rsidRPr="00CB34A3">
              <w:rPr>
                <w:rStyle w:val="Hyperlink"/>
                <w:sz w:val="16"/>
                <w:lang w:val="en-GB"/>
              </w:rPr>
              <w:t xml:space="preserve"> </w:t>
            </w:r>
          </w:p>
        </w:tc>
        <w:tc>
          <w:tcPr>
            <w:tcW w:w="2693" w:type="dxa"/>
            <w:shd w:val="clear" w:color="auto" w:fill="auto"/>
          </w:tcPr>
          <w:p w14:paraId="4FE262A5" w14:textId="77777777" w:rsidR="005B09B8" w:rsidRPr="003726BE" w:rsidRDefault="005B09B8" w:rsidP="005B09B8">
            <w:pPr>
              <w:pStyle w:val="Htableleft"/>
              <w:rPr>
                <w:rFonts w:cs="Arial"/>
                <w:sz w:val="16"/>
                <w:szCs w:val="16"/>
              </w:rPr>
            </w:pPr>
            <w:r w:rsidRPr="003726BE">
              <w:rPr>
                <w:sz w:val="16"/>
              </w:rPr>
              <w:t>No access rules applied</w:t>
            </w:r>
          </w:p>
        </w:tc>
        <w:tc>
          <w:tcPr>
            <w:tcW w:w="2410" w:type="dxa"/>
            <w:shd w:val="clear" w:color="auto" w:fill="auto"/>
          </w:tcPr>
          <w:p w14:paraId="3AEF3FEA" w14:textId="77777777" w:rsidR="005B09B8" w:rsidRPr="00CB34A3" w:rsidRDefault="005B09B8" w:rsidP="005B09B8">
            <w:pPr>
              <w:pStyle w:val="Htableleft"/>
              <w:rPr>
                <w:rFonts w:cs="Arial"/>
                <w:sz w:val="16"/>
                <w:szCs w:val="16"/>
                <w:lang w:val="en-GB"/>
              </w:rPr>
            </w:pPr>
            <w:r w:rsidRPr="00CB34A3">
              <w:rPr>
                <w:sz w:val="16"/>
                <w:lang w:val="en-GB"/>
              </w:rPr>
              <w:t>National account, Consumer Expenditure Surveys and FADN data to complement the I-O and produce the SAM</w:t>
            </w:r>
          </w:p>
        </w:tc>
      </w:tr>
      <w:tr w:rsidR="005B09B8" w:rsidRPr="00F61F42" w14:paraId="04B23906" w14:textId="77777777" w:rsidTr="00FB3426">
        <w:tc>
          <w:tcPr>
            <w:tcW w:w="1555" w:type="dxa"/>
            <w:shd w:val="clear" w:color="auto" w:fill="auto"/>
          </w:tcPr>
          <w:p w14:paraId="7F344071" w14:textId="77777777" w:rsidR="005B09B8" w:rsidRPr="003726BE" w:rsidRDefault="005B09B8" w:rsidP="005B09B8">
            <w:pPr>
              <w:pStyle w:val="Htableleft"/>
              <w:rPr>
                <w:rFonts w:cs="Arial"/>
                <w:sz w:val="16"/>
                <w:szCs w:val="16"/>
              </w:rPr>
            </w:pPr>
            <w:r w:rsidRPr="003726BE">
              <w:rPr>
                <w:sz w:val="16"/>
              </w:rPr>
              <w:t>CGE models</w:t>
            </w:r>
          </w:p>
        </w:tc>
        <w:tc>
          <w:tcPr>
            <w:tcW w:w="4110" w:type="dxa"/>
            <w:shd w:val="clear" w:color="auto" w:fill="auto"/>
          </w:tcPr>
          <w:p w14:paraId="12993194" w14:textId="77777777" w:rsidR="005B09B8" w:rsidRPr="00CB34A3" w:rsidRDefault="005B09B8" w:rsidP="005B09B8">
            <w:pPr>
              <w:pStyle w:val="Htableleft"/>
              <w:rPr>
                <w:rFonts w:cs="Arial"/>
                <w:sz w:val="16"/>
                <w:szCs w:val="16"/>
                <w:lang w:val="en-GB"/>
              </w:rPr>
            </w:pPr>
            <w:r w:rsidRPr="00CB34A3">
              <w:rPr>
                <w:sz w:val="16"/>
                <w:lang w:val="en-GB"/>
              </w:rPr>
              <w:t xml:space="preserve">For Recursive Dynamic CGE model, data needs are more specific to the construction of the model rather than the RDP model input. </w:t>
            </w:r>
          </w:p>
        </w:tc>
        <w:tc>
          <w:tcPr>
            <w:tcW w:w="4111" w:type="dxa"/>
            <w:shd w:val="clear" w:color="auto" w:fill="auto"/>
          </w:tcPr>
          <w:p w14:paraId="1A0FBE6E" w14:textId="77777777" w:rsidR="005B09B8" w:rsidRPr="00CB34A3" w:rsidRDefault="005B09B8" w:rsidP="005B09B8">
            <w:pPr>
              <w:pStyle w:val="Htableleft"/>
              <w:rPr>
                <w:rFonts w:cs="Arial"/>
                <w:sz w:val="16"/>
                <w:szCs w:val="16"/>
                <w:lang w:val="en-GB"/>
              </w:rPr>
            </w:pPr>
            <w:r w:rsidRPr="00CB34A3">
              <w:rPr>
                <w:sz w:val="16"/>
                <w:lang w:val="en-GB"/>
              </w:rPr>
              <w:t>Does not apply, unless ready to use CGEs are used like the GTAP of Purdue University at:</w:t>
            </w:r>
          </w:p>
          <w:p w14:paraId="69093642" w14:textId="77777777" w:rsidR="005B09B8" w:rsidRPr="00CB34A3" w:rsidRDefault="00914903" w:rsidP="005B09B8">
            <w:pPr>
              <w:pStyle w:val="Htableleft"/>
              <w:rPr>
                <w:rStyle w:val="Hyperlink"/>
                <w:sz w:val="16"/>
                <w:szCs w:val="16"/>
                <w:lang w:val="en-GB"/>
              </w:rPr>
            </w:pPr>
            <w:hyperlink r:id="rId60">
              <w:r w:rsidR="003571F4" w:rsidRPr="00CB34A3">
                <w:rPr>
                  <w:rStyle w:val="Hyperlink"/>
                  <w:sz w:val="16"/>
                  <w:lang w:val="en-GB"/>
                </w:rPr>
                <w:t>https://www.gtap.agecon.purdue.edu/</w:t>
              </w:r>
            </w:hyperlink>
            <w:r w:rsidR="003571F4" w:rsidRPr="00CB34A3">
              <w:rPr>
                <w:rStyle w:val="Hyperlink"/>
                <w:sz w:val="16"/>
                <w:lang w:val="en-GB"/>
              </w:rPr>
              <w:t xml:space="preserve"> </w:t>
            </w:r>
          </w:p>
        </w:tc>
        <w:tc>
          <w:tcPr>
            <w:tcW w:w="2693" w:type="dxa"/>
            <w:shd w:val="clear" w:color="auto" w:fill="auto"/>
          </w:tcPr>
          <w:p w14:paraId="217379F0" w14:textId="77777777" w:rsidR="005B09B8" w:rsidRPr="003726BE" w:rsidRDefault="005B09B8" w:rsidP="005B09B8">
            <w:pPr>
              <w:pStyle w:val="Htableleft"/>
              <w:rPr>
                <w:rFonts w:cs="Arial"/>
                <w:sz w:val="16"/>
                <w:szCs w:val="16"/>
              </w:rPr>
            </w:pPr>
            <w:r w:rsidRPr="003726BE">
              <w:rPr>
                <w:sz w:val="16"/>
              </w:rPr>
              <w:t>No access rules applied</w:t>
            </w:r>
          </w:p>
        </w:tc>
        <w:tc>
          <w:tcPr>
            <w:tcW w:w="2410" w:type="dxa"/>
            <w:shd w:val="clear" w:color="auto" w:fill="auto"/>
          </w:tcPr>
          <w:p w14:paraId="6619BE9B" w14:textId="77777777" w:rsidR="005B09B8" w:rsidRPr="00CB34A3" w:rsidRDefault="005B09B8" w:rsidP="005B09B8">
            <w:pPr>
              <w:pStyle w:val="Htableleft"/>
              <w:rPr>
                <w:rFonts w:cs="Arial"/>
                <w:sz w:val="16"/>
                <w:szCs w:val="16"/>
                <w:lang w:val="en-GB"/>
              </w:rPr>
            </w:pPr>
            <w:r w:rsidRPr="00CB34A3">
              <w:rPr>
                <w:sz w:val="16"/>
                <w:lang w:val="en-GB"/>
              </w:rPr>
              <w:t xml:space="preserve">I-O Table, National accounts, Consumer Expenditure Survey, Labour Force Survey and FADN data </w:t>
            </w:r>
          </w:p>
        </w:tc>
      </w:tr>
      <w:tr w:rsidR="005B09B8" w:rsidRPr="003726BE" w14:paraId="3CA58DAA" w14:textId="77777777" w:rsidTr="00FB3426">
        <w:trPr>
          <w:trHeight w:val="330"/>
        </w:trPr>
        <w:tc>
          <w:tcPr>
            <w:tcW w:w="14879" w:type="dxa"/>
            <w:gridSpan w:val="5"/>
            <w:shd w:val="clear" w:color="auto" w:fill="auto"/>
          </w:tcPr>
          <w:p w14:paraId="44424032" w14:textId="77777777" w:rsidR="005B09B8" w:rsidRPr="003726BE" w:rsidRDefault="005B09B8" w:rsidP="005B09B8">
            <w:pPr>
              <w:pStyle w:val="Htableleft"/>
              <w:rPr>
                <w:rFonts w:cs="Arial"/>
                <w:sz w:val="16"/>
                <w:szCs w:val="16"/>
              </w:rPr>
            </w:pPr>
            <w:r w:rsidRPr="003726BE">
              <w:rPr>
                <w:sz w:val="16"/>
              </w:rPr>
              <w:t>Mostly Qualitative</w:t>
            </w:r>
          </w:p>
        </w:tc>
      </w:tr>
      <w:tr w:rsidR="005B09B8" w:rsidRPr="00F61F42" w14:paraId="0ED7FAE7" w14:textId="77777777" w:rsidTr="00FB3426">
        <w:tc>
          <w:tcPr>
            <w:tcW w:w="1555" w:type="dxa"/>
            <w:shd w:val="clear" w:color="auto" w:fill="auto"/>
          </w:tcPr>
          <w:p w14:paraId="363881E2" w14:textId="77777777" w:rsidR="005B09B8" w:rsidRPr="00CB34A3" w:rsidRDefault="005B09B8" w:rsidP="005B09B8">
            <w:pPr>
              <w:pStyle w:val="Htableleft"/>
              <w:rPr>
                <w:rFonts w:cs="Arial"/>
                <w:sz w:val="16"/>
                <w:szCs w:val="16"/>
                <w:lang w:val="en-GB"/>
              </w:rPr>
            </w:pPr>
            <w:r w:rsidRPr="00CB34A3">
              <w:rPr>
                <w:sz w:val="16"/>
                <w:lang w:val="en-GB"/>
              </w:rPr>
              <w:t>Focus groups and elite interviews</w:t>
            </w:r>
          </w:p>
        </w:tc>
        <w:tc>
          <w:tcPr>
            <w:tcW w:w="4110" w:type="dxa"/>
            <w:shd w:val="clear" w:color="auto" w:fill="auto"/>
          </w:tcPr>
          <w:p w14:paraId="30DB8DC0" w14:textId="77777777" w:rsidR="005B09B8" w:rsidRPr="00CB34A3" w:rsidRDefault="005B09B8" w:rsidP="005B09B8">
            <w:pPr>
              <w:pStyle w:val="Htableleft"/>
              <w:rPr>
                <w:rFonts w:cs="Arial"/>
                <w:sz w:val="16"/>
                <w:szCs w:val="16"/>
                <w:lang w:val="en-GB"/>
              </w:rPr>
            </w:pPr>
            <w:r w:rsidRPr="00CB34A3">
              <w:rPr>
                <w:sz w:val="16"/>
                <w:lang w:val="en-GB"/>
              </w:rPr>
              <w:t>Focus groups and elite interviews are used when the evaluator aims at recording informed opinions by key stakeholders either through common participation and interaction (focus group) or i</w:t>
            </w:r>
            <w:r w:rsidR="006217D2">
              <w:rPr>
                <w:sz w:val="16"/>
                <w:lang w:val="en-GB"/>
              </w:rPr>
              <w:t xml:space="preserve">ndividually (elite interview). </w:t>
            </w:r>
          </w:p>
        </w:tc>
        <w:tc>
          <w:tcPr>
            <w:tcW w:w="4111" w:type="dxa"/>
            <w:shd w:val="clear" w:color="auto" w:fill="auto"/>
          </w:tcPr>
          <w:p w14:paraId="71D9BFA3" w14:textId="77777777" w:rsidR="005B09B8" w:rsidRPr="003726BE" w:rsidRDefault="005B09B8" w:rsidP="005B09B8">
            <w:pPr>
              <w:pStyle w:val="Htableleft"/>
              <w:rPr>
                <w:rFonts w:cs="Arial"/>
                <w:sz w:val="16"/>
                <w:szCs w:val="16"/>
              </w:rPr>
            </w:pPr>
            <w:r w:rsidRPr="003726BE">
              <w:rPr>
                <w:sz w:val="16"/>
              </w:rPr>
              <w:t xml:space="preserve">Does not apply </w:t>
            </w:r>
          </w:p>
        </w:tc>
        <w:tc>
          <w:tcPr>
            <w:tcW w:w="2693" w:type="dxa"/>
            <w:shd w:val="clear" w:color="auto" w:fill="auto"/>
          </w:tcPr>
          <w:p w14:paraId="4999B598" w14:textId="77777777" w:rsidR="005B09B8" w:rsidRPr="003726BE" w:rsidRDefault="005B09B8" w:rsidP="005B09B8">
            <w:pPr>
              <w:pStyle w:val="Htableleft"/>
              <w:rPr>
                <w:rFonts w:cs="Arial"/>
                <w:sz w:val="16"/>
                <w:szCs w:val="16"/>
              </w:rPr>
            </w:pPr>
            <w:r w:rsidRPr="003726BE">
              <w:rPr>
                <w:sz w:val="16"/>
              </w:rPr>
              <w:t>No access rules applied</w:t>
            </w:r>
          </w:p>
        </w:tc>
        <w:tc>
          <w:tcPr>
            <w:tcW w:w="2410" w:type="dxa"/>
            <w:shd w:val="clear" w:color="auto" w:fill="auto"/>
          </w:tcPr>
          <w:p w14:paraId="28D858EB" w14:textId="77777777" w:rsidR="005B09B8" w:rsidRPr="00CB34A3" w:rsidRDefault="005B09B8" w:rsidP="005B09B8">
            <w:pPr>
              <w:pStyle w:val="Htableleft"/>
              <w:rPr>
                <w:rFonts w:cs="Arial"/>
                <w:sz w:val="16"/>
                <w:szCs w:val="16"/>
                <w:lang w:val="en-GB"/>
              </w:rPr>
            </w:pPr>
            <w:r w:rsidRPr="00CB34A3">
              <w:rPr>
                <w:sz w:val="16"/>
                <w:lang w:val="en-GB"/>
              </w:rPr>
              <w:t xml:space="preserve">All data to be collected by evaluator. </w:t>
            </w:r>
          </w:p>
        </w:tc>
      </w:tr>
      <w:tr w:rsidR="005B09B8" w:rsidRPr="003726BE" w14:paraId="2301A528" w14:textId="77777777" w:rsidTr="00FB3426">
        <w:trPr>
          <w:trHeight w:val="434"/>
        </w:trPr>
        <w:tc>
          <w:tcPr>
            <w:tcW w:w="14879" w:type="dxa"/>
            <w:gridSpan w:val="5"/>
            <w:shd w:val="clear" w:color="auto" w:fill="auto"/>
          </w:tcPr>
          <w:p w14:paraId="0EC126FE" w14:textId="77777777" w:rsidR="005B09B8" w:rsidRPr="003726BE" w:rsidRDefault="005B09B8" w:rsidP="005B09B8">
            <w:pPr>
              <w:pStyle w:val="Htableleft"/>
              <w:rPr>
                <w:rFonts w:cs="Arial"/>
                <w:sz w:val="16"/>
                <w:szCs w:val="16"/>
              </w:rPr>
            </w:pPr>
            <w:r w:rsidRPr="003726BE">
              <w:rPr>
                <w:sz w:val="16"/>
              </w:rPr>
              <w:t>Mixed</w:t>
            </w:r>
          </w:p>
        </w:tc>
      </w:tr>
      <w:tr w:rsidR="005B09B8" w:rsidRPr="00F61F42" w14:paraId="56BDEBD0" w14:textId="77777777" w:rsidTr="00FB3426">
        <w:tc>
          <w:tcPr>
            <w:tcW w:w="1555" w:type="dxa"/>
            <w:shd w:val="clear" w:color="auto" w:fill="auto"/>
          </w:tcPr>
          <w:p w14:paraId="1129C2EE" w14:textId="77777777" w:rsidR="005B09B8" w:rsidRPr="00CB34A3" w:rsidRDefault="005B09B8" w:rsidP="005B09B8">
            <w:pPr>
              <w:pStyle w:val="Htableleft"/>
              <w:rPr>
                <w:rFonts w:cs="Arial"/>
                <w:sz w:val="16"/>
                <w:szCs w:val="16"/>
                <w:lang w:val="en-GB"/>
              </w:rPr>
            </w:pPr>
            <w:r w:rsidRPr="00CB34A3">
              <w:rPr>
                <w:sz w:val="16"/>
                <w:lang w:val="en-GB"/>
              </w:rPr>
              <w:t xml:space="preserve">Quality of Life and </w:t>
            </w:r>
            <w:r w:rsidRPr="00CB34A3">
              <w:rPr>
                <w:sz w:val="16"/>
                <w:lang w:val="en-GB"/>
              </w:rPr>
              <w:lastRenderedPageBreak/>
              <w:t>of Local Governance, and Satisfaction Surveys</w:t>
            </w:r>
          </w:p>
        </w:tc>
        <w:tc>
          <w:tcPr>
            <w:tcW w:w="4110" w:type="dxa"/>
            <w:shd w:val="clear" w:color="auto" w:fill="auto"/>
          </w:tcPr>
          <w:p w14:paraId="0A27DE4F" w14:textId="77777777" w:rsidR="005B09B8" w:rsidRPr="00CB34A3" w:rsidRDefault="005B09B8" w:rsidP="005B09B8">
            <w:pPr>
              <w:pStyle w:val="Htableleft"/>
              <w:rPr>
                <w:rFonts w:cs="Arial"/>
                <w:sz w:val="16"/>
                <w:szCs w:val="16"/>
                <w:lang w:val="en-GB"/>
              </w:rPr>
            </w:pPr>
            <w:r w:rsidRPr="00CB34A3">
              <w:rPr>
                <w:sz w:val="16"/>
                <w:lang w:val="en-GB"/>
              </w:rPr>
              <w:lastRenderedPageBreak/>
              <w:t xml:space="preserve">Surveys targeting quality of life in rural areas mainly </w:t>
            </w:r>
            <w:r w:rsidRPr="00CB34A3">
              <w:rPr>
                <w:sz w:val="16"/>
                <w:lang w:val="en-GB"/>
              </w:rPr>
              <w:lastRenderedPageBreak/>
              <w:t>refer to the provision, access and use of services and utilities. Local governance studies and life satisfaction surveys may also support the qu</w:t>
            </w:r>
            <w:r w:rsidR="006217D2">
              <w:rPr>
                <w:sz w:val="16"/>
                <w:lang w:val="en-GB"/>
              </w:rPr>
              <w:t>ality of life evaluation.</w:t>
            </w:r>
            <w:r w:rsidRPr="00CB34A3">
              <w:rPr>
                <w:sz w:val="16"/>
                <w:lang w:val="en-GB"/>
              </w:rPr>
              <w:t xml:space="preserve"> </w:t>
            </w:r>
          </w:p>
          <w:p w14:paraId="368838DE" w14:textId="77777777" w:rsidR="005B09B8" w:rsidRPr="00CB34A3" w:rsidRDefault="005B09B8" w:rsidP="005B09B8">
            <w:pPr>
              <w:pStyle w:val="Htableleft"/>
              <w:rPr>
                <w:rFonts w:cs="Arial"/>
                <w:sz w:val="16"/>
                <w:szCs w:val="16"/>
                <w:lang w:val="en-GB"/>
              </w:rPr>
            </w:pPr>
            <w:r w:rsidRPr="00CB34A3">
              <w:rPr>
                <w:sz w:val="16"/>
                <w:lang w:val="en-GB"/>
              </w:rPr>
              <w:t xml:space="preserve"> </w:t>
            </w:r>
          </w:p>
        </w:tc>
        <w:tc>
          <w:tcPr>
            <w:tcW w:w="4111" w:type="dxa"/>
            <w:shd w:val="clear" w:color="auto" w:fill="auto"/>
          </w:tcPr>
          <w:p w14:paraId="22FA7105" w14:textId="77777777" w:rsidR="005B09B8" w:rsidRPr="00CB34A3" w:rsidRDefault="005B09B8" w:rsidP="005B09B8">
            <w:pPr>
              <w:pStyle w:val="Htableleft"/>
              <w:rPr>
                <w:rFonts w:cs="Arial"/>
                <w:sz w:val="16"/>
                <w:szCs w:val="16"/>
                <w:lang w:val="en-GB"/>
              </w:rPr>
            </w:pPr>
            <w:r w:rsidRPr="00CB34A3">
              <w:rPr>
                <w:sz w:val="16"/>
                <w:lang w:val="en-GB"/>
              </w:rPr>
              <w:lastRenderedPageBreak/>
              <w:t xml:space="preserve">There is existing roll on surveys at the global as well </w:t>
            </w:r>
            <w:r w:rsidRPr="00CB34A3">
              <w:rPr>
                <w:sz w:val="16"/>
                <w:lang w:val="en-GB"/>
              </w:rPr>
              <w:lastRenderedPageBreak/>
              <w:t>as European scale. The problem is that they rarely distinguish between rural and urban areas and, of course, it is difficult to isolate net effects.</w:t>
            </w:r>
          </w:p>
        </w:tc>
        <w:tc>
          <w:tcPr>
            <w:tcW w:w="2693" w:type="dxa"/>
            <w:shd w:val="clear" w:color="auto" w:fill="auto"/>
          </w:tcPr>
          <w:p w14:paraId="7CCE9485" w14:textId="77777777" w:rsidR="005B09B8" w:rsidRPr="00CB34A3" w:rsidRDefault="005B09B8" w:rsidP="005B09B8">
            <w:pPr>
              <w:pStyle w:val="Htableleft"/>
              <w:rPr>
                <w:rFonts w:cs="Arial"/>
                <w:sz w:val="16"/>
                <w:szCs w:val="16"/>
                <w:lang w:val="en-GB"/>
              </w:rPr>
            </w:pPr>
            <w:r w:rsidRPr="00CB34A3">
              <w:rPr>
                <w:sz w:val="16"/>
                <w:lang w:val="en-GB"/>
              </w:rPr>
              <w:lastRenderedPageBreak/>
              <w:t xml:space="preserve">Eurostat SILK rules apply for </w:t>
            </w:r>
            <w:r w:rsidRPr="00CB34A3">
              <w:rPr>
                <w:sz w:val="16"/>
                <w:lang w:val="en-GB"/>
              </w:rPr>
              <w:lastRenderedPageBreak/>
              <w:t>anonymised data but the country-level samples are relatively small.</w:t>
            </w:r>
          </w:p>
          <w:p w14:paraId="1C24AC01" w14:textId="77777777" w:rsidR="005B09B8" w:rsidRPr="00CB34A3" w:rsidRDefault="005B09B8" w:rsidP="008C2BAE">
            <w:pPr>
              <w:pStyle w:val="Htableleft"/>
              <w:rPr>
                <w:rFonts w:cs="Arial"/>
                <w:sz w:val="16"/>
                <w:szCs w:val="16"/>
                <w:lang w:val="en-GB"/>
              </w:rPr>
            </w:pPr>
            <w:r w:rsidRPr="00CB34A3">
              <w:rPr>
                <w:sz w:val="16"/>
                <w:lang w:val="en-GB"/>
              </w:rPr>
              <w:t>The OECD does not provide access to micro-data.</w:t>
            </w:r>
          </w:p>
        </w:tc>
        <w:tc>
          <w:tcPr>
            <w:tcW w:w="2410" w:type="dxa"/>
            <w:shd w:val="clear" w:color="auto" w:fill="auto"/>
          </w:tcPr>
          <w:p w14:paraId="45E7553D" w14:textId="77777777" w:rsidR="005B09B8" w:rsidRPr="00CB34A3" w:rsidRDefault="005B09B8" w:rsidP="005B09B8">
            <w:pPr>
              <w:pStyle w:val="Htableleft"/>
              <w:rPr>
                <w:rFonts w:cs="Arial"/>
                <w:sz w:val="16"/>
                <w:szCs w:val="16"/>
                <w:lang w:val="en-GB"/>
              </w:rPr>
            </w:pPr>
            <w:r w:rsidRPr="00CB34A3">
              <w:rPr>
                <w:sz w:val="16"/>
                <w:lang w:val="en-GB"/>
              </w:rPr>
              <w:lastRenderedPageBreak/>
              <w:t xml:space="preserve">All data to be collected by </w:t>
            </w:r>
            <w:r w:rsidRPr="00CB34A3">
              <w:rPr>
                <w:sz w:val="16"/>
                <w:lang w:val="en-GB"/>
              </w:rPr>
              <w:lastRenderedPageBreak/>
              <w:t>evaluator.</w:t>
            </w:r>
          </w:p>
        </w:tc>
      </w:tr>
    </w:tbl>
    <w:p w14:paraId="4F0C5E8E" w14:textId="77777777" w:rsidR="005B09B8" w:rsidRPr="00CB34A3" w:rsidRDefault="005B09B8" w:rsidP="00673940">
      <w:pPr>
        <w:pStyle w:val="HStandard"/>
        <w:rPr>
          <w:rFonts w:cs="Arial"/>
          <w:lang w:val="en-GB"/>
        </w:rPr>
      </w:pPr>
    </w:p>
    <w:p w14:paraId="28945F2E" w14:textId="77777777" w:rsidR="005B09B8" w:rsidRPr="00CB34A3" w:rsidRDefault="005B09B8" w:rsidP="00673940">
      <w:pPr>
        <w:pStyle w:val="HStandard"/>
        <w:rPr>
          <w:rFonts w:cs="Arial"/>
          <w:lang w:val="en-GB"/>
        </w:rPr>
      </w:pPr>
    </w:p>
    <w:p w14:paraId="5F142946" w14:textId="77777777" w:rsidR="005B09B8" w:rsidRPr="00CB34A3" w:rsidRDefault="005B09B8" w:rsidP="00673940">
      <w:pPr>
        <w:pStyle w:val="HStandard"/>
        <w:rPr>
          <w:rFonts w:cs="Arial"/>
          <w:lang w:val="en-GB"/>
        </w:rPr>
      </w:pPr>
    </w:p>
    <w:p w14:paraId="238039CC" w14:textId="77777777" w:rsidR="005B09B8" w:rsidRPr="00CB34A3" w:rsidRDefault="005B09B8" w:rsidP="00673940">
      <w:pPr>
        <w:pStyle w:val="HStandard"/>
        <w:rPr>
          <w:rFonts w:cs="Arial"/>
          <w:lang w:val="en-GB"/>
        </w:rPr>
      </w:pPr>
    </w:p>
    <w:p w14:paraId="09361902" w14:textId="77777777" w:rsidR="005B09B8" w:rsidRPr="00CB34A3" w:rsidRDefault="005B09B8" w:rsidP="00673940">
      <w:pPr>
        <w:pStyle w:val="HStandard"/>
        <w:rPr>
          <w:rFonts w:cs="Arial"/>
          <w:lang w:val="en-GB"/>
        </w:rPr>
        <w:sectPr w:rsidR="005B09B8" w:rsidRPr="00CB34A3" w:rsidSect="008F72F4">
          <w:headerReference w:type="default" r:id="rId61"/>
          <w:footerReference w:type="default" r:id="rId62"/>
          <w:headerReference w:type="first" r:id="rId63"/>
          <w:footerReference w:type="first" r:id="rId64"/>
          <w:pgSz w:w="16838" w:h="11906" w:orient="landscape" w:code="9"/>
          <w:pgMar w:top="1418" w:right="1418" w:bottom="1418" w:left="1418" w:header="737" w:footer="1021" w:gutter="0"/>
          <w:cols w:space="708"/>
          <w:titlePg/>
          <w:docGrid w:linePitch="360"/>
        </w:sectPr>
      </w:pPr>
    </w:p>
    <w:p w14:paraId="7B6A29A8" w14:textId="77777777" w:rsidR="005B09B8" w:rsidRPr="00CB34A3" w:rsidRDefault="005B09B8" w:rsidP="00C147EB">
      <w:pPr>
        <w:pStyle w:val="HHeading5"/>
        <w:rPr>
          <w:rFonts w:cs="Arial"/>
          <w:lang w:val="en-GB"/>
        </w:rPr>
      </w:pPr>
      <w:r w:rsidRPr="00CB34A3">
        <w:rPr>
          <w:lang w:val="en-GB"/>
        </w:rPr>
        <w:lastRenderedPageBreak/>
        <w:t>Addressing data gaps</w:t>
      </w:r>
    </w:p>
    <w:p w14:paraId="32CCFA42" w14:textId="77777777" w:rsidR="005B09B8" w:rsidRPr="00CB34A3" w:rsidRDefault="005B09B8" w:rsidP="00673940">
      <w:pPr>
        <w:pStyle w:val="HStandard"/>
        <w:rPr>
          <w:rFonts w:cs="Arial"/>
          <w:lang w:val="en-GB"/>
        </w:rPr>
      </w:pPr>
      <w:r w:rsidRPr="00CB34A3">
        <w:rPr>
          <w:lang w:val="en-GB"/>
        </w:rPr>
        <w:t xml:space="preserve">Data gaps may be caused by a variety of reasons: no systematic data collection, the data is only available for limited levels (e.g. national, but not regional), missing data-sets on certain context indicators (e.g. environmental indicators). </w:t>
      </w:r>
    </w:p>
    <w:p w14:paraId="7CA982ED" w14:textId="77777777" w:rsidR="005B09B8" w:rsidRPr="00CB34A3" w:rsidRDefault="005B09B8" w:rsidP="00673940">
      <w:pPr>
        <w:pStyle w:val="HStandard"/>
        <w:rPr>
          <w:rFonts w:cs="Arial"/>
          <w:lang w:val="en-GB"/>
        </w:rPr>
      </w:pPr>
      <w:r w:rsidRPr="00CB34A3">
        <w:rPr>
          <w:lang w:val="en-GB"/>
        </w:rPr>
        <w:t>There are different ways to address data gaps. Typical approaches include additional research and surveys, use of additional databases (e.g. national and regional statistics) or a more intensive use of qualitative methods as an alternative to hard data. However, the most effective and proactive approach to deal with data gaps is to construct baseline databases and establish the necessary data infrastructure from early stages of programme implementation/development. Unless defined otherwise, data is collected primarily by evaluators.</w:t>
      </w:r>
    </w:p>
    <w:p w14:paraId="0E10ACD8" w14:textId="77777777" w:rsidR="005B09B8" w:rsidRPr="00CB34A3" w:rsidRDefault="005B09B8" w:rsidP="00673940">
      <w:pPr>
        <w:pStyle w:val="HStandard"/>
        <w:rPr>
          <w:rFonts w:cs="Arial"/>
          <w:lang w:val="en-GB"/>
        </w:rPr>
      </w:pPr>
      <w:r w:rsidRPr="00CB34A3">
        <w:rPr>
          <w:lang w:val="en-GB"/>
        </w:rPr>
        <w:t>The requirements for evaluations in the current programming period underline the need for Member States to put in place the necessary procedures for data collection and management for evaluations</w:t>
      </w:r>
      <w:r w:rsidRPr="003726BE">
        <w:rPr>
          <w:rStyle w:val="FootnoteReference"/>
        </w:rPr>
        <w:footnoteReference w:id="66"/>
      </w:r>
      <w:r w:rsidRPr="00CB34A3">
        <w:rPr>
          <w:lang w:val="en-GB"/>
        </w:rPr>
        <w:t xml:space="preserve">. Managing Authorities are well advised to incorporate any data needs related to programme-specific elements in their monitoring and evaluation systems as early as possible. </w:t>
      </w:r>
    </w:p>
    <w:p w14:paraId="30C39FEE" w14:textId="77777777" w:rsidR="005B09B8" w:rsidRPr="00CB34A3" w:rsidRDefault="005B09B8" w:rsidP="00C147EB">
      <w:pPr>
        <w:pStyle w:val="HHeading5"/>
        <w:rPr>
          <w:rFonts w:cs="Arial"/>
          <w:lang w:val="en-GB"/>
        </w:rPr>
      </w:pPr>
      <w:r w:rsidRPr="00CB34A3">
        <w:rPr>
          <w:lang w:val="en-GB"/>
        </w:rPr>
        <w:t xml:space="preserve">Costs </w:t>
      </w:r>
    </w:p>
    <w:p w14:paraId="5BDB2F8C" w14:textId="77777777" w:rsidR="005B09B8" w:rsidRPr="00CB34A3" w:rsidRDefault="005B09B8" w:rsidP="00673940">
      <w:pPr>
        <w:pStyle w:val="HStandard"/>
        <w:rPr>
          <w:rFonts w:cs="Arial"/>
          <w:lang w:val="en-GB"/>
        </w:rPr>
      </w:pPr>
      <w:r w:rsidRPr="00CB34A3">
        <w:rPr>
          <w:lang w:val="en-GB"/>
        </w:rPr>
        <w:t>To collect additional data is costly. Therefore, it is important that stakeholders (mainly Managing Authorities) know well all the existing data sources at EU, national and regional level and are able to provide arrangements to bring them to the required format. The need for additionally collected data by evaluators affects the evaluation budget.</w:t>
      </w:r>
    </w:p>
    <w:p w14:paraId="02BBEFA5" w14:textId="77777777" w:rsidR="005B09B8" w:rsidRPr="00CB34A3" w:rsidRDefault="005B09B8" w:rsidP="00C147EB">
      <w:pPr>
        <w:pStyle w:val="HHeading5"/>
        <w:rPr>
          <w:rFonts w:cs="Arial"/>
          <w:lang w:val="en-GB"/>
        </w:rPr>
      </w:pPr>
      <w:r w:rsidRPr="00CB34A3">
        <w:rPr>
          <w:lang w:val="en-GB"/>
        </w:rPr>
        <w:t>Role of stakeholders in ensuring data availability</w:t>
      </w:r>
    </w:p>
    <w:p w14:paraId="7EE541FD" w14:textId="77777777" w:rsidR="005B09B8" w:rsidRPr="00CB34A3" w:rsidRDefault="005B09B8" w:rsidP="00673940">
      <w:pPr>
        <w:pStyle w:val="HStandard"/>
        <w:rPr>
          <w:rFonts w:cs="Arial"/>
          <w:lang w:val="en-GB"/>
        </w:rPr>
      </w:pPr>
      <w:r w:rsidRPr="00CB34A3">
        <w:rPr>
          <w:lang w:val="en-GB"/>
        </w:rPr>
        <w:t>Several stakeholders should be involved in ensuring the availability of data for RDP evaluations. The communication among them should be ensured mainly by the Managing Authority or by the evaluation steering group, if established. The following table offers an overview of how these stakeholders can support data availability and quality.</w:t>
      </w:r>
    </w:p>
    <w:p w14:paraId="3C2177D4" w14:textId="77777777" w:rsidR="005B09B8" w:rsidRPr="00CB34A3" w:rsidRDefault="005B09B8" w:rsidP="005B09B8">
      <w:pPr>
        <w:pStyle w:val="HHeadingtables"/>
        <w:rPr>
          <w:rFonts w:cs="Arial"/>
          <w:lang w:val="en-GB"/>
        </w:rPr>
      </w:pPr>
      <w:bookmarkStart w:id="108" w:name="_Toc428965200"/>
      <w:bookmarkStart w:id="109" w:name="_Toc460936141"/>
      <w:bookmarkStart w:id="110" w:name="_Toc474132629"/>
      <w:r w:rsidRPr="00CB34A3">
        <w:rPr>
          <w:lang w:val="en-GB"/>
        </w:rPr>
        <w:t>Evaluation stakeholders and their role in ensuring data availability and quality</w:t>
      </w:r>
      <w:r w:rsidRPr="003726BE">
        <w:rPr>
          <w:rStyle w:val="FootnoteReference"/>
        </w:rPr>
        <w:footnoteReference w:id="67"/>
      </w:r>
      <w:bookmarkEnd w:id="108"/>
      <w:bookmarkEnd w:id="109"/>
      <w:bookmarkEnd w:id="110"/>
    </w:p>
    <w:tbl>
      <w:tblPr>
        <w:tblStyle w:val="TableGrid"/>
        <w:tblW w:w="9062" w:type="dxa"/>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shd w:val="clear" w:color="auto" w:fill="DDDDDD"/>
        <w:tblLayout w:type="fixed"/>
        <w:tblLook w:val="04A0" w:firstRow="1" w:lastRow="0" w:firstColumn="1" w:lastColumn="0" w:noHBand="0" w:noVBand="1"/>
      </w:tblPr>
      <w:tblGrid>
        <w:gridCol w:w="1696"/>
        <w:gridCol w:w="7366"/>
      </w:tblGrid>
      <w:tr w:rsidR="005B09B8" w:rsidRPr="00F61F42" w14:paraId="0AEB9A3D" w14:textId="77777777" w:rsidTr="008F72F4">
        <w:trPr>
          <w:trHeight w:val="596"/>
          <w:tblHeader/>
          <w:jc w:val="center"/>
        </w:trPr>
        <w:tc>
          <w:tcPr>
            <w:tcW w:w="1696" w:type="dxa"/>
            <w:shd w:val="clear" w:color="auto" w:fill="F07E31" w:themeFill="background2"/>
          </w:tcPr>
          <w:p w14:paraId="6AFEE697" w14:textId="77777777" w:rsidR="005B09B8" w:rsidRPr="003726BE" w:rsidRDefault="005B09B8" w:rsidP="005B09B8">
            <w:pPr>
              <w:pStyle w:val="Htableleftbolt"/>
              <w:rPr>
                <w:rFonts w:cs="Arial"/>
                <w:color w:val="FFFFFF" w:themeColor="accent1"/>
              </w:rPr>
            </w:pPr>
            <w:r w:rsidRPr="003726BE">
              <w:rPr>
                <w:color w:val="FFFFFF" w:themeColor="accent1"/>
              </w:rPr>
              <w:t>Stakeholder</w:t>
            </w:r>
          </w:p>
        </w:tc>
        <w:tc>
          <w:tcPr>
            <w:tcW w:w="7366" w:type="dxa"/>
            <w:shd w:val="clear" w:color="auto" w:fill="F07E31" w:themeFill="background2"/>
          </w:tcPr>
          <w:p w14:paraId="4FE1223F" w14:textId="77777777" w:rsidR="005B09B8" w:rsidRPr="00CB34A3" w:rsidRDefault="005B09B8" w:rsidP="005B09B8">
            <w:pPr>
              <w:pStyle w:val="Htableleftbolt"/>
              <w:rPr>
                <w:rFonts w:cs="Arial"/>
                <w:color w:val="FFFFFF" w:themeColor="accent1"/>
                <w:lang w:val="en-GB"/>
              </w:rPr>
            </w:pPr>
            <w:r w:rsidRPr="00CB34A3">
              <w:rPr>
                <w:color w:val="FFFFFF" w:themeColor="accent1"/>
                <w:lang w:val="en-GB"/>
              </w:rPr>
              <w:t>Description of role in the data management and collection</w:t>
            </w:r>
          </w:p>
        </w:tc>
      </w:tr>
      <w:tr w:rsidR="005B09B8" w:rsidRPr="00F61F42" w14:paraId="32A057D1" w14:textId="77777777" w:rsidTr="008F72F4">
        <w:trPr>
          <w:jc w:val="center"/>
        </w:trPr>
        <w:tc>
          <w:tcPr>
            <w:tcW w:w="1696" w:type="dxa"/>
            <w:shd w:val="clear" w:color="auto" w:fill="auto"/>
          </w:tcPr>
          <w:p w14:paraId="0B88D75A" w14:textId="77777777" w:rsidR="005B09B8" w:rsidRPr="003726BE" w:rsidRDefault="005B09B8" w:rsidP="005B09B8">
            <w:pPr>
              <w:pStyle w:val="Htableleft"/>
              <w:rPr>
                <w:rFonts w:cs="Arial"/>
              </w:rPr>
            </w:pPr>
            <w:r w:rsidRPr="003726BE">
              <w:t>Managing Authority</w:t>
            </w:r>
          </w:p>
        </w:tc>
        <w:tc>
          <w:tcPr>
            <w:tcW w:w="7366" w:type="dxa"/>
            <w:shd w:val="clear" w:color="auto" w:fill="auto"/>
          </w:tcPr>
          <w:p w14:paraId="1BBA4C39" w14:textId="77777777" w:rsidR="005B09B8" w:rsidRPr="00CB34A3" w:rsidRDefault="005B09B8" w:rsidP="00F61AC5">
            <w:pPr>
              <w:pStyle w:val="Hlistbullet"/>
              <w:spacing w:after="60"/>
              <w:rPr>
                <w:sz w:val="18"/>
                <w:szCs w:val="18"/>
                <w:lang w:val="en-GB"/>
              </w:rPr>
            </w:pPr>
            <w:r w:rsidRPr="00CB34A3">
              <w:rPr>
                <w:sz w:val="18"/>
                <w:lang w:val="en-GB"/>
              </w:rPr>
              <w:t>Draw up a detailed evaluation plan with the monitoring and evaluation system</w:t>
            </w:r>
          </w:p>
          <w:p w14:paraId="550AE6D8" w14:textId="77777777" w:rsidR="005B09B8" w:rsidRPr="00CB34A3" w:rsidRDefault="005B09B8" w:rsidP="00F61AC5">
            <w:pPr>
              <w:pStyle w:val="Hlistbullet"/>
              <w:spacing w:after="60"/>
              <w:rPr>
                <w:sz w:val="18"/>
                <w:szCs w:val="18"/>
                <w:lang w:val="en-GB"/>
              </w:rPr>
            </w:pPr>
            <w:r w:rsidRPr="00CB34A3">
              <w:rPr>
                <w:sz w:val="18"/>
                <w:lang w:val="en-GB"/>
              </w:rPr>
              <w:t>Ensure a secure electronic system and a monitoring system for all common and programme-specific indicators</w:t>
            </w:r>
          </w:p>
          <w:p w14:paraId="1E46D8E4" w14:textId="77777777" w:rsidR="005B09B8" w:rsidRPr="00CB34A3" w:rsidRDefault="005B09B8" w:rsidP="00F61AC5">
            <w:pPr>
              <w:pStyle w:val="Hlistbullet"/>
              <w:spacing w:after="60"/>
              <w:rPr>
                <w:sz w:val="18"/>
                <w:szCs w:val="18"/>
                <w:lang w:val="en-GB"/>
              </w:rPr>
            </w:pPr>
            <w:r w:rsidRPr="00CB34A3">
              <w:rPr>
                <w:sz w:val="18"/>
                <w:lang w:val="en-GB"/>
              </w:rPr>
              <w:t>Establish appropriate data infrastructure, including the necessary resources for collecting, storing and updating data</w:t>
            </w:r>
          </w:p>
          <w:p w14:paraId="1EFB764D" w14:textId="77777777" w:rsidR="005B09B8" w:rsidRPr="00CB34A3" w:rsidRDefault="005B09B8" w:rsidP="00F61AC5">
            <w:pPr>
              <w:pStyle w:val="Hlistbullet"/>
              <w:spacing w:after="60"/>
              <w:rPr>
                <w:sz w:val="18"/>
                <w:szCs w:val="18"/>
                <w:lang w:val="en-GB"/>
              </w:rPr>
            </w:pPr>
            <w:r w:rsidRPr="00CB34A3">
              <w:rPr>
                <w:sz w:val="18"/>
                <w:lang w:val="en-GB"/>
              </w:rPr>
              <w:t>Establish clear and transparent data collection and management procedures</w:t>
            </w:r>
          </w:p>
          <w:p w14:paraId="2FF628C9" w14:textId="77777777" w:rsidR="005B09B8" w:rsidRPr="00CB34A3" w:rsidRDefault="005B09B8" w:rsidP="00F61AC5">
            <w:pPr>
              <w:pStyle w:val="Hlistbullet"/>
              <w:spacing w:after="60"/>
              <w:rPr>
                <w:sz w:val="18"/>
                <w:szCs w:val="18"/>
                <w:lang w:val="en-GB"/>
              </w:rPr>
            </w:pPr>
            <w:r w:rsidRPr="00CB34A3">
              <w:rPr>
                <w:sz w:val="18"/>
                <w:lang w:val="en-GB"/>
              </w:rPr>
              <w:t>Screen all available data sources, communicate with providers, and make arrangements that data is available in a specific format and with a sufficient level of quality needed for the RDP evaluation</w:t>
            </w:r>
          </w:p>
          <w:p w14:paraId="1187856F" w14:textId="77777777" w:rsidR="005B09B8" w:rsidRPr="00CB34A3" w:rsidRDefault="005B09B8" w:rsidP="00F61AC5">
            <w:pPr>
              <w:pStyle w:val="Hlistbullet"/>
              <w:spacing w:after="60"/>
              <w:rPr>
                <w:sz w:val="18"/>
                <w:szCs w:val="18"/>
                <w:lang w:val="en-GB"/>
              </w:rPr>
            </w:pPr>
            <w:r w:rsidRPr="00CB34A3">
              <w:rPr>
                <w:sz w:val="18"/>
                <w:lang w:val="en-GB"/>
              </w:rPr>
              <w:t xml:space="preserve">Ensure also communication among data providers </w:t>
            </w:r>
          </w:p>
          <w:p w14:paraId="1716A1B5" w14:textId="77777777" w:rsidR="005B09B8" w:rsidRPr="00CB34A3" w:rsidRDefault="005B09B8" w:rsidP="00F61AC5">
            <w:pPr>
              <w:pStyle w:val="Hlistbullet"/>
              <w:spacing w:after="60"/>
              <w:rPr>
                <w:sz w:val="18"/>
                <w:szCs w:val="18"/>
                <w:lang w:val="en-GB"/>
              </w:rPr>
            </w:pPr>
            <w:r w:rsidRPr="00CB34A3">
              <w:rPr>
                <w:sz w:val="18"/>
                <w:lang w:val="en-GB"/>
              </w:rPr>
              <w:t>Establish the processes for ensuring timely implementation of evaluations and reporting on them</w:t>
            </w:r>
          </w:p>
          <w:p w14:paraId="5A4660F0" w14:textId="77777777" w:rsidR="005B09B8" w:rsidRPr="00CB34A3" w:rsidRDefault="005B09B8" w:rsidP="00F61AC5">
            <w:pPr>
              <w:pStyle w:val="Hlistbullet"/>
              <w:spacing w:after="60"/>
              <w:rPr>
                <w:sz w:val="18"/>
                <w:szCs w:val="18"/>
                <w:lang w:val="en-GB"/>
              </w:rPr>
            </w:pPr>
            <w:r w:rsidRPr="00CB34A3">
              <w:rPr>
                <w:sz w:val="18"/>
                <w:lang w:val="en-GB"/>
              </w:rPr>
              <w:t>Design a good concept note and Terms of Reference taking into account the available budget for evaluation, the evaluation scope and the preferred evaluation approaches</w:t>
            </w:r>
          </w:p>
          <w:p w14:paraId="5901BC44" w14:textId="77777777" w:rsidR="00CE0D59" w:rsidRPr="00CB34A3" w:rsidRDefault="00CE0D59" w:rsidP="00F61AC5">
            <w:pPr>
              <w:pStyle w:val="Hlistbullet"/>
              <w:spacing w:after="60"/>
              <w:rPr>
                <w:lang w:val="en-GB"/>
              </w:rPr>
            </w:pPr>
            <w:r w:rsidRPr="00CB34A3">
              <w:rPr>
                <w:sz w:val="18"/>
                <w:lang w:val="en-GB"/>
              </w:rPr>
              <w:t xml:space="preserve">Ensure early involvement of data providers (national statistical office, relevant </w:t>
            </w:r>
            <w:r w:rsidRPr="00CB34A3">
              <w:rPr>
                <w:sz w:val="18"/>
                <w:lang w:val="en-GB"/>
              </w:rPr>
              <w:lastRenderedPageBreak/>
              <w:t>ministries, research institutes, etc.) in monitoring and evaluation from the planning stage</w:t>
            </w:r>
          </w:p>
        </w:tc>
      </w:tr>
      <w:tr w:rsidR="005B09B8" w:rsidRPr="00F61F42" w14:paraId="0056A781" w14:textId="77777777" w:rsidTr="008F72F4">
        <w:trPr>
          <w:jc w:val="center"/>
        </w:trPr>
        <w:tc>
          <w:tcPr>
            <w:tcW w:w="1696" w:type="dxa"/>
            <w:shd w:val="clear" w:color="auto" w:fill="auto"/>
          </w:tcPr>
          <w:p w14:paraId="4C55C1F8" w14:textId="77777777" w:rsidR="005B09B8" w:rsidRPr="003726BE" w:rsidRDefault="005B09B8" w:rsidP="005B09B8">
            <w:pPr>
              <w:pStyle w:val="Htableleft"/>
              <w:rPr>
                <w:rFonts w:cs="Arial"/>
              </w:rPr>
            </w:pPr>
            <w:r w:rsidRPr="003726BE">
              <w:lastRenderedPageBreak/>
              <w:t>Paying Agency</w:t>
            </w:r>
          </w:p>
        </w:tc>
        <w:tc>
          <w:tcPr>
            <w:tcW w:w="7366" w:type="dxa"/>
            <w:shd w:val="clear" w:color="auto" w:fill="auto"/>
          </w:tcPr>
          <w:p w14:paraId="10FF2728" w14:textId="77777777" w:rsidR="00F61AC5" w:rsidRPr="00CB34A3" w:rsidRDefault="005B09B8" w:rsidP="00F61AC5">
            <w:pPr>
              <w:pStyle w:val="Hlistbullet"/>
              <w:spacing w:after="60"/>
              <w:rPr>
                <w:sz w:val="18"/>
                <w:szCs w:val="18"/>
                <w:lang w:val="en-GB"/>
              </w:rPr>
            </w:pPr>
            <w:r w:rsidRPr="00CB34A3">
              <w:rPr>
                <w:sz w:val="18"/>
                <w:lang w:val="en-GB"/>
              </w:rPr>
              <w:t>Establish clear and transparent procedures for the recording of monitoring information on applications, supported projects, payments and control</w:t>
            </w:r>
          </w:p>
          <w:p w14:paraId="278DD7C4" w14:textId="77777777" w:rsidR="00F61AC5" w:rsidRPr="003726BE" w:rsidRDefault="0044105B" w:rsidP="00F61AC5">
            <w:pPr>
              <w:pStyle w:val="Hlistbullet"/>
              <w:spacing w:after="60"/>
              <w:rPr>
                <w:sz w:val="18"/>
                <w:szCs w:val="18"/>
              </w:rPr>
            </w:pPr>
            <w:r w:rsidRPr="003726BE">
              <w:rPr>
                <w:sz w:val="18"/>
              </w:rPr>
              <w:t>Operations database</w:t>
            </w:r>
          </w:p>
          <w:p w14:paraId="079B3074" w14:textId="77777777" w:rsidR="005B09B8" w:rsidRPr="00CB34A3" w:rsidRDefault="005B09B8" w:rsidP="00F61AC5">
            <w:pPr>
              <w:pStyle w:val="Hlistbullet"/>
              <w:spacing w:after="60"/>
              <w:rPr>
                <w:sz w:val="18"/>
                <w:szCs w:val="18"/>
                <w:lang w:val="en-GB"/>
              </w:rPr>
            </w:pPr>
            <w:r w:rsidRPr="00CB34A3">
              <w:rPr>
                <w:sz w:val="18"/>
                <w:lang w:val="en-GB"/>
              </w:rPr>
              <w:t xml:space="preserve">Set up simple, transparent and fast procedures for the Managing Authority’s and the evaluator’s access to data </w:t>
            </w:r>
          </w:p>
          <w:p w14:paraId="679E9918" w14:textId="77777777" w:rsidR="005B09B8" w:rsidRPr="00CB34A3" w:rsidRDefault="005B09B8" w:rsidP="00F61AC5">
            <w:pPr>
              <w:pStyle w:val="Hlistbullet"/>
              <w:spacing w:after="60"/>
              <w:rPr>
                <w:sz w:val="18"/>
                <w:szCs w:val="18"/>
                <w:lang w:val="en-GB"/>
              </w:rPr>
            </w:pPr>
            <w:r w:rsidRPr="00CB34A3">
              <w:rPr>
                <w:sz w:val="18"/>
                <w:lang w:val="en-GB"/>
              </w:rPr>
              <w:t>Establish a common data system to facilitate access to data or an interface to facilitate the transfer and handling of data between the Paying Agency and the Managing Authority</w:t>
            </w:r>
          </w:p>
          <w:p w14:paraId="4A642E72" w14:textId="77777777" w:rsidR="005B09B8" w:rsidRPr="00CB34A3" w:rsidRDefault="005B09B8" w:rsidP="00F61AC5">
            <w:pPr>
              <w:pStyle w:val="Hlistbullet"/>
              <w:spacing w:after="60"/>
              <w:rPr>
                <w:lang w:val="en-GB"/>
              </w:rPr>
            </w:pPr>
            <w:r w:rsidRPr="00CB34A3">
              <w:rPr>
                <w:sz w:val="18"/>
                <w:lang w:val="en-GB"/>
              </w:rPr>
              <w:t xml:space="preserve">Ensure a link to other databases, if required </w:t>
            </w:r>
          </w:p>
        </w:tc>
      </w:tr>
      <w:tr w:rsidR="005B09B8" w:rsidRPr="00F61F42" w14:paraId="062B4B3B" w14:textId="77777777" w:rsidTr="008F72F4">
        <w:trPr>
          <w:jc w:val="center"/>
        </w:trPr>
        <w:tc>
          <w:tcPr>
            <w:tcW w:w="1696" w:type="dxa"/>
            <w:shd w:val="clear" w:color="auto" w:fill="auto"/>
          </w:tcPr>
          <w:p w14:paraId="1764BC68" w14:textId="77777777" w:rsidR="005B09B8" w:rsidRPr="00CB34A3" w:rsidRDefault="005B09B8" w:rsidP="005B09B8">
            <w:pPr>
              <w:pStyle w:val="Htableleft"/>
              <w:rPr>
                <w:rFonts w:cs="Arial"/>
                <w:lang w:val="en-GB"/>
              </w:rPr>
            </w:pPr>
            <w:r w:rsidRPr="00CB34A3">
              <w:rPr>
                <w:lang w:val="en-GB"/>
              </w:rPr>
              <w:t>Evaluation Steering Group (if established, otherwise Managing Authority)</w:t>
            </w:r>
          </w:p>
        </w:tc>
        <w:tc>
          <w:tcPr>
            <w:tcW w:w="7366" w:type="dxa"/>
            <w:shd w:val="clear" w:color="auto" w:fill="auto"/>
          </w:tcPr>
          <w:p w14:paraId="0E9CB2A2" w14:textId="77777777" w:rsidR="005B09B8" w:rsidRPr="00CB34A3" w:rsidRDefault="005B09B8" w:rsidP="00F61AC5">
            <w:pPr>
              <w:pStyle w:val="Hlistbullet"/>
              <w:spacing w:after="60"/>
              <w:rPr>
                <w:sz w:val="18"/>
                <w:szCs w:val="18"/>
                <w:lang w:val="en-GB"/>
              </w:rPr>
            </w:pPr>
            <w:r w:rsidRPr="00CB34A3">
              <w:rPr>
                <w:sz w:val="18"/>
                <w:lang w:val="en-GB"/>
              </w:rPr>
              <w:t>Facilitate and coordinate stakeholders’ consultation for the evaluation</w:t>
            </w:r>
          </w:p>
          <w:p w14:paraId="2C7DB252" w14:textId="77777777" w:rsidR="005B09B8" w:rsidRPr="00CB34A3" w:rsidRDefault="005B09B8" w:rsidP="00F61AC5">
            <w:pPr>
              <w:pStyle w:val="Hlistbullet"/>
              <w:spacing w:after="60"/>
              <w:rPr>
                <w:sz w:val="18"/>
                <w:szCs w:val="18"/>
                <w:lang w:val="en-GB"/>
              </w:rPr>
            </w:pPr>
            <w:r w:rsidRPr="00CB34A3">
              <w:rPr>
                <w:sz w:val="18"/>
                <w:lang w:val="en-GB"/>
              </w:rPr>
              <w:t>Establish a process for checking and ensuring the relevance of monitoring and evaluation activities to programme needs</w:t>
            </w:r>
          </w:p>
          <w:p w14:paraId="6D2ECC09" w14:textId="77777777" w:rsidR="005B09B8" w:rsidRPr="00CB34A3" w:rsidRDefault="005B09B8" w:rsidP="00F61AC5">
            <w:pPr>
              <w:pStyle w:val="Hlistbullet"/>
              <w:spacing w:after="60"/>
              <w:rPr>
                <w:sz w:val="18"/>
                <w:szCs w:val="18"/>
                <w:lang w:val="en-GB"/>
              </w:rPr>
            </w:pPr>
            <w:r w:rsidRPr="00CB34A3">
              <w:rPr>
                <w:sz w:val="18"/>
                <w:lang w:val="en-GB"/>
              </w:rPr>
              <w:t>Ensure a Steering Group composition of experts on evaluation and rural development with experts who can provide advice on data availability, information and relevant contacts to evaluators</w:t>
            </w:r>
          </w:p>
          <w:p w14:paraId="375655EE" w14:textId="77777777" w:rsidR="005B09B8" w:rsidRPr="00CB34A3" w:rsidRDefault="005B09B8" w:rsidP="00F61AC5">
            <w:pPr>
              <w:pStyle w:val="Hlistbullet"/>
              <w:spacing w:after="60"/>
              <w:rPr>
                <w:lang w:val="en-GB"/>
              </w:rPr>
            </w:pPr>
            <w:r w:rsidRPr="00CB34A3">
              <w:rPr>
                <w:sz w:val="18"/>
                <w:lang w:val="en-GB"/>
              </w:rPr>
              <w:t>Potentially involve beneficiaries in the Steering Group to facilitate access to micro-data and contacts of evaluators with beneficiaries</w:t>
            </w:r>
          </w:p>
        </w:tc>
      </w:tr>
      <w:tr w:rsidR="005B09B8" w:rsidRPr="00F61F42" w14:paraId="24FF3927" w14:textId="77777777" w:rsidTr="008F72F4">
        <w:trPr>
          <w:jc w:val="center"/>
        </w:trPr>
        <w:tc>
          <w:tcPr>
            <w:tcW w:w="1696" w:type="dxa"/>
            <w:shd w:val="clear" w:color="auto" w:fill="auto"/>
          </w:tcPr>
          <w:p w14:paraId="45F1B9A6" w14:textId="77777777" w:rsidR="005B09B8" w:rsidRPr="003726BE" w:rsidRDefault="005B09B8" w:rsidP="005B09B8">
            <w:pPr>
              <w:pStyle w:val="Htableleft"/>
              <w:rPr>
                <w:rFonts w:cs="Arial"/>
              </w:rPr>
            </w:pPr>
            <w:r w:rsidRPr="003726BE">
              <w:t>Working Groups (if established)</w:t>
            </w:r>
          </w:p>
        </w:tc>
        <w:tc>
          <w:tcPr>
            <w:tcW w:w="7366" w:type="dxa"/>
            <w:shd w:val="clear" w:color="auto" w:fill="auto"/>
          </w:tcPr>
          <w:p w14:paraId="656BFD61" w14:textId="77777777" w:rsidR="005B09B8" w:rsidRPr="00CB34A3" w:rsidRDefault="005B09B8" w:rsidP="00F61AC5">
            <w:pPr>
              <w:pStyle w:val="Hlistbullet"/>
              <w:spacing w:after="60"/>
              <w:rPr>
                <w:sz w:val="18"/>
                <w:szCs w:val="18"/>
                <w:lang w:val="en-GB"/>
              </w:rPr>
            </w:pPr>
            <w:r w:rsidRPr="00CB34A3">
              <w:rPr>
                <w:sz w:val="18"/>
                <w:lang w:val="en-GB"/>
              </w:rPr>
              <w:t>Ensure that working groups are composed of thematic and specialist experts so that they can advise evaluators on specific sectoral data availability (e.g. environmental issues such as water protection or nature conservation) and other data issues (e.g. on LEADER delivery)</w:t>
            </w:r>
          </w:p>
          <w:p w14:paraId="7AE4578A" w14:textId="77777777" w:rsidR="005B09B8" w:rsidRPr="00CB34A3" w:rsidRDefault="005B09B8" w:rsidP="00F61AC5">
            <w:pPr>
              <w:pStyle w:val="Hlistbullet"/>
              <w:spacing w:after="60"/>
              <w:rPr>
                <w:sz w:val="18"/>
                <w:szCs w:val="18"/>
                <w:lang w:val="en-GB"/>
              </w:rPr>
            </w:pPr>
            <w:r w:rsidRPr="00CB34A3">
              <w:rPr>
                <w:sz w:val="18"/>
                <w:lang w:val="en-GB"/>
              </w:rPr>
              <w:t>Establish thematic working groups according to the needs of each evaluation in order to enhance its quality</w:t>
            </w:r>
          </w:p>
        </w:tc>
      </w:tr>
      <w:tr w:rsidR="005B09B8" w:rsidRPr="00F61F42" w14:paraId="4B81D398" w14:textId="77777777" w:rsidTr="008F72F4">
        <w:trPr>
          <w:jc w:val="center"/>
        </w:trPr>
        <w:tc>
          <w:tcPr>
            <w:tcW w:w="1696" w:type="dxa"/>
            <w:shd w:val="clear" w:color="auto" w:fill="auto"/>
          </w:tcPr>
          <w:p w14:paraId="6E4055EC" w14:textId="77777777" w:rsidR="005B09B8" w:rsidRPr="003726BE" w:rsidRDefault="005B09B8" w:rsidP="005B09B8">
            <w:pPr>
              <w:pStyle w:val="Htableleft"/>
              <w:rPr>
                <w:rFonts w:cs="Arial"/>
              </w:rPr>
            </w:pPr>
            <w:r w:rsidRPr="003726BE">
              <w:t>LAGs</w:t>
            </w:r>
          </w:p>
        </w:tc>
        <w:tc>
          <w:tcPr>
            <w:tcW w:w="7366" w:type="dxa"/>
            <w:shd w:val="clear" w:color="auto" w:fill="auto"/>
          </w:tcPr>
          <w:p w14:paraId="352D26E3" w14:textId="77777777" w:rsidR="005B09B8" w:rsidRPr="00CB34A3" w:rsidRDefault="005B09B8" w:rsidP="00F61AC5">
            <w:pPr>
              <w:pStyle w:val="Hlistbullet"/>
              <w:spacing w:after="60"/>
              <w:rPr>
                <w:sz w:val="18"/>
                <w:szCs w:val="18"/>
                <w:lang w:val="en-GB"/>
              </w:rPr>
            </w:pPr>
            <w:r w:rsidRPr="00CB34A3">
              <w:rPr>
                <w:sz w:val="18"/>
                <w:lang w:val="en-GB"/>
              </w:rPr>
              <w:t>Establish processes for bringing the LAG local knowledge and contacts to the service of the evaluation</w:t>
            </w:r>
          </w:p>
          <w:p w14:paraId="20399886" w14:textId="77777777" w:rsidR="0044105B" w:rsidRPr="003726BE" w:rsidRDefault="0044105B" w:rsidP="00F61AC5">
            <w:pPr>
              <w:pStyle w:val="Hlistbullet"/>
              <w:spacing w:after="60"/>
              <w:rPr>
                <w:sz w:val="18"/>
                <w:szCs w:val="18"/>
              </w:rPr>
            </w:pPr>
            <w:r w:rsidRPr="003726BE">
              <w:rPr>
                <w:sz w:val="18"/>
              </w:rPr>
              <w:t>LAG level operations database</w:t>
            </w:r>
          </w:p>
          <w:p w14:paraId="5C9D2026" w14:textId="77777777" w:rsidR="005B09B8" w:rsidRPr="00CB34A3" w:rsidRDefault="005B09B8" w:rsidP="00F61AC5">
            <w:pPr>
              <w:pStyle w:val="Hlistbullet"/>
              <w:spacing w:after="60"/>
              <w:rPr>
                <w:sz w:val="18"/>
                <w:szCs w:val="18"/>
                <w:lang w:val="en-GB"/>
              </w:rPr>
            </w:pPr>
            <w:r w:rsidRPr="00CB34A3">
              <w:rPr>
                <w:sz w:val="18"/>
                <w:lang w:val="en-GB"/>
              </w:rPr>
              <w:t>Establish processes for feeding into the self-assessment and the outcomes of CLLD strategy into the evaluation</w:t>
            </w:r>
          </w:p>
          <w:p w14:paraId="12E738FC" w14:textId="77777777" w:rsidR="005B09B8" w:rsidRPr="00CB34A3" w:rsidRDefault="005B09B8" w:rsidP="00F61AC5">
            <w:pPr>
              <w:pStyle w:val="Hlistbullet"/>
              <w:spacing w:after="60"/>
              <w:rPr>
                <w:lang w:val="en-GB"/>
              </w:rPr>
            </w:pPr>
            <w:r w:rsidRPr="00CB34A3">
              <w:rPr>
                <w:sz w:val="18"/>
                <w:lang w:val="en-GB"/>
              </w:rPr>
              <w:t>Encourage the participation of LAG members in the evaluation steering groups</w:t>
            </w:r>
          </w:p>
        </w:tc>
      </w:tr>
      <w:tr w:rsidR="005B09B8" w:rsidRPr="00F61F42" w14:paraId="2DC4E941" w14:textId="77777777" w:rsidTr="008F72F4">
        <w:trPr>
          <w:jc w:val="center"/>
        </w:trPr>
        <w:tc>
          <w:tcPr>
            <w:tcW w:w="1696" w:type="dxa"/>
            <w:shd w:val="clear" w:color="auto" w:fill="auto"/>
          </w:tcPr>
          <w:p w14:paraId="4E9F42F6" w14:textId="77777777" w:rsidR="005B09B8" w:rsidRPr="003726BE" w:rsidRDefault="005B09B8" w:rsidP="005B09B8">
            <w:pPr>
              <w:pStyle w:val="Htableleft"/>
              <w:rPr>
                <w:rFonts w:cs="Arial"/>
              </w:rPr>
            </w:pPr>
            <w:r w:rsidRPr="003726BE">
              <w:t>NRNs</w:t>
            </w:r>
          </w:p>
        </w:tc>
        <w:tc>
          <w:tcPr>
            <w:tcW w:w="7366" w:type="dxa"/>
            <w:shd w:val="clear" w:color="auto" w:fill="auto"/>
          </w:tcPr>
          <w:p w14:paraId="4ED8C1EA" w14:textId="77777777" w:rsidR="005B09B8" w:rsidRPr="00CB34A3" w:rsidRDefault="005B09B8" w:rsidP="00F61AC5">
            <w:pPr>
              <w:pStyle w:val="Hlistbullet"/>
              <w:spacing w:after="60"/>
              <w:rPr>
                <w:sz w:val="18"/>
                <w:szCs w:val="18"/>
                <w:lang w:val="en-GB"/>
              </w:rPr>
            </w:pPr>
            <w:r w:rsidRPr="00CB34A3">
              <w:rPr>
                <w:sz w:val="18"/>
                <w:lang w:val="en-GB"/>
              </w:rPr>
              <w:t>Establish an effective and transparent system for disseminating evaluation results</w:t>
            </w:r>
          </w:p>
          <w:p w14:paraId="6C941315" w14:textId="77777777" w:rsidR="005B09B8" w:rsidRPr="00CB34A3" w:rsidRDefault="005B09B8" w:rsidP="00F61AC5">
            <w:pPr>
              <w:pStyle w:val="Hlistbullet"/>
              <w:spacing w:after="60"/>
              <w:rPr>
                <w:sz w:val="18"/>
                <w:szCs w:val="18"/>
                <w:lang w:val="en-GB"/>
              </w:rPr>
            </w:pPr>
            <w:r w:rsidRPr="00CB34A3">
              <w:rPr>
                <w:sz w:val="18"/>
                <w:lang w:val="en-GB"/>
              </w:rPr>
              <w:t>Facilitate contacts and provide advice to evaluators on alternative data sources and other data requirements</w:t>
            </w:r>
          </w:p>
          <w:p w14:paraId="07AD0E1C" w14:textId="77777777" w:rsidR="005B09B8" w:rsidRPr="00CB34A3" w:rsidRDefault="005B09B8" w:rsidP="00F61AC5">
            <w:pPr>
              <w:pStyle w:val="Hlistbullet"/>
              <w:spacing w:after="60"/>
              <w:rPr>
                <w:sz w:val="18"/>
                <w:szCs w:val="18"/>
                <w:lang w:val="en-GB"/>
              </w:rPr>
            </w:pPr>
            <w:r w:rsidRPr="00CB34A3">
              <w:rPr>
                <w:sz w:val="18"/>
                <w:lang w:val="en-GB"/>
              </w:rPr>
              <w:t>Establish mechanisms to transfer knowledge on monitoring and evaluation from one country or region to another, including the provision of capacity building to evaluators</w:t>
            </w:r>
          </w:p>
          <w:p w14:paraId="1502F6DB" w14:textId="77777777" w:rsidR="005B09B8" w:rsidRPr="00CB34A3" w:rsidRDefault="005B09B8" w:rsidP="00F61AC5">
            <w:pPr>
              <w:pStyle w:val="Hlistbullet"/>
              <w:spacing w:after="60"/>
              <w:rPr>
                <w:lang w:val="en-GB"/>
              </w:rPr>
            </w:pPr>
            <w:r w:rsidRPr="00CB34A3">
              <w:rPr>
                <w:sz w:val="18"/>
                <w:lang w:val="en-GB"/>
              </w:rPr>
              <w:t>Develop a system for the establishment of regional proxies when only national data is available for indicators</w:t>
            </w:r>
          </w:p>
        </w:tc>
      </w:tr>
      <w:tr w:rsidR="005B09B8" w:rsidRPr="00F61F42" w14:paraId="19301BC0" w14:textId="77777777" w:rsidTr="008F72F4">
        <w:trPr>
          <w:jc w:val="center"/>
        </w:trPr>
        <w:tc>
          <w:tcPr>
            <w:tcW w:w="1696" w:type="dxa"/>
            <w:shd w:val="clear" w:color="auto" w:fill="auto"/>
          </w:tcPr>
          <w:p w14:paraId="76353734" w14:textId="77777777" w:rsidR="005B09B8" w:rsidRPr="003726BE" w:rsidRDefault="005B09B8" w:rsidP="005B09B8">
            <w:pPr>
              <w:pStyle w:val="Htableleft"/>
              <w:rPr>
                <w:rFonts w:cs="Arial"/>
              </w:rPr>
            </w:pPr>
            <w:r w:rsidRPr="003726BE">
              <w:t>Regional governments and agencies</w:t>
            </w:r>
          </w:p>
        </w:tc>
        <w:tc>
          <w:tcPr>
            <w:tcW w:w="7366" w:type="dxa"/>
            <w:shd w:val="clear" w:color="auto" w:fill="auto"/>
          </w:tcPr>
          <w:p w14:paraId="7293C8DD" w14:textId="77777777" w:rsidR="005B09B8" w:rsidRPr="00CB34A3" w:rsidRDefault="005B09B8" w:rsidP="00F61AC5">
            <w:pPr>
              <w:pStyle w:val="Hlistbullet"/>
              <w:spacing w:after="60"/>
              <w:rPr>
                <w:sz w:val="18"/>
                <w:szCs w:val="18"/>
                <w:lang w:val="en-GB"/>
              </w:rPr>
            </w:pPr>
            <w:r w:rsidRPr="00CB34A3">
              <w:rPr>
                <w:sz w:val="18"/>
                <w:lang w:val="en-GB"/>
              </w:rPr>
              <w:t>Establish a process of communication with the Managing Authority and Paying Agency to provide help in addressing any data requirements</w:t>
            </w:r>
          </w:p>
          <w:p w14:paraId="2A8DB39B" w14:textId="77777777" w:rsidR="005B09B8" w:rsidRPr="00CB34A3" w:rsidRDefault="005B09B8" w:rsidP="00F61AC5">
            <w:pPr>
              <w:pStyle w:val="Hlistbullet"/>
              <w:spacing w:after="60"/>
              <w:rPr>
                <w:sz w:val="18"/>
                <w:szCs w:val="18"/>
                <w:lang w:val="en-GB"/>
              </w:rPr>
            </w:pPr>
            <w:r w:rsidRPr="00CB34A3">
              <w:rPr>
                <w:sz w:val="18"/>
                <w:lang w:val="en-GB"/>
              </w:rPr>
              <w:t>Adapt their data collection systems to the monitoring and data collection requirements of the RDPs and feed them into or build an interface with the Managing Authority's systems</w:t>
            </w:r>
          </w:p>
        </w:tc>
      </w:tr>
      <w:tr w:rsidR="005B09B8" w:rsidRPr="00F61F42" w14:paraId="5FDB166F" w14:textId="77777777" w:rsidTr="008F72F4">
        <w:trPr>
          <w:jc w:val="center"/>
        </w:trPr>
        <w:tc>
          <w:tcPr>
            <w:tcW w:w="1696" w:type="dxa"/>
            <w:shd w:val="clear" w:color="auto" w:fill="auto"/>
          </w:tcPr>
          <w:p w14:paraId="65A55171" w14:textId="77777777" w:rsidR="005B09B8" w:rsidRPr="003726BE" w:rsidRDefault="005B09B8" w:rsidP="005B09B8">
            <w:pPr>
              <w:pStyle w:val="Htableleft"/>
              <w:rPr>
                <w:rFonts w:cs="Arial"/>
              </w:rPr>
            </w:pPr>
            <w:r w:rsidRPr="003726BE">
              <w:t>Data providers</w:t>
            </w:r>
          </w:p>
        </w:tc>
        <w:tc>
          <w:tcPr>
            <w:tcW w:w="7366" w:type="dxa"/>
            <w:shd w:val="clear" w:color="auto" w:fill="auto"/>
          </w:tcPr>
          <w:p w14:paraId="12323AD7" w14:textId="77777777" w:rsidR="005B09B8" w:rsidRPr="00CB34A3" w:rsidRDefault="005B09B8" w:rsidP="00F61AC5">
            <w:pPr>
              <w:pStyle w:val="Hlistbullet"/>
              <w:spacing w:after="60"/>
              <w:rPr>
                <w:sz w:val="18"/>
                <w:szCs w:val="18"/>
                <w:lang w:val="en-GB"/>
              </w:rPr>
            </w:pPr>
            <w:r w:rsidRPr="00CB34A3">
              <w:rPr>
                <w:sz w:val="18"/>
                <w:lang w:val="en-GB"/>
              </w:rPr>
              <w:t>Provide data of relevance to RDPs and the results of research on relevant topics to evaluators</w:t>
            </w:r>
          </w:p>
          <w:p w14:paraId="2C07F4F7" w14:textId="77777777" w:rsidR="005B09B8" w:rsidRPr="00CB34A3" w:rsidRDefault="005B09B8" w:rsidP="00F61AC5">
            <w:pPr>
              <w:pStyle w:val="Hlistbullet"/>
              <w:spacing w:after="60"/>
              <w:rPr>
                <w:sz w:val="18"/>
                <w:szCs w:val="18"/>
                <w:lang w:val="en-GB"/>
              </w:rPr>
            </w:pPr>
            <w:r w:rsidRPr="00CB34A3">
              <w:rPr>
                <w:sz w:val="18"/>
                <w:lang w:val="en-GB"/>
              </w:rPr>
              <w:t>Provide expert knowledge and even collect specific monitoring data for the Managing Authority (possibly on a contractual basis)</w:t>
            </w:r>
          </w:p>
          <w:p w14:paraId="484D7DAC" w14:textId="77777777" w:rsidR="005B09B8" w:rsidRPr="00CB34A3" w:rsidRDefault="005B09B8" w:rsidP="00F61AC5">
            <w:pPr>
              <w:pStyle w:val="Hlistbullet"/>
              <w:spacing w:after="60"/>
              <w:rPr>
                <w:sz w:val="18"/>
                <w:szCs w:val="18"/>
                <w:lang w:val="en-GB"/>
              </w:rPr>
            </w:pPr>
            <w:r w:rsidRPr="00CB34A3">
              <w:rPr>
                <w:sz w:val="18"/>
                <w:lang w:val="en-GB"/>
              </w:rPr>
              <w:t>Encourage the participation of data providers in evaluation steering groups and/or the Monitoring Committee</w:t>
            </w:r>
          </w:p>
        </w:tc>
      </w:tr>
      <w:tr w:rsidR="005B09B8" w:rsidRPr="00F61F42" w14:paraId="1F18BC62" w14:textId="77777777" w:rsidTr="008F72F4">
        <w:trPr>
          <w:jc w:val="center"/>
        </w:trPr>
        <w:tc>
          <w:tcPr>
            <w:tcW w:w="1696" w:type="dxa"/>
            <w:shd w:val="clear" w:color="auto" w:fill="auto"/>
          </w:tcPr>
          <w:p w14:paraId="72F89030" w14:textId="77777777" w:rsidR="005B09B8" w:rsidRPr="003726BE" w:rsidRDefault="005B09B8" w:rsidP="005B09B8">
            <w:pPr>
              <w:pStyle w:val="Htableleft"/>
              <w:rPr>
                <w:rFonts w:cs="Arial"/>
              </w:rPr>
            </w:pPr>
            <w:r w:rsidRPr="003726BE">
              <w:t>Evaluators</w:t>
            </w:r>
          </w:p>
        </w:tc>
        <w:tc>
          <w:tcPr>
            <w:tcW w:w="7366" w:type="dxa"/>
            <w:shd w:val="clear" w:color="auto" w:fill="auto"/>
          </w:tcPr>
          <w:p w14:paraId="44C088E8" w14:textId="77777777" w:rsidR="005B09B8" w:rsidRPr="00CB34A3" w:rsidRDefault="005B09B8" w:rsidP="00F61AC5">
            <w:pPr>
              <w:pStyle w:val="Hlistbullet"/>
              <w:spacing w:after="60"/>
              <w:rPr>
                <w:sz w:val="18"/>
                <w:szCs w:val="18"/>
                <w:lang w:val="en-GB"/>
              </w:rPr>
            </w:pPr>
            <w:r w:rsidRPr="00CB34A3">
              <w:rPr>
                <w:sz w:val="18"/>
                <w:lang w:val="en-GB"/>
              </w:rPr>
              <w:t xml:space="preserve">Ensure capacities and expertise appropriate to the evaluation type and topic </w:t>
            </w:r>
          </w:p>
          <w:p w14:paraId="295115B5" w14:textId="77777777" w:rsidR="005B09B8" w:rsidRPr="00CB34A3" w:rsidRDefault="005B09B8" w:rsidP="00F61AC5">
            <w:pPr>
              <w:pStyle w:val="Hlistbullet"/>
              <w:spacing w:after="60"/>
              <w:rPr>
                <w:sz w:val="18"/>
                <w:szCs w:val="18"/>
                <w:lang w:val="en-GB"/>
              </w:rPr>
            </w:pPr>
            <w:r w:rsidRPr="00CB34A3">
              <w:rPr>
                <w:sz w:val="18"/>
                <w:lang w:val="en-GB"/>
              </w:rPr>
              <w:lastRenderedPageBreak/>
              <w:t>Set up evaluation teams with capacities to implement the necessary evaluation methods (quantitative, qualitative)</w:t>
            </w:r>
          </w:p>
          <w:p w14:paraId="26BA8A09" w14:textId="77777777" w:rsidR="005B09B8" w:rsidRPr="00CB34A3" w:rsidRDefault="005B09B8" w:rsidP="00F61AC5">
            <w:pPr>
              <w:pStyle w:val="Hlistbullet"/>
              <w:spacing w:after="60"/>
              <w:rPr>
                <w:sz w:val="18"/>
                <w:szCs w:val="18"/>
                <w:lang w:val="en-GB"/>
              </w:rPr>
            </w:pPr>
            <w:r w:rsidRPr="00CB34A3">
              <w:rPr>
                <w:sz w:val="18"/>
                <w:lang w:val="en-GB"/>
              </w:rPr>
              <w:t>Establish a continuous interface with the Managing Authority for the timely collection of data, the identification of data gaps and solutions to bridge them</w:t>
            </w:r>
          </w:p>
          <w:p w14:paraId="5D4E4778" w14:textId="77777777" w:rsidR="005B09B8" w:rsidRPr="00CB34A3" w:rsidRDefault="005B09B8" w:rsidP="00F61AC5">
            <w:pPr>
              <w:pStyle w:val="Hlistbullet"/>
              <w:spacing w:after="60"/>
              <w:rPr>
                <w:lang w:val="en-GB"/>
              </w:rPr>
            </w:pPr>
            <w:r w:rsidRPr="00CB34A3">
              <w:rPr>
                <w:sz w:val="18"/>
                <w:lang w:val="en-GB"/>
              </w:rPr>
              <w:t>Evaluators often have considerable experience with data collection and access to different data sources. Such experience can be brought into the evaluation teams to address any difficulties to access data.</w:t>
            </w:r>
          </w:p>
        </w:tc>
      </w:tr>
    </w:tbl>
    <w:p w14:paraId="12FFC3C3" w14:textId="77777777" w:rsidR="005B09B8" w:rsidRPr="00CB34A3" w:rsidRDefault="005B09B8" w:rsidP="00C147EB">
      <w:pPr>
        <w:pStyle w:val="HHeading5"/>
        <w:rPr>
          <w:rFonts w:cs="Arial"/>
          <w:lang w:val="en-GB"/>
        </w:rPr>
      </w:pPr>
      <w:r w:rsidRPr="00CB34A3">
        <w:rPr>
          <w:lang w:val="en-GB"/>
        </w:rPr>
        <w:lastRenderedPageBreak/>
        <w:t>Specificities of LEADER</w:t>
      </w:r>
    </w:p>
    <w:p w14:paraId="7905C03E" w14:textId="77777777" w:rsidR="005B09B8" w:rsidRPr="00CB34A3" w:rsidRDefault="005B09B8" w:rsidP="00673940">
      <w:pPr>
        <w:pStyle w:val="HStandard"/>
        <w:rPr>
          <w:rFonts w:cs="Arial"/>
          <w:lang w:val="en-GB"/>
        </w:rPr>
      </w:pPr>
      <w:r w:rsidRPr="00CB34A3">
        <w:rPr>
          <w:lang w:val="en-GB"/>
        </w:rPr>
        <w:t>Data on operations implemented through the CLLD strategy are collected via the LAG level operations database for output indicators and for target indicators for the focus areas to which operations have secondary contributions. The challenge will be to collect data which relate to complementary result indicators or additional indicators used to answer focus area-related EQs where CLLD strategy´s operations are contributing. In this case, sampling will need to be applied and the data will be collected through surveys on the CLLD strategies beneficiaries at the LAG level.</w:t>
      </w:r>
    </w:p>
    <w:p w14:paraId="6CACF166" w14:textId="77777777" w:rsidR="005B09B8" w:rsidRPr="00CB34A3" w:rsidRDefault="005B09B8" w:rsidP="00673940">
      <w:pPr>
        <w:pStyle w:val="HStandard"/>
        <w:rPr>
          <w:rFonts w:cs="Arial"/>
          <w:lang w:val="en-GB"/>
        </w:rPr>
      </w:pPr>
      <w:r w:rsidRPr="00CB34A3">
        <w:rPr>
          <w:lang w:val="en-GB"/>
        </w:rPr>
        <w:t>In the case of the CLLD strategies specific intervention logic, the LAG should develop feasible indicators and ensure the data collection itself.</w:t>
      </w:r>
    </w:p>
    <w:p w14:paraId="41B5BF08" w14:textId="77777777" w:rsidR="005B09B8" w:rsidRPr="00CB34A3" w:rsidRDefault="005B09B8" w:rsidP="00C147EB">
      <w:pPr>
        <w:pStyle w:val="HHeading5"/>
        <w:rPr>
          <w:rFonts w:cs="Arial"/>
          <w:lang w:val="en-GB"/>
        </w:rPr>
      </w:pPr>
      <w:r w:rsidRPr="00CB34A3">
        <w:rPr>
          <w:lang w:val="en-GB"/>
        </w:rPr>
        <w:t xml:space="preserve">Specificities of TA </w:t>
      </w:r>
    </w:p>
    <w:p w14:paraId="746E5BD0" w14:textId="77777777" w:rsidR="005B09B8" w:rsidRPr="00CB34A3" w:rsidRDefault="005B09B8" w:rsidP="00673940">
      <w:pPr>
        <w:pStyle w:val="HStandard"/>
        <w:rPr>
          <w:rFonts w:cs="Arial"/>
          <w:lang w:val="en-GB"/>
        </w:rPr>
      </w:pPr>
      <w:r w:rsidRPr="00CB34A3">
        <w:rPr>
          <w:lang w:val="en-GB"/>
        </w:rPr>
        <w:t>It is expected that mainly qualitative methods will be used in the evaluation of TA actions. This will require collecting mainly information from RDP stakeholders using qualitative tools, such as interview</w:t>
      </w:r>
      <w:r w:rsidR="006217D2">
        <w:rPr>
          <w:lang w:val="en-GB"/>
        </w:rPr>
        <w:t xml:space="preserve">s, surveys, focus groups, etc. </w:t>
      </w:r>
      <w:r w:rsidRPr="00CB34A3">
        <w:rPr>
          <w:lang w:val="en-GB"/>
        </w:rPr>
        <w:t>Data on accomplished actions divided by type and information needed in the assessment may be collected by programme authorities and used by the evaluator in additio</w:t>
      </w:r>
      <w:r w:rsidR="006217D2">
        <w:rPr>
          <w:lang w:val="en-GB"/>
        </w:rPr>
        <w:t>n to qualitative information.</w:t>
      </w:r>
    </w:p>
    <w:p w14:paraId="48C52676" w14:textId="77777777" w:rsidR="005B09B8" w:rsidRPr="00CB34A3" w:rsidRDefault="005B09B8" w:rsidP="00C147EB">
      <w:pPr>
        <w:pStyle w:val="HHeading5"/>
        <w:rPr>
          <w:rFonts w:cs="Arial"/>
          <w:lang w:val="en-GB"/>
        </w:rPr>
      </w:pPr>
      <w:r w:rsidRPr="00CB34A3">
        <w:rPr>
          <w:lang w:val="en-GB"/>
        </w:rPr>
        <w:t>Specificities of the NRN</w:t>
      </w:r>
    </w:p>
    <w:p w14:paraId="4E6145EC" w14:textId="77777777" w:rsidR="005B09B8" w:rsidRPr="00CB34A3" w:rsidRDefault="005B09B8" w:rsidP="00673940">
      <w:pPr>
        <w:pStyle w:val="HStandard"/>
        <w:rPr>
          <w:rFonts w:cs="Arial"/>
          <w:lang w:val="en-GB"/>
        </w:rPr>
      </w:pPr>
      <w:r w:rsidRPr="00CB34A3">
        <w:rPr>
          <w:lang w:val="en-GB"/>
        </w:rPr>
        <w:t>In the case of the NRN, the data on activities implemented via the action plan will be used from the monitoring system. The evaluator will have to use a sample in order to obtain data for NRN-specific result indicators. In addition, it is expected that qualitative information will be collected and analysed using qualitative methods. More information will be provided in this respect in the Guideli</w:t>
      </w:r>
      <w:r w:rsidR="006217D2">
        <w:rPr>
          <w:lang w:val="en-GB"/>
        </w:rPr>
        <w:t xml:space="preserve">nes on the evaluation of NRNs. </w:t>
      </w:r>
    </w:p>
    <w:p w14:paraId="04C44C66" w14:textId="77777777" w:rsidR="005B09B8" w:rsidRPr="00CB34A3" w:rsidRDefault="00836472" w:rsidP="00FF0E20">
      <w:pPr>
        <w:pStyle w:val="HHeading3"/>
        <w:tabs>
          <w:tab w:val="clear" w:pos="567"/>
          <w:tab w:val="clear" w:pos="720"/>
        </w:tabs>
        <w:rPr>
          <w:rFonts w:cs="Arial"/>
          <w:lang w:val="en-GB"/>
        </w:rPr>
      </w:pPr>
      <w:bookmarkStart w:id="111" w:name="_Toc460936120"/>
      <w:bookmarkStart w:id="112" w:name="_Toc474132160"/>
      <w:r w:rsidRPr="00CB34A3">
        <w:rPr>
          <w:lang w:val="en-GB"/>
        </w:rPr>
        <w:t>Manage and collect data for evaluation</w:t>
      </w:r>
      <w:bookmarkEnd w:id="111"/>
      <w:bookmarkEnd w:id="112"/>
      <w:r w:rsidRPr="00CB34A3">
        <w:rPr>
          <w:lang w:val="en-GB"/>
        </w:rPr>
        <w:t xml:space="preserve"> </w:t>
      </w:r>
    </w:p>
    <w:tbl>
      <w:tblPr>
        <w:tblStyle w:val="TableGrid"/>
        <w:tblW w:w="9071" w:type="dxa"/>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9071"/>
      </w:tblGrid>
      <w:tr w:rsidR="00673940" w:rsidRPr="00F61F42" w14:paraId="7A3A27B6" w14:textId="77777777" w:rsidTr="004E4415">
        <w:trPr>
          <w:jc w:val="center"/>
        </w:trPr>
        <w:tc>
          <w:tcPr>
            <w:tcW w:w="9071" w:type="dxa"/>
            <w:tcBorders>
              <w:bottom w:val="single" w:sz="4" w:space="0" w:color="6F6F6F" w:themeColor="text1"/>
            </w:tcBorders>
            <w:shd w:val="clear" w:color="auto" w:fill="F6B183" w:themeFill="background2" w:themeFillTint="99"/>
          </w:tcPr>
          <w:p w14:paraId="79B39A7A" w14:textId="77777777" w:rsidR="00CB507F" w:rsidRPr="00CB34A3" w:rsidRDefault="00CB507F" w:rsidP="00DC3A5A">
            <w:pPr>
              <w:pStyle w:val="HStandard"/>
              <w:jc w:val="left"/>
              <w:rPr>
                <w:rFonts w:cs="Arial"/>
                <w:lang w:val="en-GB"/>
              </w:rPr>
            </w:pPr>
            <w:r w:rsidRPr="00CB34A3">
              <w:rPr>
                <w:lang w:val="en-GB"/>
              </w:rPr>
              <w:t>The fundamental condition of effective data management is the establishment of functioning and solid databases, which allows for the collection of high quality data in a timely and available fashion. For each evaluation exercise it is important to create a database, which starts with the baseline data concerning all common and programme-specific indicators (context, output, results, including the complementary result indicators, targets, and financial data) on both RDP beneficiaries and their control groups. The baseline database needs to be linked and harmonised with the monitoring system (operations database), which collects both monitoring and evaluation data on beneficiaries.</w:t>
            </w:r>
          </w:p>
        </w:tc>
      </w:tr>
      <w:tr w:rsidR="00CB507F" w:rsidRPr="00F61F42" w14:paraId="6FBAE238" w14:textId="77777777" w:rsidTr="004E4415">
        <w:trPr>
          <w:jc w:val="center"/>
        </w:trPr>
        <w:tc>
          <w:tcPr>
            <w:tcW w:w="9071" w:type="dxa"/>
            <w:shd w:val="clear" w:color="auto" w:fill="FCE5D5" w:themeFill="background2" w:themeFillTint="33"/>
          </w:tcPr>
          <w:p w14:paraId="241278D0" w14:textId="77777777" w:rsidR="00CB507F" w:rsidRPr="003726BE" w:rsidRDefault="00CB507F" w:rsidP="00DC3A5A">
            <w:pPr>
              <w:pStyle w:val="HHeading5"/>
              <w:rPr>
                <w:rFonts w:cs="Arial"/>
              </w:rPr>
            </w:pPr>
            <w:r w:rsidRPr="003726BE">
              <w:t>Recommended working steps:</w:t>
            </w:r>
          </w:p>
          <w:p w14:paraId="73B19B9A" w14:textId="77777777" w:rsidR="00CB507F" w:rsidRPr="00CB34A3" w:rsidRDefault="00CB507F" w:rsidP="00DC3A5A">
            <w:pPr>
              <w:pStyle w:val="Hlistbullet"/>
              <w:jc w:val="left"/>
              <w:rPr>
                <w:lang w:val="en-GB"/>
              </w:rPr>
            </w:pPr>
            <w:r w:rsidRPr="00CB34A3">
              <w:rPr>
                <w:b/>
                <w:lang w:val="en-GB"/>
              </w:rPr>
              <w:t>Allocate clear data collection responsibilities in order to clarify who is responsible for the collection of various types data for indicators</w:t>
            </w:r>
            <w:r w:rsidRPr="00CB34A3">
              <w:rPr>
                <w:lang w:val="en-GB"/>
              </w:rPr>
              <w:t xml:space="preserve"> (Context, Output, Result-Target, Complementary Result, and Impact):</w:t>
            </w:r>
          </w:p>
          <w:p w14:paraId="7FAB4D31" w14:textId="77777777" w:rsidR="00CB507F" w:rsidRPr="00CB34A3" w:rsidRDefault="00CB507F" w:rsidP="00DC3A5A">
            <w:pPr>
              <w:pStyle w:val="Hlistbullet2"/>
              <w:jc w:val="left"/>
              <w:rPr>
                <w:lang w:val="en-GB"/>
              </w:rPr>
            </w:pPr>
            <w:r w:rsidRPr="00CB34A3">
              <w:rPr>
                <w:lang w:val="en-GB"/>
              </w:rPr>
              <w:t xml:space="preserve">collecting primary disaggregated data at application level, or through the payment request </w:t>
            </w:r>
            <w:r w:rsidRPr="00CB34A3">
              <w:rPr>
                <w:lang w:val="en-GB"/>
              </w:rPr>
              <w:lastRenderedPageBreak/>
              <w:t>after project finalisation</w:t>
            </w:r>
          </w:p>
          <w:p w14:paraId="69BD4084" w14:textId="77777777" w:rsidR="00CB507F" w:rsidRPr="00CB34A3" w:rsidRDefault="00CB507F" w:rsidP="00DC3A5A">
            <w:pPr>
              <w:pStyle w:val="Hlistbullet2"/>
              <w:jc w:val="left"/>
              <w:rPr>
                <w:lang w:val="en-GB"/>
              </w:rPr>
            </w:pPr>
            <w:r w:rsidRPr="00CB34A3">
              <w:rPr>
                <w:lang w:val="en-GB"/>
              </w:rPr>
              <w:t>transmitting or uploading disaggregated data at pre-defined time and frequency</w:t>
            </w:r>
          </w:p>
          <w:p w14:paraId="1C610190" w14:textId="77777777" w:rsidR="00CB507F" w:rsidRPr="00CB34A3" w:rsidRDefault="00CB507F" w:rsidP="00DC3A5A">
            <w:pPr>
              <w:pStyle w:val="Hlistbullet2"/>
              <w:jc w:val="left"/>
              <w:rPr>
                <w:lang w:val="en-GB"/>
              </w:rPr>
            </w:pPr>
            <w:r w:rsidRPr="00CB34A3">
              <w:rPr>
                <w:lang w:val="en-GB"/>
              </w:rPr>
              <w:t>inspecting data for abnormal and missing values (quality control)</w:t>
            </w:r>
          </w:p>
          <w:p w14:paraId="5085C395" w14:textId="77777777" w:rsidR="00CB507F" w:rsidRPr="00CB34A3" w:rsidRDefault="00CB507F" w:rsidP="00DC3A5A">
            <w:pPr>
              <w:pStyle w:val="Hlistbullet2"/>
              <w:jc w:val="left"/>
              <w:rPr>
                <w:lang w:val="en-GB"/>
              </w:rPr>
            </w:pPr>
            <w:r w:rsidRPr="00CB34A3">
              <w:rPr>
                <w:lang w:val="en-GB"/>
              </w:rPr>
              <w:t>aggregating data according to spatial units and the Member State level</w:t>
            </w:r>
          </w:p>
          <w:p w14:paraId="36AD15E7" w14:textId="77777777" w:rsidR="00CB507F" w:rsidRPr="003726BE" w:rsidRDefault="00CB507F" w:rsidP="00DC3A5A">
            <w:pPr>
              <w:pStyle w:val="Hlistbullet2"/>
              <w:jc w:val="left"/>
            </w:pPr>
            <w:r w:rsidRPr="003726BE">
              <w:t>storing data</w:t>
            </w:r>
          </w:p>
          <w:p w14:paraId="292E128A" w14:textId="77777777" w:rsidR="00CB507F" w:rsidRPr="00CB34A3" w:rsidRDefault="00CB507F" w:rsidP="00DC3A5A">
            <w:pPr>
              <w:pStyle w:val="Hlistbullet"/>
              <w:jc w:val="left"/>
              <w:rPr>
                <w:rFonts w:cs="Arial"/>
                <w:lang w:val="en-GB"/>
              </w:rPr>
            </w:pPr>
            <w:r w:rsidRPr="00CB34A3">
              <w:rPr>
                <w:b/>
                <w:lang w:val="en-GB"/>
              </w:rPr>
              <w:t>Allocate clear data retrieval responsibilities:</w:t>
            </w:r>
            <w:r w:rsidRPr="00CB34A3">
              <w:rPr>
                <w:lang w:val="en-GB"/>
              </w:rPr>
              <w:t xml:space="preserve"> Many indicators (e.g. impact indicators) demand data from Eurostat supported by national statistics. Other evaluation exercises may require anonymised data from European</w:t>
            </w:r>
            <w:r w:rsidRPr="00CB34A3">
              <w:rPr>
                <w:lang w:val="en-GB"/>
              </w:rPr>
              <w:noBreakHyphen/>
              <w:t>wide Eurostat surveys, e.g. the FADN in order to establish counterfactuals or a simple sampling frame. At this stage, the Managing Authority should consult sources from Eurostat and national statistics:</w:t>
            </w:r>
          </w:p>
          <w:p w14:paraId="678A06E1" w14:textId="77777777" w:rsidR="00CB507F" w:rsidRPr="00CB34A3" w:rsidRDefault="00CB507F" w:rsidP="00DC3A5A">
            <w:pPr>
              <w:pStyle w:val="Hlistbullet2"/>
              <w:jc w:val="left"/>
              <w:rPr>
                <w:lang w:val="en-GB"/>
              </w:rPr>
            </w:pPr>
            <w:r w:rsidRPr="00CB34A3">
              <w:rPr>
                <w:lang w:val="en-GB"/>
              </w:rPr>
              <w:t>retrieving data aggregated or disaggregated at pre-defined time and frequency;</w:t>
            </w:r>
          </w:p>
          <w:p w14:paraId="3536E245" w14:textId="77777777" w:rsidR="00CB507F" w:rsidRPr="00CB34A3" w:rsidRDefault="00CB507F" w:rsidP="00DC3A5A">
            <w:pPr>
              <w:pStyle w:val="Hlistbullet2"/>
              <w:jc w:val="left"/>
              <w:rPr>
                <w:lang w:val="en-GB"/>
              </w:rPr>
            </w:pPr>
            <w:r w:rsidRPr="00CB34A3">
              <w:rPr>
                <w:lang w:val="en-GB"/>
              </w:rPr>
              <w:t>inspecting data for abnormal and missing values and communicating with the relevant statistical authorities;</w:t>
            </w:r>
          </w:p>
          <w:p w14:paraId="15934690" w14:textId="77777777" w:rsidR="00CB507F" w:rsidRPr="00CB34A3" w:rsidRDefault="00CB507F" w:rsidP="00DC3A5A">
            <w:pPr>
              <w:pStyle w:val="Hlistbullet2"/>
              <w:jc w:val="left"/>
              <w:rPr>
                <w:lang w:val="en-GB"/>
              </w:rPr>
            </w:pPr>
            <w:r w:rsidRPr="00CB34A3">
              <w:rPr>
                <w:lang w:val="en-GB"/>
              </w:rPr>
              <w:t>storing data and producing a metafile with the information concerning data.</w:t>
            </w:r>
          </w:p>
          <w:p w14:paraId="4E06BF74" w14:textId="77777777" w:rsidR="00CB507F" w:rsidRPr="003726BE" w:rsidRDefault="00CB507F" w:rsidP="00DC3A5A">
            <w:pPr>
              <w:pStyle w:val="Hlistbullet"/>
              <w:jc w:val="left"/>
              <w:rPr>
                <w:rFonts w:cs="Arial"/>
              </w:rPr>
            </w:pPr>
            <w:r w:rsidRPr="00CB34A3">
              <w:rPr>
                <w:b/>
                <w:lang w:val="en-GB"/>
              </w:rPr>
              <w:t>Decide on the necessary primary surveys to be conducted by the evaluator:</w:t>
            </w:r>
            <w:r w:rsidRPr="00CB34A3">
              <w:rPr>
                <w:lang w:val="en-GB"/>
              </w:rPr>
              <w:t xml:space="preserve"> At this stage, the evaluator should have a clear idea of which data are not collected via databases but are necessary to be collected. There will be secondary or unintended effects, which may be judged as non-important and for which a decision not to collect data is made. Field surveys (of any kind) are expensive and time consuming so, make sure that the data under consideration cannot be retrieved from statistical sources and you cannot utilise a secondary analysis of recently collected data. </w:t>
            </w:r>
            <w:r w:rsidRPr="003726BE">
              <w:t>At this stage you should decide on:</w:t>
            </w:r>
          </w:p>
          <w:p w14:paraId="73EBA75E" w14:textId="77777777" w:rsidR="00CB507F" w:rsidRPr="00CB34A3" w:rsidRDefault="00CB507F" w:rsidP="00DC3A5A">
            <w:pPr>
              <w:pStyle w:val="Hlistbullet2"/>
              <w:jc w:val="left"/>
              <w:rPr>
                <w:lang w:val="en-GB"/>
              </w:rPr>
            </w:pPr>
            <w:r w:rsidRPr="00CB34A3">
              <w:rPr>
                <w:lang w:val="en-GB"/>
              </w:rPr>
              <w:t>The scope and objectives of the survey;</w:t>
            </w:r>
          </w:p>
          <w:p w14:paraId="3280C65F" w14:textId="77777777" w:rsidR="00CB507F" w:rsidRPr="00CB34A3" w:rsidRDefault="00CB507F" w:rsidP="00DC3A5A">
            <w:pPr>
              <w:pStyle w:val="Hlistbullet2"/>
              <w:jc w:val="left"/>
              <w:rPr>
                <w:lang w:val="en-GB"/>
              </w:rPr>
            </w:pPr>
            <w:r w:rsidRPr="00CB34A3">
              <w:rPr>
                <w:lang w:val="en-GB"/>
              </w:rPr>
              <w:t>The type of the survey (qualitative-quantitative) taking into account the evaluation methodology chosen;</w:t>
            </w:r>
          </w:p>
          <w:p w14:paraId="114702DB" w14:textId="77777777" w:rsidR="00CB507F" w:rsidRPr="00CB34A3" w:rsidRDefault="00CB507F" w:rsidP="00DC3A5A">
            <w:pPr>
              <w:pStyle w:val="Hlistbullet2"/>
              <w:jc w:val="left"/>
              <w:rPr>
                <w:lang w:val="en-GB"/>
              </w:rPr>
            </w:pPr>
            <w:r w:rsidRPr="00CB34A3">
              <w:rPr>
                <w:lang w:val="en-GB"/>
              </w:rPr>
              <w:t>Statistical data which may serve as a sampling frame (e.g. FADN);</w:t>
            </w:r>
          </w:p>
          <w:p w14:paraId="6C4544F4" w14:textId="77777777" w:rsidR="00CB507F" w:rsidRPr="00CB34A3" w:rsidRDefault="00CB507F" w:rsidP="00DC3A5A">
            <w:pPr>
              <w:pStyle w:val="Hlistbullet2"/>
              <w:jc w:val="left"/>
              <w:rPr>
                <w:lang w:val="en-GB"/>
              </w:rPr>
            </w:pPr>
            <w:r w:rsidRPr="00CB34A3">
              <w:rPr>
                <w:lang w:val="en-GB"/>
              </w:rPr>
              <w:t>Opportunities to merge surveys and minimise the time and cost.</w:t>
            </w:r>
          </w:p>
          <w:p w14:paraId="387323BA" w14:textId="77777777" w:rsidR="00CB507F" w:rsidRPr="00CB34A3" w:rsidRDefault="00CB507F" w:rsidP="00DC3A5A">
            <w:pPr>
              <w:pStyle w:val="Hlistbullet"/>
              <w:jc w:val="left"/>
              <w:rPr>
                <w:rFonts w:cs="Arial"/>
                <w:lang w:val="en-GB"/>
              </w:rPr>
            </w:pPr>
            <w:r w:rsidRPr="00CB34A3">
              <w:rPr>
                <w:b/>
                <w:lang w:val="en-GB"/>
              </w:rPr>
              <w:t>Plan field surveys</w:t>
            </w:r>
            <w:r w:rsidRPr="00CB34A3">
              <w:rPr>
                <w:lang w:val="en-GB"/>
              </w:rPr>
              <w:t>: Field surveys should be planned as early as possible because much of the required baseline data may be retrieved at the time of application.</w:t>
            </w:r>
          </w:p>
          <w:p w14:paraId="342E5D61" w14:textId="77777777" w:rsidR="00CB507F" w:rsidRPr="00CB34A3" w:rsidRDefault="00CB507F" w:rsidP="00DC3A5A">
            <w:pPr>
              <w:pStyle w:val="Hlistbullet"/>
              <w:jc w:val="left"/>
              <w:rPr>
                <w:rFonts w:cs="Arial"/>
                <w:lang w:val="en-GB"/>
              </w:rPr>
            </w:pPr>
            <w:r w:rsidRPr="00CB34A3">
              <w:rPr>
                <w:b/>
                <w:lang w:val="en-GB"/>
              </w:rPr>
              <w:t>Plan qualitative exercises:</w:t>
            </w:r>
            <w:r w:rsidR="006217D2">
              <w:rPr>
                <w:lang w:val="en-GB"/>
              </w:rPr>
              <w:t xml:space="preserve"> </w:t>
            </w:r>
            <w:r w:rsidRPr="00CB34A3">
              <w:rPr>
                <w:lang w:val="en-GB"/>
              </w:rPr>
              <w:t>Most qualitative survey exercises are based on key actors and informed agents. During the time of the programme’s public consultation or the implementation of its various measures, the relevant authorities may have spotted key persons to be included in focus groups, experts to be consulted via in-depth interviews or simply members of key stakeholders that have followed the evolution of the programme and thus can express an informed opinion. All this contact information should be kept in a database of “potential” participants to qualitative studies.</w:t>
            </w:r>
          </w:p>
          <w:p w14:paraId="71C11EAA" w14:textId="77777777" w:rsidR="00CB507F" w:rsidRPr="00CB34A3" w:rsidRDefault="00CB507F" w:rsidP="00DC3A5A">
            <w:pPr>
              <w:pStyle w:val="Hlistbullet"/>
              <w:jc w:val="left"/>
              <w:rPr>
                <w:rFonts w:cs="Arial"/>
                <w:lang w:val="en-GB"/>
              </w:rPr>
            </w:pPr>
            <w:r w:rsidRPr="00CB34A3">
              <w:rPr>
                <w:b/>
                <w:lang w:val="en-GB"/>
              </w:rPr>
              <w:t>Monitor the database:</w:t>
            </w:r>
            <w:r w:rsidRPr="00CB34A3">
              <w:rPr>
                <w:lang w:val="en-GB"/>
              </w:rPr>
              <w:t xml:space="preserve"> The database will require the cooperation among local and regional authorities, various agencies and the central Managing Authority/Paying Agency. The flow of data that are regularly collected or retrieved and the data from surveys should be monitored with milestones starting from the time an AIR should be delivered and going backwards. Close monitoring will flag delays, inconsistencies and lack of clarity in responsibilities very early in the data collection process. For each indicator and for each planned survey there must be an electronic system that will inform and alert the evaluators of any delays or abnormalities. Thus there will be enough time to take corrective action for either the flow of data or its quality.</w:t>
            </w:r>
          </w:p>
          <w:p w14:paraId="18C24417" w14:textId="77777777" w:rsidR="00CB507F" w:rsidRPr="00CB34A3" w:rsidRDefault="00CB507F" w:rsidP="00DC3A5A">
            <w:pPr>
              <w:pStyle w:val="Hlistbullet"/>
              <w:jc w:val="left"/>
              <w:rPr>
                <w:lang w:val="en-GB"/>
              </w:rPr>
            </w:pPr>
            <w:r w:rsidRPr="00CB34A3">
              <w:rPr>
                <w:b/>
                <w:lang w:val="en-GB"/>
              </w:rPr>
              <w:t>Create and maintain a dynamic database:</w:t>
            </w:r>
            <w:r w:rsidRPr="00CB34A3">
              <w:rPr>
                <w:lang w:val="en-GB"/>
              </w:rPr>
              <w:t xml:space="preserve"> Database management and maintenance including security of personal data is of the outmost importance. The evaluators should have access to this database limited with the competence of the given RDP and liaise with database </w:t>
            </w:r>
            <w:r w:rsidRPr="00CB34A3">
              <w:rPr>
                <w:lang w:val="en-GB"/>
              </w:rPr>
              <w:lastRenderedPageBreak/>
              <w:t>managers.</w:t>
            </w:r>
          </w:p>
        </w:tc>
      </w:tr>
      <w:tr w:rsidR="00CB507F" w:rsidRPr="00F61F42" w14:paraId="70152A03" w14:textId="77777777" w:rsidTr="004E4415">
        <w:trPr>
          <w:jc w:val="center"/>
        </w:trPr>
        <w:tc>
          <w:tcPr>
            <w:tcW w:w="9071" w:type="dxa"/>
          </w:tcPr>
          <w:p w14:paraId="6F858390" w14:textId="77777777" w:rsidR="00CB507F" w:rsidRPr="00CB34A3" w:rsidRDefault="00CB507F" w:rsidP="00DC3A5A">
            <w:pPr>
              <w:pStyle w:val="HStandard"/>
              <w:jc w:val="left"/>
              <w:rPr>
                <w:rFonts w:cs="Arial"/>
                <w:lang w:val="en-GB"/>
              </w:rPr>
            </w:pPr>
            <w:r w:rsidRPr="00CB34A3">
              <w:rPr>
                <w:b/>
                <w:lang w:val="en-GB"/>
              </w:rPr>
              <w:lastRenderedPageBreak/>
              <w:t>Expected outcome:</w:t>
            </w:r>
            <w:r w:rsidRPr="00CB34A3">
              <w:rPr>
                <w:lang w:val="en-GB"/>
              </w:rPr>
              <w:t xml:space="preserve"> databases and data management for evaluation</w:t>
            </w:r>
          </w:p>
        </w:tc>
      </w:tr>
    </w:tbl>
    <w:p w14:paraId="76F9BB49" w14:textId="77777777" w:rsidR="005B09B8" w:rsidRPr="00CB34A3" w:rsidRDefault="005B09B8" w:rsidP="00C147EB">
      <w:pPr>
        <w:pStyle w:val="HHeading5"/>
        <w:rPr>
          <w:rFonts w:cs="Arial"/>
          <w:lang w:val="en-GB"/>
        </w:rPr>
      </w:pPr>
      <w:r w:rsidRPr="00CB34A3">
        <w:rPr>
          <w:lang w:val="en-GB"/>
        </w:rPr>
        <w:t>Databases as the basis for proper data management</w:t>
      </w:r>
    </w:p>
    <w:p w14:paraId="6592C5A5" w14:textId="77777777" w:rsidR="00D21CDA" w:rsidRPr="00CB34A3" w:rsidRDefault="005B09B8" w:rsidP="00673940">
      <w:pPr>
        <w:pStyle w:val="HStandard"/>
        <w:rPr>
          <w:rFonts w:cs="Arial"/>
          <w:lang w:val="en-GB"/>
        </w:rPr>
      </w:pPr>
      <w:r w:rsidRPr="00CB34A3">
        <w:rPr>
          <w:lang w:val="en-GB"/>
        </w:rPr>
        <w:t>The evaluator should examine if a specific evaluation task can be accomplished by making use of the existing data sources, or if addition</w:t>
      </w:r>
      <w:r w:rsidR="006217D2">
        <w:rPr>
          <w:lang w:val="en-GB"/>
        </w:rPr>
        <w:t xml:space="preserve">al data needs to be collected. </w:t>
      </w:r>
      <w:r w:rsidRPr="00CB34A3">
        <w:rPr>
          <w:lang w:val="en-GB"/>
        </w:rPr>
        <w:t xml:space="preserve">Additional data might be retrieved from other existing databases, may be collected primarily for the purposes of the evaluation, or may be obtained in the combination of both. For example, the values of impact indicators are collected from EU, national and in some cases regional databases. The dynamic link with these databases can facilitate the data availability. </w:t>
      </w:r>
    </w:p>
    <w:p w14:paraId="4AB53AF5" w14:textId="77777777" w:rsidR="005B09B8" w:rsidRPr="00CB34A3" w:rsidRDefault="005B09B8" w:rsidP="00673940">
      <w:pPr>
        <w:pStyle w:val="HStandard"/>
        <w:rPr>
          <w:rFonts w:cs="Arial"/>
          <w:lang w:val="en-GB"/>
        </w:rPr>
      </w:pPr>
      <w:r w:rsidRPr="00CB34A3">
        <w:rPr>
          <w:lang w:val="en-GB"/>
        </w:rPr>
        <w:t xml:space="preserve">Finally, the response to certain EQ and definitely a response to the question of RDP’s effects may require targeted evaluation research based on counterfactuals (net effects) or macroeconomic modelling (economy wide effects). This calls for a well-planned and tightly monitored system of data collection, data retrieval and survey implementation sets a framework of a dynamic and evolving data management system. </w:t>
      </w:r>
    </w:p>
    <w:p w14:paraId="25A3B80D" w14:textId="77777777" w:rsidR="005B09B8" w:rsidRPr="00CB34A3" w:rsidRDefault="005B09B8" w:rsidP="00673940">
      <w:pPr>
        <w:pStyle w:val="HStandard"/>
        <w:rPr>
          <w:rFonts w:cs="Arial"/>
          <w:lang w:val="en-GB"/>
        </w:rPr>
      </w:pPr>
      <w:r w:rsidRPr="00CB34A3">
        <w:rPr>
          <w:lang w:val="en-GB"/>
        </w:rPr>
        <w:t xml:space="preserve">The baseline database should be solid, but at the same time allow for adjustments which may become necessary due to changing data needs across the programming period. For example, programme-specific indicators could be modified or added at later stages of programme implementation. This also means identifying and collecting more types of data through existing databases and to have a well-functioning and flexible data management system. </w:t>
      </w:r>
    </w:p>
    <w:p w14:paraId="14D8858B" w14:textId="77777777" w:rsidR="005B09B8" w:rsidRPr="00CB34A3" w:rsidRDefault="005B09B8" w:rsidP="00673940">
      <w:pPr>
        <w:pStyle w:val="HStandard"/>
        <w:rPr>
          <w:rFonts w:cs="Arial"/>
          <w:lang w:val="en-GB"/>
        </w:rPr>
      </w:pPr>
      <w:r w:rsidRPr="00CB34A3">
        <w:rPr>
          <w:lang w:val="en-GB"/>
        </w:rPr>
        <w:t>Data primarily collected for the evaluation or accessed from existing databases, together with the baseline database, form a dynamic database which will feed the evaluation process with appropriate data. In the dynamic database, data will be collected across time respecting a panel of indicators. This database will also allow adding data in order to facilitate the evaluation of the RDP’s indirect and unintended effects and provide links with other databases, such as Geographic Identification Systems (GIS), national/regional statistics, etc. to respond to more complex data queries. The following figure provides a decision-making flow for data requirements respecting the purpose of the evaluation.</w:t>
      </w:r>
    </w:p>
    <w:p w14:paraId="5187EF86" w14:textId="77777777" w:rsidR="005B09B8" w:rsidRPr="00CB34A3" w:rsidRDefault="005B09B8" w:rsidP="0010223F">
      <w:pPr>
        <w:pStyle w:val="HHeadingfigures"/>
        <w:rPr>
          <w:lang w:val="en-GB"/>
        </w:rPr>
      </w:pPr>
      <w:bookmarkStart w:id="113" w:name="_Toc460936158"/>
      <w:bookmarkStart w:id="114" w:name="_Toc474132648"/>
      <w:r w:rsidRPr="00CB34A3">
        <w:rPr>
          <w:lang w:val="en-GB"/>
        </w:rPr>
        <w:lastRenderedPageBreak/>
        <w:t>Decision-making process for data requirements and data management.</w:t>
      </w:r>
      <w:bookmarkEnd w:id="113"/>
      <w:bookmarkEnd w:id="114"/>
    </w:p>
    <w:p w14:paraId="66FCD333" w14:textId="77777777" w:rsidR="005B09B8" w:rsidRPr="003726BE" w:rsidRDefault="003228B0" w:rsidP="001A1C0E">
      <w:pPr>
        <w:jc w:val="center"/>
        <w:rPr>
          <w:rFonts w:cs="Arial"/>
        </w:rPr>
      </w:pPr>
      <w:r w:rsidRPr="003726BE">
        <w:rPr>
          <w:rFonts w:cs="Arial"/>
          <w:noProof/>
          <w:lang w:val="en-GB" w:eastAsia="en-GB" w:bidi="ar-SA"/>
        </w:rPr>
        <w:drawing>
          <wp:inline distT="0" distB="0" distL="0" distR="0" wp14:anchorId="2C44177C" wp14:editId="4B45CB76">
            <wp:extent cx="4253267" cy="3348000"/>
            <wp:effectExtent l="0" t="0" r="0" b="508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Dimitris.jpg"/>
                    <pic:cNvPicPr/>
                  </pic:nvPicPr>
                  <pic:blipFill>
                    <a:blip r:embed="rId65" cstate="print">
                      <a:extLst>
                        <a:ext uri="{28A0092B-C50C-407E-A947-70E740481C1C}">
                          <a14:useLocalDpi xmlns:a14="http://schemas.microsoft.com/office/drawing/2010/main"/>
                        </a:ext>
                      </a:extLst>
                    </a:blip>
                    <a:stretch>
                      <a:fillRect/>
                    </a:stretch>
                  </pic:blipFill>
                  <pic:spPr>
                    <a:xfrm>
                      <a:off x="0" y="0"/>
                      <a:ext cx="4253267" cy="3348000"/>
                    </a:xfrm>
                    <a:prstGeom prst="rect">
                      <a:avLst/>
                    </a:prstGeom>
                  </pic:spPr>
                </pic:pic>
              </a:graphicData>
            </a:graphic>
          </wp:inline>
        </w:drawing>
      </w:r>
    </w:p>
    <w:p w14:paraId="0C3F3E79" w14:textId="77777777" w:rsidR="005B09B8" w:rsidRPr="00CB34A3" w:rsidRDefault="005B09B8" w:rsidP="00733E23">
      <w:pPr>
        <w:pStyle w:val="HSource"/>
        <w:rPr>
          <w:rFonts w:cs="Arial"/>
          <w:lang w:val="en-GB"/>
        </w:rPr>
      </w:pPr>
      <w:r w:rsidRPr="00CB34A3">
        <w:rPr>
          <w:lang w:val="en-GB"/>
        </w:rPr>
        <w:t>Source: European Evaluation Helpdesk for rural development, 2015</w:t>
      </w:r>
    </w:p>
    <w:p w14:paraId="714C4D7E" w14:textId="77777777" w:rsidR="004C0D64" w:rsidRPr="00CB34A3" w:rsidRDefault="004C0D64">
      <w:pPr>
        <w:spacing w:before="0" w:after="0" w:line="240" w:lineRule="auto"/>
        <w:jc w:val="left"/>
        <w:rPr>
          <w:rFonts w:cs="Arial"/>
          <w:b/>
          <w:color w:val="57825E"/>
          <w:sz w:val="20"/>
          <w:szCs w:val="20"/>
          <w:lang w:val="en-GB"/>
        </w:rPr>
      </w:pPr>
      <w:r w:rsidRPr="00CB34A3">
        <w:rPr>
          <w:lang w:val="en-GB"/>
        </w:rPr>
        <w:br w:type="page"/>
      </w:r>
    </w:p>
    <w:p w14:paraId="1745DB0E" w14:textId="77777777" w:rsidR="005B09B8" w:rsidRPr="00CB34A3" w:rsidRDefault="005B09B8" w:rsidP="00C147EB">
      <w:pPr>
        <w:pStyle w:val="HHeading5"/>
        <w:rPr>
          <w:rFonts w:cs="Arial"/>
          <w:lang w:val="en-GB"/>
        </w:rPr>
      </w:pPr>
      <w:r w:rsidRPr="00CB34A3">
        <w:rPr>
          <w:lang w:val="en-GB"/>
        </w:rPr>
        <w:lastRenderedPageBreak/>
        <w:t>Further reading</w:t>
      </w:r>
      <w:r w:rsidRPr="00CB34A3">
        <w:rPr>
          <w:lang w:val="en-GB"/>
        </w:rPr>
        <w:tab/>
      </w:r>
    </w:p>
    <w:p w14:paraId="6DF15A5C" w14:textId="77777777" w:rsidR="00733E23" w:rsidRPr="00CB34A3" w:rsidRDefault="00733E23" w:rsidP="00733E23">
      <w:pPr>
        <w:pStyle w:val="HBox"/>
        <w:rPr>
          <w:rStyle w:val="Hyperlink"/>
          <w:lang w:val="en-GB"/>
        </w:rPr>
      </w:pPr>
      <w:r w:rsidRPr="00CB34A3">
        <w:rPr>
          <w:lang w:val="en-GB"/>
        </w:rPr>
        <w:t xml:space="preserve">Commission Implementing Regulation (EU) No 808/2014, </w:t>
      </w:r>
      <w:hyperlink r:id="rId66">
        <w:r w:rsidRPr="00CB34A3">
          <w:rPr>
            <w:rStyle w:val="Hyperlink"/>
            <w:lang w:val="en-GB"/>
          </w:rPr>
          <w:t>http://eur-lex.europa.eu/legal-content/en/ALL/?uri=CELEX:32014R0808</w:t>
        </w:r>
      </w:hyperlink>
    </w:p>
    <w:p w14:paraId="5F24770D" w14:textId="77777777" w:rsidR="00733E23" w:rsidRPr="00CB34A3" w:rsidRDefault="00733E23" w:rsidP="00733E23">
      <w:pPr>
        <w:pStyle w:val="HBox"/>
        <w:rPr>
          <w:rFonts w:cs="Arial"/>
          <w:lang w:val="en-GB"/>
        </w:rPr>
      </w:pPr>
      <w:r w:rsidRPr="00CB34A3">
        <w:rPr>
          <w:lang w:val="en-GB"/>
        </w:rPr>
        <w:t>FADN Database (Eurostat),</w:t>
      </w:r>
    </w:p>
    <w:p w14:paraId="14F822D7" w14:textId="77777777" w:rsidR="00733E23" w:rsidRPr="00CB34A3" w:rsidRDefault="00914903" w:rsidP="00733E23">
      <w:pPr>
        <w:pStyle w:val="HBox"/>
        <w:rPr>
          <w:rStyle w:val="Hyperlink"/>
          <w:lang w:val="en-GB"/>
        </w:rPr>
      </w:pPr>
      <w:hyperlink r:id="rId67">
        <w:r w:rsidR="003571F4" w:rsidRPr="00CB34A3">
          <w:rPr>
            <w:rStyle w:val="Hyperlink"/>
            <w:lang w:val="en-GB"/>
          </w:rPr>
          <w:t>http://ec.europa.eu/agriculture/ricaprod/database/database_en.cfm</w:t>
        </w:r>
      </w:hyperlink>
    </w:p>
    <w:p w14:paraId="0E5D41EA" w14:textId="77777777" w:rsidR="00733E23" w:rsidRPr="00CB34A3" w:rsidRDefault="00F3350F" w:rsidP="00733E23">
      <w:pPr>
        <w:pStyle w:val="HBox"/>
        <w:rPr>
          <w:rFonts w:cs="Arial"/>
          <w:lang w:val="en-GB"/>
        </w:rPr>
      </w:pPr>
      <w:r w:rsidRPr="00CB34A3">
        <w:rPr>
          <w:lang w:val="en-GB"/>
        </w:rPr>
        <w:t xml:space="preserve">National I/O Tables Database (Eurostat), </w:t>
      </w:r>
      <w:hyperlink r:id="rId68">
        <w:r w:rsidRPr="00CB34A3">
          <w:rPr>
            <w:rStyle w:val="Hyperlink"/>
            <w:lang w:val="en-GB"/>
          </w:rPr>
          <w:t>http://ec.europa.eu/eurostat/web/esa-supply-use-input-tables</w:t>
        </w:r>
      </w:hyperlink>
    </w:p>
    <w:p w14:paraId="2AB65D24" w14:textId="77777777" w:rsidR="00733E23" w:rsidRPr="00CB34A3" w:rsidRDefault="00733E23" w:rsidP="00733E23">
      <w:pPr>
        <w:pStyle w:val="HBox"/>
        <w:rPr>
          <w:rFonts w:cs="Arial"/>
          <w:lang w:val="en-GB"/>
        </w:rPr>
      </w:pPr>
      <w:r w:rsidRPr="00CB34A3">
        <w:rPr>
          <w:lang w:val="en-GB"/>
        </w:rPr>
        <w:t xml:space="preserve">GTAP Database, Purdue University, </w:t>
      </w:r>
      <w:hyperlink r:id="rId69">
        <w:r w:rsidRPr="00CB34A3">
          <w:rPr>
            <w:rStyle w:val="Hyperlink"/>
            <w:lang w:val="en-GB"/>
          </w:rPr>
          <w:t>https://www.gtap.agecon.purdue.edu/</w:t>
        </w:r>
      </w:hyperlink>
    </w:p>
    <w:p w14:paraId="311FEB39" w14:textId="77777777" w:rsidR="00733E23" w:rsidRPr="00CB34A3" w:rsidRDefault="00733E23" w:rsidP="00733E23">
      <w:pPr>
        <w:pStyle w:val="HBox"/>
        <w:rPr>
          <w:rFonts w:cs="Arial"/>
          <w:lang w:val="en-GB"/>
        </w:rPr>
      </w:pPr>
      <w:r w:rsidRPr="00CB34A3">
        <w:rPr>
          <w:lang w:val="en-GB"/>
        </w:rPr>
        <w:t xml:space="preserve">EU SILC Database on subjective well-being (Eurostat), </w:t>
      </w:r>
      <w:hyperlink r:id="rId70">
        <w:r w:rsidRPr="00CB34A3">
          <w:rPr>
            <w:rStyle w:val="Hyperlink"/>
            <w:lang w:val="en-GB"/>
          </w:rPr>
          <w:t>http://ec.europa.eu/eurostat/statistics-explained/index.php/Quality_of_life_in_Europe_-_facts_and_views_-_overall_life_satisfaction</w:t>
        </w:r>
      </w:hyperlink>
    </w:p>
    <w:p w14:paraId="308FA593" w14:textId="77777777" w:rsidR="00733E23" w:rsidRPr="00CB34A3" w:rsidRDefault="00733E23" w:rsidP="00733E23">
      <w:pPr>
        <w:pStyle w:val="HBox"/>
        <w:rPr>
          <w:rFonts w:cs="Arial"/>
          <w:lang w:val="en-GB"/>
        </w:rPr>
      </w:pPr>
      <w:r w:rsidRPr="00CB34A3">
        <w:rPr>
          <w:lang w:val="en-GB"/>
        </w:rPr>
        <w:t xml:space="preserve">OECD “How is Life” Database, </w:t>
      </w:r>
      <w:hyperlink r:id="rId71">
        <w:r w:rsidRPr="00CB34A3">
          <w:rPr>
            <w:rStyle w:val="Hyperlink"/>
            <w:lang w:val="en-GB"/>
          </w:rPr>
          <w:t>http://www.oecd.org/statistics/how-s-life-23089679.htm</w:t>
        </w:r>
      </w:hyperlink>
    </w:p>
    <w:p w14:paraId="11CFD744" w14:textId="77777777" w:rsidR="00733E23" w:rsidRPr="00CB34A3" w:rsidRDefault="00733E23" w:rsidP="00733E23">
      <w:pPr>
        <w:pStyle w:val="HBox"/>
        <w:rPr>
          <w:rFonts w:cs="Arial"/>
          <w:lang w:val="en-GB"/>
        </w:rPr>
      </w:pPr>
      <w:r w:rsidRPr="00CB34A3">
        <w:rPr>
          <w:lang w:val="en-GB"/>
        </w:rPr>
        <w:t xml:space="preserve">Gallup-Healthways Global Well-Being Index, </w:t>
      </w:r>
      <w:hyperlink r:id="rId72">
        <w:r w:rsidRPr="00CB34A3">
          <w:rPr>
            <w:rStyle w:val="Hyperlink"/>
            <w:color w:val="auto"/>
            <w:u w:val="none"/>
            <w:lang w:val="en-GB"/>
          </w:rPr>
          <w:t>gallup-healthways global well-being index 2015</w:t>
        </w:r>
      </w:hyperlink>
    </w:p>
    <w:p w14:paraId="6D81FD87" w14:textId="77777777" w:rsidR="005B09B8" w:rsidRPr="00CB34A3" w:rsidRDefault="005B09B8" w:rsidP="00673940">
      <w:pPr>
        <w:pStyle w:val="HStandard"/>
        <w:rPr>
          <w:rFonts w:cs="Arial"/>
          <w:lang w:val="en-GB"/>
        </w:rPr>
      </w:pPr>
    </w:p>
    <w:p w14:paraId="2EE81C3B" w14:textId="77777777" w:rsidR="005B09B8" w:rsidRPr="003726BE" w:rsidRDefault="00971248" w:rsidP="00971248">
      <w:pPr>
        <w:pStyle w:val="HHeading1"/>
        <w:rPr>
          <w:rFonts w:cs="Arial"/>
          <w:caps w:val="0"/>
        </w:rPr>
      </w:pPr>
      <w:bookmarkStart w:id="115" w:name="_Toc460936121"/>
      <w:bookmarkStart w:id="116" w:name="_Toc474132161"/>
      <w:r w:rsidRPr="003726BE">
        <w:rPr>
          <w:caps w:val="0"/>
        </w:rPr>
        <w:lastRenderedPageBreak/>
        <w:t>CONDUCTING THE EVALUATION</w:t>
      </w:r>
      <w:bookmarkEnd w:id="115"/>
      <w:bookmarkEnd w:id="116"/>
    </w:p>
    <w:p w14:paraId="198FC466" w14:textId="77777777" w:rsidR="001564A9" w:rsidRPr="00CB34A3" w:rsidRDefault="00596660" w:rsidP="00673940">
      <w:pPr>
        <w:pStyle w:val="HStandard"/>
        <w:rPr>
          <w:rFonts w:cs="Arial"/>
          <w:lang w:val="en-GB"/>
        </w:rPr>
      </w:pPr>
      <w:r w:rsidRPr="00CB34A3">
        <w:rPr>
          <w:lang w:val="en-GB"/>
        </w:rPr>
        <w:t xml:space="preserve">While the preparation and structuring phase of the evaluation are primarily led by the Managing Authority (sometimes with the help of an evaluator) the conducting phase is mainly carried out by the externally contracted evaluator. </w:t>
      </w:r>
    </w:p>
    <w:p w14:paraId="3B6E430A" w14:textId="77777777" w:rsidR="00596660" w:rsidRPr="00CB34A3" w:rsidRDefault="000C224F" w:rsidP="00673940">
      <w:pPr>
        <w:pStyle w:val="HStandard"/>
        <w:rPr>
          <w:rFonts w:cs="Arial"/>
          <w:lang w:val="en-GB"/>
        </w:rPr>
      </w:pPr>
      <w:r w:rsidRPr="00CB34A3">
        <w:rPr>
          <w:lang w:val="en-GB"/>
        </w:rPr>
        <w:t>The conducting phase includes observing, analysing and judging (whereas structuring has been explained in the previous chapter). The evaluation steps can be further broken down into sequences, separated by different interim deliverables (Interim Report, Draft Final Report, etc.). The ultimate aim is that the evaluation is carried out based on good quality data, appropriate observations, an effective analysis of the policy results and impacts (through sound answers to the EQs), and accurate judgements, c</w:t>
      </w:r>
      <w:r w:rsidR="006217D2">
        <w:rPr>
          <w:lang w:val="en-GB"/>
        </w:rPr>
        <w:t>onclusions and recommendations.</w:t>
      </w:r>
      <w:r w:rsidRPr="00CB34A3">
        <w:rPr>
          <w:lang w:val="en-GB"/>
        </w:rPr>
        <w:t xml:space="preserve"> </w:t>
      </w:r>
    </w:p>
    <w:p w14:paraId="100EA323" w14:textId="77777777" w:rsidR="00596660" w:rsidRPr="003726BE" w:rsidRDefault="00596660" w:rsidP="00C868C5">
      <w:pPr>
        <w:pStyle w:val="HHeading2"/>
      </w:pPr>
      <w:bookmarkStart w:id="117" w:name="_Toc460936122"/>
      <w:bookmarkStart w:id="118" w:name="_Toc474132162"/>
      <w:r w:rsidRPr="003726BE">
        <w:t>Observing</w:t>
      </w:r>
      <w:bookmarkEnd w:id="117"/>
      <w:bookmarkEnd w:id="118"/>
    </w:p>
    <w:tbl>
      <w:tblPr>
        <w:tblStyle w:val="TableGrid"/>
        <w:tblW w:w="9071" w:type="dxa"/>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9071"/>
      </w:tblGrid>
      <w:tr w:rsidR="00673940" w:rsidRPr="00F61F42" w14:paraId="23F7D057" w14:textId="77777777" w:rsidTr="004E4415">
        <w:trPr>
          <w:jc w:val="center"/>
        </w:trPr>
        <w:tc>
          <w:tcPr>
            <w:tcW w:w="9071" w:type="dxa"/>
            <w:tcBorders>
              <w:bottom w:val="single" w:sz="4" w:space="0" w:color="6F6F6F" w:themeColor="text1"/>
            </w:tcBorders>
            <w:shd w:val="clear" w:color="auto" w:fill="F6B183" w:themeFill="background2" w:themeFillTint="99"/>
          </w:tcPr>
          <w:p w14:paraId="1C953AA7" w14:textId="77777777" w:rsidR="00CB507F" w:rsidRPr="00CB34A3" w:rsidRDefault="00CB507F" w:rsidP="00B555A7">
            <w:pPr>
              <w:pStyle w:val="HStandard"/>
              <w:rPr>
                <w:rFonts w:cs="Arial"/>
                <w:lang w:val="en-GB"/>
              </w:rPr>
            </w:pPr>
            <w:r w:rsidRPr="00CB34A3">
              <w:rPr>
                <w:lang w:val="en-GB"/>
              </w:rPr>
              <w:t>In this phase, the evaluators must proceed with the collection of relevant information and data. The critical point will be the definition of tools and approaches for gathering the information to br</w:t>
            </w:r>
            <w:r w:rsidR="006217D2">
              <w:rPr>
                <w:lang w:val="en-GB"/>
              </w:rPr>
              <w:t xml:space="preserve">idge any identified data gaps. </w:t>
            </w:r>
            <w:r w:rsidRPr="00CB34A3">
              <w:rPr>
                <w:lang w:val="en-GB"/>
              </w:rPr>
              <w:t>The data management system should provide the evaluators with the necessary data. Evaluators are responsible to link monitoring data, data from other sources</w:t>
            </w:r>
            <w:r w:rsidRPr="003726BE">
              <w:rPr>
                <w:rStyle w:val="FootnoteReference"/>
                <w:color w:val="161616" w:themeColor="background1" w:themeShade="1A"/>
              </w:rPr>
              <w:footnoteReference w:id="68"/>
            </w:r>
            <w:r w:rsidRPr="00CB34A3">
              <w:rPr>
                <w:lang w:val="en-GB"/>
              </w:rPr>
              <w:t xml:space="preserve"> and primarily collected data, employing various tools and techniques. </w:t>
            </w:r>
          </w:p>
        </w:tc>
      </w:tr>
      <w:tr w:rsidR="00CB507F" w:rsidRPr="00F61F42" w14:paraId="7FF360B5" w14:textId="77777777" w:rsidTr="004E4415">
        <w:trPr>
          <w:jc w:val="center"/>
        </w:trPr>
        <w:tc>
          <w:tcPr>
            <w:tcW w:w="9071" w:type="dxa"/>
            <w:shd w:val="clear" w:color="auto" w:fill="FCE5D5" w:themeFill="background2" w:themeFillTint="33"/>
          </w:tcPr>
          <w:p w14:paraId="750071DE" w14:textId="77777777" w:rsidR="00CB507F" w:rsidRPr="003726BE" w:rsidRDefault="00CB507F" w:rsidP="00B555A7">
            <w:pPr>
              <w:pStyle w:val="HHeading5"/>
              <w:tabs>
                <w:tab w:val="left" w:pos="5298"/>
              </w:tabs>
              <w:rPr>
                <w:rFonts w:cs="Arial"/>
              </w:rPr>
            </w:pPr>
            <w:r w:rsidRPr="003726BE">
              <w:t>Recommended working steps:</w:t>
            </w:r>
            <w:r w:rsidRPr="003726BE">
              <w:tab/>
            </w:r>
          </w:p>
          <w:p w14:paraId="2D1D50CE" w14:textId="77777777" w:rsidR="00CB507F" w:rsidRPr="00CB34A3" w:rsidRDefault="00CB507F" w:rsidP="00673940">
            <w:pPr>
              <w:pStyle w:val="Hlistbullet"/>
              <w:rPr>
                <w:rFonts w:cs="Arial"/>
                <w:lang w:val="en-GB"/>
              </w:rPr>
            </w:pPr>
            <w:r w:rsidRPr="00CB34A3">
              <w:rPr>
                <w:b/>
                <w:lang w:val="en-GB"/>
              </w:rPr>
              <w:t>Create the tools needed for the quantitative and qualitative analysis:</w:t>
            </w:r>
            <w:r w:rsidRPr="00CB34A3">
              <w:rPr>
                <w:lang w:val="en-GB"/>
              </w:rPr>
              <w:t xml:space="preserve"> interview guides, questionnaires, queries for extractions from databases, requests for maps, guidelines for case studies, and any other data collection instrument that the contractor deems appropriate.</w:t>
            </w:r>
          </w:p>
          <w:p w14:paraId="58B1ABC0" w14:textId="77777777" w:rsidR="00CB507F" w:rsidRPr="00CB34A3" w:rsidRDefault="00CB507F" w:rsidP="00673940">
            <w:pPr>
              <w:pStyle w:val="Hlistbullet"/>
              <w:rPr>
                <w:rFonts w:cs="Arial"/>
                <w:lang w:val="en-GB"/>
              </w:rPr>
            </w:pPr>
            <w:r w:rsidRPr="00CB34A3">
              <w:rPr>
                <w:b/>
                <w:lang w:val="en-GB"/>
              </w:rPr>
              <w:t>Collect data and qualitative information needed for answering EQs:</w:t>
            </w:r>
            <w:r w:rsidRPr="00CB34A3">
              <w:rPr>
                <w:lang w:val="en-GB"/>
              </w:rPr>
              <w:t xml:space="preserve"> databases, studies, people to be interviewed, appropriate case study areas, etc.</w:t>
            </w:r>
          </w:p>
          <w:p w14:paraId="3316D871" w14:textId="77777777" w:rsidR="00CB507F" w:rsidRPr="00CB34A3" w:rsidRDefault="00CB507F" w:rsidP="00673940">
            <w:pPr>
              <w:pStyle w:val="Hlistbullet"/>
              <w:rPr>
                <w:rFonts w:cs="Arial"/>
                <w:lang w:val="en-GB"/>
              </w:rPr>
            </w:pPr>
            <w:r w:rsidRPr="00CB34A3">
              <w:rPr>
                <w:b/>
                <w:lang w:val="en-GB"/>
              </w:rPr>
              <w:t>Describe the process of programme implementation:</w:t>
            </w:r>
            <w:r w:rsidRPr="00CB34A3">
              <w:rPr>
                <w:lang w:val="en-GB"/>
              </w:rPr>
              <w:t xml:space="preserve"> composition of programmes, priorities and target levels, and budget.</w:t>
            </w:r>
          </w:p>
          <w:p w14:paraId="0E7A2BEA" w14:textId="77777777" w:rsidR="00CB507F" w:rsidRPr="00CB34A3" w:rsidRDefault="00755F20" w:rsidP="001A1C0E">
            <w:pPr>
              <w:pStyle w:val="Hlistbullet"/>
              <w:rPr>
                <w:lang w:val="en-GB"/>
              </w:rPr>
            </w:pPr>
            <w:r w:rsidRPr="00CB34A3">
              <w:rPr>
                <w:b/>
                <w:lang w:val="en-GB"/>
              </w:rPr>
              <w:t>Summary of the outputs:</w:t>
            </w:r>
            <w:r w:rsidRPr="00CB34A3">
              <w:rPr>
                <w:lang w:val="en-GB"/>
              </w:rPr>
              <w:t xml:space="preserve"> Evaluators present the aggregated and quality-checked values for each of the common and programme-specific indicators. </w:t>
            </w:r>
          </w:p>
        </w:tc>
      </w:tr>
      <w:tr w:rsidR="00CB507F" w:rsidRPr="00F61F42" w14:paraId="31B6E75B" w14:textId="77777777" w:rsidTr="004E4415">
        <w:trPr>
          <w:jc w:val="center"/>
        </w:trPr>
        <w:tc>
          <w:tcPr>
            <w:tcW w:w="9071" w:type="dxa"/>
          </w:tcPr>
          <w:p w14:paraId="36D20281" w14:textId="77777777" w:rsidR="00CB507F" w:rsidRPr="00CB34A3" w:rsidRDefault="00CB507F" w:rsidP="00836472">
            <w:pPr>
              <w:pStyle w:val="HStandard"/>
              <w:rPr>
                <w:rFonts w:cs="Arial"/>
                <w:lang w:val="en-GB"/>
              </w:rPr>
            </w:pPr>
            <w:r w:rsidRPr="00CB34A3">
              <w:rPr>
                <w:b/>
                <w:lang w:val="en-GB"/>
              </w:rPr>
              <w:t>Expected outcome</w:t>
            </w:r>
            <w:r w:rsidRPr="00CB34A3">
              <w:rPr>
                <w:lang w:val="en-GB"/>
              </w:rPr>
              <w:t>: Data and information for evaluation</w:t>
            </w:r>
          </w:p>
        </w:tc>
      </w:tr>
    </w:tbl>
    <w:p w14:paraId="50D65564" w14:textId="77777777" w:rsidR="00596660" w:rsidRPr="00CB34A3" w:rsidRDefault="00596660" w:rsidP="00C147EB">
      <w:pPr>
        <w:pStyle w:val="HHeading5"/>
        <w:rPr>
          <w:rFonts w:cs="Arial"/>
          <w:lang w:val="en-GB"/>
        </w:rPr>
      </w:pPr>
      <w:r w:rsidRPr="00CB34A3">
        <w:rPr>
          <w:lang w:val="en-GB"/>
        </w:rPr>
        <w:t>Create the tools needed for the quanti</w:t>
      </w:r>
      <w:r w:rsidR="006217D2">
        <w:rPr>
          <w:lang w:val="en-GB"/>
        </w:rPr>
        <w:t>tative and qualitative analysis</w:t>
      </w:r>
      <w:r w:rsidRPr="00CB34A3">
        <w:rPr>
          <w:lang w:val="en-GB"/>
        </w:rPr>
        <w:t xml:space="preserve"> </w:t>
      </w:r>
    </w:p>
    <w:p w14:paraId="4996B42B" w14:textId="77777777" w:rsidR="00E04592" w:rsidRPr="00CB34A3" w:rsidRDefault="00E04592" w:rsidP="00E04592">
      <w:pPr>
        <w:pStyle w:val="HStandard"/>
        <w:rPr>
          <w:rFonts w:cs="Arial"/>
          <w:lang w:val="en-GB"/>
        </w:rPr>
      </w:pPr>
      <w:r w:rsidRPr="00CB34A3">
        <w:rPr>
          <w:lang w:val="en-GB"/>
        </w:rPr>
        <w:t>During the observing phase, the evaluators use the data files to calculate values for common and programme-specific indicators in line with the chosen evaluation methods. This process, however, can only happen if data on beneficiaries exists. In other words, the observing phase cannot be completed fully without sufficient RDP uptake!</w:t>
      </w:r>
    </w:p>
    <w:p w14:paraId="358AC378" w14:textId="77777777" w:rsidR="00596660" w:rsidRPr="00CB34A3" w:rsidRDefault="00E04592" w:rsidP="00673940">
      <w:pPr>
        <w:pStyle w:val="HStandard"/>
        <w:rPr>
          <w:rFonts w:cs="Arial"/>
          <w:lang w:val="en-GB"/>
        </w:rPr>
      </w:pPr>
      <w:r w:rsidRPr="00CB34A3">
        <w:rPr>
          <w:lang w:val="en-GB"/>
        </w:rPr>
        <w:t>As the final objective is to answer all EQs, evaluators should avoid collecting unnecessary data. Generally, the choice of data should be guided by the relevance of the variables for the assessment of achievements and the costs resulting from the planned investigation. For this reason, it is necessary to coordinate planning of data-gathering along with data-processing.</w:t>
      </w:r>
    </w:p>
    <w:p w14:paraId="27799103" w14:textId="77777777" w:rsidR="00596660" w:rsidRPr="00CB34A3" w:rsidRDefault="00596660" w:rsidP="00673940">
      <w:pPr>
        <w:pStyle w:val="HStandard"/>
        <w:rPr>
          <w:rFonts w:cs="Arial"/>
          <w:lang w:val="en-GB"/>
        </w:rPr>
      </w:pPr>
      <w:r w:rsidRPr="00CB34A3">
        <w:rPr>
          <w:lang w:val="en-GB"/>
        </w:rPr>
        <w:t xml:space="preserve">Many Member States have recently established more coordinated procedures for data management for the new programmes. In these procedures, both managing authorities and evaluation advisors </w:t>
      </w:r>
      <w:r w:rsidRPr="00CB34A3">
        <w:rPr>
          <w:lang w:val="en-GB"/>
        </w:rPr>
        <w:lastRenderedPageBreak/>
        <w:t>have worked together on data management schemes. The workability of these databases should be appraised before real data is integrated.  Glitches should be addressed as a matter of urgency.</w:t>
      </w:r>
    </w:p>
    <w:p w14:paraId="7DBCDF53" w14:textId="77777777" w:rsidR="00E04592" w:rsidRPr="00CB34A3" w:rsidRDefault="00836472" w:rsidP="00E04592">
      <w:pPr>
        <w:pStyle w:val="HStandard"/>
        <w:rPr>
          <w:rFonts w:cs="Arial"/>
          <w:lang w:val="en-GB"/>
        </w:rPr>
      </w:pPr>
      <w:r w:rsidRPr="00CB34A3">
        <w:rPr>
          <w:lang w:val="en-GB"/>
        </w:rPr>
        <w:t xml:space="preserve">A separate document contains templates for answering CEQ no 1 – 21. These templates provide among other things, the guidance with respect to the type and volume of data to be collected for the assessment of indicators and answering EQs. </w:t>
      </w:r>
    </w:p>
    <w:p w14:paraId="51D07F0B" w14:textId="77777777" w:rsidR="00596660" w:rsidRPr="00CB34A3" w:rsidRDefault="00596660" w:rsidP="00C147EB">
      <w:pPr>
        <w:pStyle w:val="HHeading5"/>
        <w:rPr>
          <w:rFonts w:cs="Arial"/>
          <w:lang w:val="en-GB"/>
        </w:rPr>
      </w:pPr>
      <w:r w:rsidRPr="00CB34A3">
        <w:rPr>
          <w:lang w:val="en-GB"/>
        </w:rPr>
        <w:t xml:space="preserve">Quantitative data </w:t>
      </w:r>
    </w:p>
    <w:p w14:paraId="46A6A7A1" w14:textId="77777777" w:rsidR="00596660" w:rsidRPr="00CB34A3" w:rsidRDefault="00596660" w:rsidP="00673940">
      <w:pPr>
        <w:pStyle w:val="HStandard"/>
        <w:rPr>
          <w:rFonts w:cs="Arial"/>
          <w:lang w:val="en-GB"/>
        </w:rPr>
      </w:pPr>
      <w:r w:rsidRPr="00CB34A3">
        <w:rPr>
          <w:lang w:val="en-GB"/>
        </w:rPr>
        <w:t xml:space="preserve">In the observing phase data is collected for the following groups of indicators: </w:t>
      </w:r>
    </w:p>
    <w:tbl>
      <w:tblPr>
        <w:tblStyle w:val="Mriekatabuky1"/>
        <w:tblW w:w="0" w:type="auto"/>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shd w:val="clear" w:color="auto" w:fill="DDDDDD"/>
        <w:tblLook w:val="04A0" w:firstRow="1" w:lastRow="0" w:firstColumn="1" w:lastColumn="0" w:noHBand="0" w:noVBand="1"/>
      </w:tblPr>
      <w:tblGrid>
        <w:gridCol w:w="1980"/>
        <w:gridCol w:w="7080"/>
      </w:tblGrid>
      <w:tr w:rsidR="00596660" w:rsidRPr="00F61F42" w14:paraId="45AD0F95" w14:textId="77777777" w:rsidTr="00531503">
        <w:tc>
          <w:tcPr>
            <w:tcW w:w="1980" w:type="dxa"/>
            <w:shd w:val="clear" w:color="auto" w:fill="F07E31"/>
            <w:vAlign w:val="center"/>
          </w:tcPr>
          <w:p w14:paraId="0279B524" w14:textId="77777777" w:rsidR="00596660" w:rsidRPr="00CB34A3" w:rsidRDefault="00596660" w:rsidP="00596660">
            <w:pPr>
              <w:pStyle w:val="Htableleftbolt"/>
              <w:rPr>
                <w:rFonts w:cs="Arial"/>
                <w:color w:val="FFFFFF" w:themeColor="accent1"/>
                <w:lang w:val="en-GB"/>
              </w:rPr>
            </w:pPr>
            <w:r w:rsidRPr="00CB34A3">
              <w:rPr>
                <w:color w:val="FFFFFF" w:themeColor="accent1"/>
                <w:lang w:val="en-GB"/>
              </w:rPr>
              <w:t xml:space="preserve">Context indicators (macro-data for RDP level) </w:t>
            </w:r>
          </w:p>
        </w:tc>
        <w:tc>
          <w:tcPr>
            <w:tcW w:w="7080" w:type="dxa"/>
            <w:shd w:val="clear" w:color="auto" w:fill="auto"/>
          </w:tcPr>
          <w:p w14:paraId="1226DDE7" w14:textId="77777777" w:rsidR="00596660" w:rsidRPr="00CB34A3" w:rsidRDefault="00507977" w:rsidP="00596660">
            <w:pPr>
              <w:pStyle w:val="Htablebullet"/>
              <w:rPr>
                <w:rFonts w:cs="Arial"/>
                <w:lang w:val="en-GB"/>
              </w:rPr>
            </w:pPr>
            <w:r w:rsidRPr="00CB34A3">
              <w:rPr>
                <w:lang w:val="en-GB"/>
              </w:rPr>
              <w:t>Member States should collect data to quantify the context indicators (including impact indicators, which are part of the set, proxies agreed with the Commission and programme-specific context indicators that have been used in the description of the programme area).</w:t>
            </w:r>
          </w:p>
          <w:p w14:paraId="781BA6C2" w14:textId="77777777" w:rsidR="00596660" w:rsidRPr="00CB34A3" w:rsidRDefault="00596660" w:rsidP="00596660">
            <w:pPr>
              <w:pStyle w:val="Htablebullet"/>
              <w:rPr>
                <w:rFonts w:cs="Arial"/>
                <w:lang w:val="en-GB"/>
              </w:rPr>
            </w:pPr>
            <w:r w:rsidRPr="00CB34A3">
              <w:rPr>
                <w:lang w:val="en-GB"/>
              </w:rPr>
              <w:t>Data collected for context indicators are macro-level data (RDP, regional or national levels) and are used in the assessment of programme impacts (this includes netting out the respective impact indicators).</w:t>
            </w:r>
          </w:p>
          <w:p w14:paraId="57D94807" w14:textId="77777777" w:rsidR="00596660" w:rsidRPr="00CB34A3" w:rsidRDefault="00596660" w:rsidP="00596660">
            <w:pPr>
              <w:pStyle w:val="Htablebullet"/>
              <w:rPr>
                <w:rFonts w:cs="Arial"/>
                <w:lang w:val="en-GB"/>
              </w:rPr>
            </w:pPr>
            <w:r w:rsidRPr="00CB34A3">
              <w:rPr>
                <w:lang w:val="en-GB"/>
              </w:rPr>
              <w:t>Data for context indicators are collected from EU level databases</w:t>
            </w:r>
            <w:r w:rsidRPr="003726BE">
              <w:rPr>
                <w:rStyle w:val="FootnoteReference"/>
              </w:rPr>
              <w:footnoteReference w:id="69"/>
            </w:r>
            <w:r w:rsidRPr="00CB34A3">
              <w:rPr>
                <w:lang w:val="en-GB"/>
              </w:rPr>
              <w:t xml:space="preserve"> or national/regional databases, on an annual basis, independently of the programme uptake. </w:t>
            </w:r>
          </w:p>
        </w:tc>
      </w:tr>
      <w:tr w:rsidR="00596660" w:rsidRPr="00F61F42" w14:paraId="27E3DCD3" w14:textId="77777777" w:rsidTr="00531503">
        <w:tc>
          <w:tcPr>
            <w:tcW w:w="1980" w:type="dxa"/>
            <w:shd w:val="clear" w:color="auto" w:fill="F07E31"/>
            <w:vAlign w:val="center"/>
          </w:tcPr>
          <w:p w14:paraId="1B3B9535" w14:textId="77777777" w:rsidR="00596660" w:rsidRPr="003726BE" w:rsidRDefault="00596660" w:rsidP="00596660">
            <w:pPr>
              <w:pStyle w:val="Htableleftbolt"/>
              <w:rPr>
                <w:rFonts w:cs="Arial"/>
                <w:color w:val="FFFFFF" w:themeColor="accent1"/>
              </w:rPr>
            </w:pPr>
            <w:r w:rsidRPr="003726BE">
              <w:rPr>
                <w:color w:val="FFFFFF" w:themeColor="accent1"/>
              </w:rPr>
              <w:t xml:space="preserve">Input and output indicators </w:t>
            </w:r>
          </w:p>
          <w:p w14:paraId="57D7D012" w14:textId="77777777" w:rsidR="00596660" w:rsidRPr="003726BE" w:rsidRDefault="00596660" w:rsidP="00596660">
            <w:pPr>
              <w:pStyle w:val="Htableleftbolt"/>
              <w:rPr>
                <w:rFonts w:cs="Arial"/>
                <w:color w:val="FFFFFF" w:themeColor="accent1"/>
              </w:rPr>
            </w:pPr>
            <w:r w:rsidRPr="003726BE">
              <w:rPr>
                <w:color w:val="FFFFFF" w:themeColor="accent1"/>
              </w:rPr>
              <w:t xml:space="preserve"> </w:t>
            </w:r>
          </w:p>
        </w:tc>
        <w:tc>
          <w:tcPr>
            <w:tcW w:w="7080" w:type="dxa"/>
            <w:shd w:val="clear" w:color="auto" w:fill="auto"/>
          </w:tcPr>
          <w:p w14:paraId="0D5616C3" w14:textId="77777777" w:rsidR="00596660" w:rsidRPr="003726BE" w:rsidRDefault="00596660" w:rsidP="00596660">
            <w:pPr>
              <w:pStyle w:val="Htablebullet"/>
              <w:rPr>
                <w:rFonts w:cs="Arial"/>
              </w:rPr>
            </w:pPr>
            <w:r w:rsidRPr="00CB34A3">
              <w:rPr>
                <w:lang w:val="en-GB"/>
              </w:rPr>
              <w:t xml:space="preserve">Micro-data collected at the unit level (farm, community, business) for beneficiaries. </w:t>
            </w:r>
            <w:r w:rsidRPr="003726BE">
              <w:t>Is collected via the monitoring system (operations database).</w:t>
            </w:r>
          </w:p>
          <w:p w14:paraId="3AB3F09C" w14:textId="77777777" w:rsidR="00596660" w:rsidRPr="00CB34A3" w:rsidRDefault="00596660" w:rsidP="00596660">
            <w:pPr>
              <w:pStyle w:val="Htablebullet"/>
              <w:rPr>
                <w:rFonts w:cs="Arial"/>
                <w:lang w:val="en-GB"/>
              </w:rPr>
            </w:pPr>
            <w:r w:rsidRPr="00CB34A3">
              <w:rPr>
                <w:lang w:val="en-GB"/>
              </w:rPr>
              <w:t>Input indicators are linked to the RDP financial allocation and payments for individual measures, activities and operations.</w:t>
            </w:r>
          </w:p>
          <w:p w14:paraId="24226C3C" w14:textId="77777777" w:rsidR="00596660" w:rsidRPr="00CB34A3" w:rsidRDefault="00596660" w:rsidP="00596660">
            <w:pPr>
              <w:pStyle w:val="Htablebullet"/>
              <w:rPr>
                <w:rFonts w:cs="Arial"/>
                <w:lang w:val="en-GB"/>
              </w:rPr>
            </w:pPr>
            <w:r w:rsidRPr="00CB34A3">
              <w:rPr>
                <w:lang w:val="en-GB"/>
              </w:rPr>
              <w:t xml:space="preserve">Output indicators are linked to the basic description of the RDP implementation (number of beneficiaries, number of supported operations, etc.). </w:t>
            </w:r>
          </w:p>
          <w:p w14:paraId="579F1249" w14:textId="77777777" w:rsidR="00596660" w:rsidRPr="00CB34A3" w:rsidRDefault="005C58C8" w:rsidP="00596660">
            <w:pPr>
              <w:pStyle w:val="Htablebullet"/>
              <w:rPr>
                <w:rFonts w:cs="Arial"/>
                <w:lang w:val="en-GB"/>
              </w:rPr>
            </w:pPr>
            <w:r w:rsidRPr="00CB34A3">
              <w:rPr>
                <w:lang w:val="en-GB"/>
              </w:rPr>
              <w:t>These are also used to calculate indicator values for some target indicators.</w:t>
            </w:r>
          </w:p>
          <w:p w14:paraId="0C8D6838" w14:textId="77777777" w:rsidR="00596660" w:rsidRPr="00CB34A3" w:rsidRDefault="00596660" w:rsidP="00596660">
            <w:pPr>
              <w:pStyle w:val="Htablebullet"/>
              <w:rPr>
                <w:rFonts w:cs="Arial"/>
                <w:lang w:val="en-GB"/>
              </w:rPr>
            </w:pPr>
            <w:r w:rsidRPr="00CB34A3">
              <w:rPr>
                <w:lang w:val="en-GB"/>
              </w:rPr>
              <w:t>Application forms, payment requests, standardised monitoring tables and other formats are used to collect data and are included in the monitoring system. The structure of these forms and the decision on which data shall be collected (monitoring and evaluation) was part of the evaluation preparation and structuring.</w:t>
            </w:r>
          </w:p>
        </w:tc>
      </w:tr>
      <w:tr w:rsidR="00596660" w:rsidRPr="00F61F42" w14:paraId="48E12A14" w14:textId="77777777" w:rsidTr="00531503">
        <w:tc>
          <w:tcPr>
            <w:tcW w:w="1980" w:type="dxa"/>
            <w:shd w:val="clear" w:color="auto" w:fill="F07E31"/>
            <w:vAlign w:val="center"/>
          </w:tcPr>
          <w:p w14:paraId="6B9B5222" w14:textId="77777777" w:rsidR="00596660" w:rsidRPr="00CB34A3" w:rsidRDefault="00596660" w:rsidP="00596660">
            <w:pPr>
              <w:pStyle w:val="Htableleftbolt"/>
              <w:rPr>
                <w:rFonts w:cs="Arial"/>
                <w:color w:val="FFFFFF" w:themeColor="accent1"/>
                <w:lang w:val="en-GB"/>
              </w:rPr>
            </w:pPr>
            <w:r w:rsidRPr="00CB34A3">
              <w:rPr>
                <w:color w:val="FFFFFF" w:themeColor="accent1"/>
                <w:lang w:val="en-GB"/>
              </w:rPr>
              <w:t>Result indicators (micro-data at unit level)</w:t>
            </w:r>
          </w:p>
        </w:tc>
        <w:tc>
          <w:tcPr>
            <w:tcW w:w="7080" w:type="dxa"/>
            <w:shd w:val="clear" w:color="auto" w:fill="auto"/>
          </w:tcPr>
          <w:p w14:paraId="40AAC721" w14:textId="77777777" w:rsidR="00596660" w:rsidRPr="00CB34A3" w:rsidRDefault="00596660" w:rsidP="00596660">
            <w:pPr>
              <w:pStyle w:val="Htablebullet"/>
              <w:rPr>
                <w:rFonts w:cs="Arial"/>
                <w:lang w:val="en-GB"/>
              </w:rPr>
            </w:pPr>
            <w:r w:rsidRPr="00CB34A3">
              <w:rPr>
                <w:lang w:val="en-GB"/>
              </w:rPr>
              <w:t>Data for result indicators are micro-data, which are collected at the unit level (farm, community, business) for beneficiaries and non-beneficiaries. This data, if properly standardised, can be aggregated to get gross values.</w:t>
            </w:r>
          </w:p>
          <w:p w14:paraId="72A622AA" w14:textId="77777777" w:rsidR="00596660" w:rsidRPr="00CB34A3" w:rsidRDefault="00596660" w:rsidP="00596660">
            <w:pPr>
              <w:pStyle w:val="Htablebullet"/>
              <w:rPr>
                <w:rFonts w:cs="Arial"/>
                <w:lang w:val="en-GB"/>
              </w:rPr>
            </w:pPr>
            <w:r w:rsidRPr="00CB34A3">
              <w:rPr>
                <w:lang w:val="en-GB"/>
              </w:rPr>
              <w:t xml:space="preserve">The operations database is used to collect data for result-target indicators on beneficiaries, and to identify the populations for assessment of secondary contributions and complementary result indicators. However, there is always the need for additional data to be collected by the evaluator (data on non-beneficiaries and data that covers the period after the implementation of the project, and data to calculate values for complementary result indicators). </w:t>
            </w:r>
          </w:p>
          <w:p w14:paraId="6A8CC040" w14:textId="77777777" w:rsidR="00596660" w:rsidRPr="00CB34A3" w:rsidRDefault="00596660" w:rsidP="00596660">
            <w:pPr>
              <w:pStyle w:val="Htablebullet"/>
              <w:rPr>
                <w:rFonts w:cs="Arial"/>
                <w:lang w:val="en-GB"/>
              </w:rPr>
            </w:pPr>
            <w:r w:rsidRPr="00CB34A3">
              <w:rPr>
                <w:lang w:val="en-GB"/>
              </w:rPr>
              <w:t xml:space="preserve">In line with requirements of specific evaluation methods, the data at micro-level should be collected on the basis of secondary data (if available) and of surveys. </w:t>
            </w:r>
          </w:p>
          <w:p w14:paraId="34B8580E" w14:textId="77777777" w:rsidR="00596660" w:rsidRPr="00CB34A3" w:rsidRDefault="00596660" w:rsidP="00596660">
            <w:pPr>
              <w:pStyle w:val="Htablebullet"/>
              <w:rPr>
                <w:rFonts w:cs="Arial"/>
                <w:lang w:val="en-GB"/>
              </w:rPr>
            </w:pPr>
            <w:r w:rsidRPr="00CB34A3">
              <w:rPr>
                <w:lang w:val="en-GB"/>
              </w:rPr>
              <w:t>The earlier the collection of data starts in the RDP implementation, the better for ensuring data timeliness.</w:t>
            </w:r>
          </w:p>
          <w:p w14:paraId="1F16CDC8" w14:textId="77777777" w:rsidR="00596660" w:rsidRPr="00CB34A3" w:rsidRDefault="00596660" w:rsidP="00F61278">
            <w:pPr>
              <w:pStyle w:val="Htablebullet"/>
              <w:rPr>
                <w:rFonts w:cs="Arial"/>
                <w:lang w:val="en-GB"/>
              </w:rPr>
            </w:pPr>
            <w:r w:rsidRPr="00CB34A3">
              <w:rPr>
                <w:lang w:val="en-GB"/>
              </w:rPr>
              <w:t>This includes also secondary contributions and synergies. For practical reasons, it is important to automatise this system as much as possible, and ensure the electronic submission of the above mentioned forms. In optimal case all of this information is within a dynamic database, described in the chapter 6.2.</w:t>
            </w:r>
          </w:p>
        </w:tc>
      </w:tr>
      <w:tr w:rsidR="00596660" w:rsidRPr="00F61F42" w14:paraId="50CBDF4F" w14:textId="77777777" w:rsidTr="00531503">
        <w:tc>
          <w:tcPr>
            <w:tcW w:w="1980" w:type="dxa"/>
            <w:shd w:val="clear" w:color="auto" w:fill="F07E31"/>
            <w:vAlign w:val="center"/>
          </w:tcPr>
          <w:p w14:paraId="0118127E" w14:textId="77777777" w:rsidR="00596660" w:rsidRPr="00CB34A3" w:rsidRDefault="00596660" w:rsidP="00596660">
            <w:pPr>
              <w:pStyle w:val="Htableleftbolt"/>
              <w:rPr>
                <w:rFonts w:cs="Arial"/>
                <w:color w:val="FFFFFF" w:themeColor="accent1"/>
                <w:lang w:val="en-GB"/>
              </w:rPr>
            </w:pPr>
            <w:r w:rsidRPr="00CB34A3">
              <w:rPr>
                <w:color w:val="FFFFFF" w:themeColor="accent1"/>
                <w:lang w:val="en-GB"/>
              </w:rPr>
              <w:t>Impact indicators</w:t>
            </w:r>
          </w:p>
          <w:p w14:paraId="138A1B5B" w14:textId="77777777" w:rsidR="00596660" w:rsidRPr="00CB34A3" w:rsidDel="00091BD6" w:rsidRDefault="00596660" w:rsidP="00596660">
            <w:pPr>
              <w:pStyle w:val="Htableleftbolt"/>
              <w:rPr>
                <w:rFonts w:cs="Arial"/>
                <w:color w:val="FFFFFF" w:themeColor="accent1"/>
                <w:lang w:val="en-GB"/>
              </w:rPr>
            </w:pPr>
            <w:r w:rsidRPr="00CB34A3">
              <w:rPr>
                <w:color w:val="FFFFFF" w:themeColor="accent1"/>
                <w:lang w:val="en-GB"/>
              </w:rPr>
              <w:t>(micro- and macro-data at RDP, regional, national levels)</w:t>
            </w:r>
          </w:p>
        </w:tc>
        <w:tc>
          <w:tcPr>
            <w:tcW w:w="7080" w:type="dxa"/>
            <w:shd w:val="clear" w:color="auto" w:fill="auto"/>
          </w:tcPr>
          <w:p w14:paraId="344832A6" w14:textId="77777777" w:rsidR="00225D89" w:rsidRPr="00CB34A3" w:rsidRDefault="00807503">
            <w:pPr>
              <w:pStyle w:val="Htablebullet"/>
              <w:rPr>
                <w:rFonts w:cs="Arial"/>
                <w:lang w:val="en-GB"/>
              </w:rPr>
            </w:pPr>
            <w:r w:rsidRPr="00CB34A3">
              <w:rPr>
                <w:lang w:val="en-GB"/>
              </w:rPr>
              <w:t xml:space="preserve">Collection of data for impact indicators depends on the approach selected to net out the impacts. In case the evaluators net out impacts using the micro-level data on units/farms – for both beneficiaries and control groups, which is needed for micro-level analysis, which can then be aggregated/extrapolated to the RDP level. For beneficiaries, data can also be collected via operations database, or as for non-beneficiaries based from existing statistics (EU – e.g. FADN, national, regional). In case the evaluators will apply netting out impacts based on macro-data collected at the administrative unit level, they will use mainly statistical data.  In this case, the </w:t>
            </w:r>
            <w:r w:rsidRPr="00CB34A3">
              <w:rPr>
                <w:lang w:val="en-GB"/>
              </w:rPr>
              <w:lastRenderedPageBreak/>
              <w:t>NUTS 3-5 level might be the lowest macro-level where effects of the RD support can be estimated (based on the situation in data availability in Member States).</w:t>
            </w:r>
            <w:r w:rsidRPr="003726BE">
              <w:rPr>
                <w:rStyle w:val="FootnoteReference"/>
              </w:rPr>
              <w:footnoteReference w:id="70"/>
            </w:r>
          </w:p>
        </w:tc>
      </w:tr>
      <w:tr w:rsidR="00596660" w:rsidRPr="00F61F42" w14:paraId="753750F0" w14:textId="77777777" w:rsidTr="00531503">
        <w:tc>
          <w:tcPr>
            <w:tcW w:w="9060" w:type="dxa"/>
            <w:gridSpan w:val="2"/>
            <w:shd w:val="clear" w:color="auto" w:fill="auto"/>
            <w:vAlign w:val="center"/>
          </w:tcPr>
          <w:p w14:paraId="3842C975" w14:textId="77777777" w:rsidR="00596660" w:rsidRPr="00CB34A3" w:rsidRDefault="00596660" w:rsidP="00601A58">
            <w:pPr>
              <w:pStyle w:val="Htableleft"/>
              <w:rPr>
                <w:rFonts w:cs="Arial"/>
                <w:color w:val="FFFFFF" w:themeColor="accent1"/>
                <w:lang w:val="en-GB"/>
              </w:rPr>
            </w:pPr>
            <w:r w:rsidRPr="00CB34A3">
              <w:rPr>
                <w:color w:val="161616" w:themeColor="background1" w:themeShade="1A"/>
                <w:lang w:val="en-GB"/>
              </w:rPr>
              <w:lastRenderedPageBreak/>
              <w:t>D</w:t>
            </w:r>
            <w:r w:rsidRPr="00CB34A3">
              <w:rPr>
                <w:lang w:val="en-GB"/>
              </w:rPr>
              <w:t>ata for output and result-target indicators on beneficiaries are collected on an ongoing basis via the monitoring systems, along with the application forms and payment requests and used on an annual basis by Managing Authorities in the AIR. Data for complementary result indicators, secondary contributions and non-beneficiaries are usually collected during the evaluation process (FADN, national/regional statistics, etc.)</w:t>
            </w:r>
          </w:p>
        </w:tc>
      </w:tr>
    </w:tbl>
    <w:p w14:paraId="6628F34F" w14:textId="77777777" w:rsidR="00596660" w:rsidRPr="00CB34A3" w:rsidRDefault="00596660" w:rsidP="00C147EB">
      <w:pPr>
        <w:pStyle w:val="HHeading5"/>
        <w:rPr>
          <w:rFonts w:cs="Arial"/>
          <w:lang w:val="en-GB"/>
        </w:rPr>
      </w:pPr>
      <w:r w:rsidRPr="00CB34A3">
        <w:rPr>
          <w:lang w:val="en-GB"/>
        </w:rPr>
        <w:t>Qualitative data and information</w:t>
      </w:r>
    </w:p>
    <w:p w14:paraId="4C0AFBBC" w14:textId="77777777" w:rsidR="00596660" w:rsidRPr="00CB34A3" w:rsidRDefault="00596660" w:rsidP="00673940">
      <w:pPr>
        <w:pStyle w:val="HStandard"/>
        <w:rPr>
          <w:rFonts w:cs="Arial"/>
          <w:lang w:val="en-GB"/>
        </w:rPr>
      </w:pPr>
      <w:r w:rsidRPr="00CB34A3">
        <w:rPr>
          <w:lang w:val="en-GB"/>
        </w:rPr>
        <w:t>Apart from quantitative data, also qualitative information shall be collected by the evaluator during the observing phase, using interviews, focus groups, case studies, etc. For this purpose, tools to collect qualitative data and information are developed by the evaluator. As in the case of quantitative data collection, it is important to:</w:t>
      </w:r>
    </w:p>
    <w:p w14:paraId="5C683390" w14:textId="77777777" w:rsidR="00596660" w:rsidRPr="00CB34A3" w:rsidRDefault="00596660" w:rsidP="00673940">
      <w:pPr>
        <w:pStyle w:val="Hlistbullet"/>
        <w:rPr>
          <w:rFonts w:cs="Arial"/>
          <w:lang w:val="en-GB"/>
        </w:rPr>
      </w:pPr>
      <w:r w:rsidRPr="00CB34A3">
        <w:rPr>
          <w:lang w:val="en-GB"/>
        </w:rPr>
        <w:t>ensure the utility/relevance of the collected data to answer the EQs (check judgement criteria); and</w:t>
      </w:r>
    </w:p>
    <w:p w14:paraId="248EF41B" w14:textId="77777777" w:rsidR="00596660" w:rsidRPr="00CB34A3" w:rsidRDefault="00596660" w:rsidP="001A1C0E">
      <w:pPr>
        <w:pStyle w:val="Hlistbullet"/>
        <w:rPr>
          <w:lang w:val="en-GB"/>
        </w:rPr>
      </w:pPr>
      <w:r w:rsidRPr="00CB34A3">
        <w:rPr>
          <w:lang w:val="en-GB"/>
        </w:rPr>
        <w:t xml:space="preserve">ensure that qualitative information collected on beneficiaries can be paired with the information collected on non-beneficiaries to ensure the counterfactual and netting out of the programme effects. </w:t>
      </w:r>
    </w:p>
    <w:p w14:paraId="1B376CA7" w14:textId="77777777" w:rsidR="00596660" w:rsidRPr="00CB34A3" w:rsidRDefault="00596660" w:rsidP="00673940">
      <w:pPr>
        <w:pStyle w:val="HStandard"/>
        <w:rPr>
          <w:rFonts w:cs="Arial"/>
          <w:lang w:val="en-GB"/>
        </w:rPr>
      </w:pPr>
      <w:r w:rsidRPr="00CB34A3">
        <w:rPr>
          <w:lang w:val="en-GB"/>
        </w:rPr>
        <w:t xml:space="preserve">It should be noted that qualitative data collection aims to provide the evaluation with empirical information around the vision of certain entities and leaders of opinions, about the objectives, (potential) results and effects of the programme.  </w:t>
      </w:r>
    </w:p>
    <w:p w14:paraId="38500907" w14:textId="77777777" w:rsidR="00596660" w:rsidRPr="00CB34A3" w:rsidRDefault="00596660" w:rsidP="00C147EB">
      <w:pPr>
        <w:pStyle w:val="HHeading5"/>
        <w:rPr>
          <w:rFonts w:cs="Arial"/>
          <w:lang w:val="en-GB"/>
        </w:rPr>
      </w:pPr>
      <w:r w:rsidRPr="00CB34A3">
        <w:rPr>
          <w:lang w:val="en-GB"/>
        </w:rPr>
        <w:t xml:space="preserve">Description of the process of programme implementation </w:t>
      </w:r>
    </w:p>
    <w:p w14:paraId="71771A85" w14:textId="77777777" w:rsidR="00596660" w:rsidRPr="00CB34A3" w:rsidRDefault="00D27C62" w:rsidP="00673940">
      <w:pPr>
        <w:pStyle w:val="HStandard"/>
        <w:rPr>
          <w:rFonts w:cs="Arial"/>
          <w:lang w:val="en-GB"/>
        </w:rPr>
      </w:pPr>
      <w:r w:rsidRPr="00CB34A3">
        <w:rPr>
          <w:lang w:val="en-GB"/>
        </w:rPr>
        <w:t xml:space="preserve">Relevant information concerning the description of the process of programme implementation, composition of programmes, priorities and target levels, budget, financial and physical execution, major modifications to the strategy, structure and resource allocation, shall be collected and ensured by the evaluators. </w:t>
      </w:r>
    </w:p>
    <w:p w14:paraId="01415D60" w14:textId="77777777" w:rsidR="00596660" w:rsidRPr="00CB34A3" w:rsidRDefault="00596660" w:rsidP="00673940">
      <w:pPr>
        <w:pStyle w:val="HStandard"/>
        <w:rPr>
          <w:rFonts w:cs="Arial"/>
          <w:lang w:val="en-GB"/>
        </w:rPr>
      </w:pPr>
      <w:r w:rsidRPr="00CB34A3">
        <w:rPr>
          <w:lang w:val="en-GB"/>
        </w:rPr>
        <w:t>For this step it is considered essential to conduct interviews in the initial phase of the evaluation, including representatives of the Managing Authority and the respective technical teams.</w:t>
      </w:r>
    </w:p>
    <w:p w14:paraId="43A7E57F" w14:textId="77777777" w:rsidR="00596660" w:rsidRPr="00CB34A3" w:rsidRDefault="00596660" w:rsidP="00C147EB">
      <w:pPr>
        <w:pStyle w:val="HHeading5"/>
        <w:rPr>
          <w:rFonts w:cs="Arial"/>
          <w:lang w:val="en-GB"/>
        </w:rPr>
      </w:pPr>
      <w:r w:rsidRPr="00CB34A3">
        <w:rPr>
          <w:lang w:val="en-GB"/>
        </w:rPr>
        <w:t>Summary of the outputs</w:t>
      </w:r>
    </w:p>
    <w:p w14:paraId="1B1C06C4" w14:textId="77777777" w:rsidR="00596660" w:rsidRPr="00CB34A3" w:rsidRDefault="00596660" w:rsidP="00673940">
      <w:pPr>
        <w:pStyle w:val="HStandard"/>
        <w:rPr>
          <w:rFonts w:cs="Arial"/>
          <w:lang w:val="en-GB"/>
        </w:rPr>
      </w:pPr>
      <w:r w:rsidRPr="00CB34A3">
        <w:rPr>
          <w:lang w:val="en-GB"/>
        </w:rPr>
        <w:t>Evaluators present the aggregated and quality-checked values for each of the common and programme-specific indicators and properly substantiated views on the progress observed or deviations occurring during the evaluation period. The aggregated values must be in harmony with what is foreseen in the templates for CEQs (to be published in a separate document) and the WD Complementary Result Indicator fiches for Pillar II.</w:t>
      </w:r>
    </w:p>
    <w:p w14:paraId="1D3C530A" w14:textId="77777777" w:rsidR="00596660" w:rsidRPr="003726BE" w:rsidRDefault="00596660" w:rsidP="00C868C5">
      <w:pPr>
        <w:pStyle w:val="HHeading2"/>
      </w:pPr>
      <w:bookmarkStart w:id="119" w:name="_Toc460936123"/>
      <w:bookmarkStart w:id="120" w:name="_Toc474132163"/>
      <w:r w:rsidRPr="003726BE">
        <w:t>Analysing</w:t>
      </w:r>
      <w:bookmarkEnd w:id="119"/>
      <w:bookmarkEnd w:id="120"/>
    </w:p>
    <w:tbl>
      <w:tblPr>
        <w:tblStyle w:val="TableGrid"/>
        <w:tblW w:w="9071" w:type="dxa"/>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9071"/>
      </w:tblGrid>
      <w:tr w:rsidR="00673940" w:rsidRPr="00F61F42" w14:paraId="771922B3" w14:textId="77777777" w:rsidTr="004E4415">
        <w:trPr>
          <w:jc w:val="center"/>
        </w:trPr>
        <w:tc>
          <w:tcPr>
            <w:tcW w:w="9071" w:type="dxa"/>
            <w:tcBorders>
              <w:bottom w:val="single" w:sz="4" w:space="0" w:color="6F6F6F" w:themeColor="text1"/>
            </w:tcBorders>
            <w:shd w:val="clear" w:color="auto" w:fill="F6B183" w:themeFill="background2" w:themeFillTint="99"/>
          </w:tcPr>
          <w:p w14:paraId="2E4A6533" w14:textId="77777777" w:rsidR="00CB507F" w:rsidRPr="00CB34A3" w:rsidRDefault="00CB507F" w:rsidP="00154612">
            <w:pPr>
              <w:pStyle w:val="HStandard"/>
              <w:rPr>
                <w:rFonts w:cs="Arial"/>
                <w:lang w:val="en-GB"/>
              </w:rPr>
            </w:pPr>
            <w:r w:rsidRPr="00CB34A3">
              <w:rPr>
                <w:lang w:val="en-GB"/>
              </w:rPr>
              <w:t xml:space="preserve">The key task of this phase is to process and synthetize all available data and information in a systematic way, with the view of assessing the (net) effects of the RDP interventions while considering them at both the beneficiary and RDP territory levels. This means, analysing the collected quantitative and qualitative evidence in order to assess the effects, taking into consideration the baseline (CCI) and the trends over the programming period. </w:t>
            </w:r>
          </w:p>
        </w:tc>
      </w:tr>
      <w:tr w:rsidR="00CB507F" w:rsidRPr="00F61F42" w14:paraId="30D4BEA5" w14:textId="77777777" w:rsidTr="004E4415">
        <w:trPr>
          <w:jc w:val="center"/>
        </w:trPr>
        <w:tc>
          <w:tcPr>
            <w:tcW w:w="9071" w:type="dxa"/>
            <w:shd w:val="clear" w:color="auto" w:fill="FCE5D5" w:themeFill="background2" w:themeFillTint="33"/>
          </w:tcPr>
          <w:p w14:paraId="1A5530AE" w14:textId="77777777" w:rsidR="00CB507F" w:rsidRPr="003726BE" w:rsidRDefault="00CB507F" w:rsidP="00C147EB">
            <w:pPr>
              <w:pStyle w:val="HHeading5"/>
              <w:rPr>
                <w:rFonts w:cs="Arial"/>
              </w:rPr>
            </w:pPr>
            <w:r w:rsidRPr="003726BE">
              <w:t xml:space="preserve">Recommended working steps: </w:t>
            </w:r>
          </w:p>
          <w:p w14:paraId="51393C3B" w14:textId="77777777" w:rsidR="00CB507F" w:rsidRPr="003726BE" w:rsidRDefault="00CB507F" w:rsidP="00673940">
            <w:pPr>
              <w:pStyle w:val="Hlistbullet"/>
              <w:rPr>
                <w:rFonts w:cs="Arial"/>
              </w:rPr>
            </w:pPr>
            <w:r w:rsidRPr="003726BE">
              <w:t>Introductory qualitative analysis</w:t>
            </w:r>
          </w:p>
          <w:p w14:paraId="1BC8860B" w14:textId="77777777" w:rsidR="00CB507F" w:rsidRPr="00CB34A3" w:rsidRDefault="00CB507F" w:rsidP="00673940">
            <w:pPr>
              <w:pStyle w:val="Hlistbullet"/>
              <w:rPr>
                <w:rFonts w:cs="Arial"/>
                <w:lang w:val="en-GB"/>
              </w:rPr>
            </w:pPr>
            <w:r w:rsidRPr="00CB34A3">
              <w:rPr>
                <w:lang w:val="en-GB"/>
              </w:rPr>
              <w:lastRenderedPageBreak/>
              <w:t>Formulation of testable hypotheses regarding potential programme effects</w:t>
            </w:r>
          </w:p>
          <w:p w14:paraId="76CB08F8" w14:textId="77777777" w:rsidR="00CB507F" w:rsidRPr="003726BE" w:rsidRDefault="00CB507F" w:rsidP="00673940">
            <w:pPr>
              <w:pStyle w:val="Hlistbullet"/>
              <w:rPr>
                <w:rFonts w:cs="Arial"/>
              </w:rPr>
            </w:pPr>
            <w:r w:rsidRPr="003726BE">
              <w:t>Testing and verification of hypothesis</w:t>
            </w:r>
          </w:p>
          <w:p w14:paraId="6623FC0A" w14:textId="77777777" w:rsidR="00F85019" w:rsidRPr="00CB34A3" w:rsidRDefault="009016DC" w:rsidP="000E5458">
            <w:pPr>
              <w:pStyle w:val="Hlistbullet"/>
              <w:rPr>
                <w:rFonts w:cs="Arial"/>
                <w:lang w:val="en-GB"/>
              </w:rPr>
            </w:pPr>
            <w:r w:rsidRPr="00CB34A3">
              <w:rPr>
                <w:lang w:val="en-GB"/>
              </w:rPr>
              <w:t xml:space="preserve">Calculation of result indicator values at the micro-level (common, additional and programme-specific) and the validation of the values of target indicators </w:t>
            </w:r>
          </w:p>
          <w:p w14:paraId="0D8905D8" w14:textId="77777777" w:rsidR="00CB507F" w:rsidRPr="003726BE" w:rsidRDefault="00CB507F" w:rsidP="001A1C0E">
            <w:pPr>
              <w:pStyle w:val="Hlistbullet"/>
            </w:pPr>
            <w:r w:rsidRPr="003726BE">
              <w:t>Identifying programme net-results</w:t>
            </w:r>
          </w:p>
          <w:p w14:paraId="5CB1ECC2" w14:textId="77777777" w:rsidR="00F3350F" w:rsidRPr="00CB34A3" w:rsidRDefault="00CA5526" w:rsidP="001A1C0E">
            <w:pPr>
              <w:pStyle w:val="Hlistbullet"/>
              <w:rPr>
                <w:rFonts w:cs="Arial"/>
                <w:sz w:val="18"/>
                <w:szCs w:val="24"/>
                <w:lang w:val="en-GB"/>
              </w:rPr>
            </w:pPr>
            <w:r w:rsidRPr="00CB34A3">
              <w:rPr>
                <w:lang w:val="en-GB"/>
              </w:rPr>
              <w:t xml:space="preserve">Considering the additional contributions of the RDP’s operations to focus areas in the calculation of result indicators </w:t>
            </w:r>
          </w:p>
        </w:tc>
      </w:tr>
      <w:tr w:rsidR="00CB507F" w:rsidRPr="00F61F42" w14:paraId="3476C4E4" w14:textId="77777777" w:rsidTr="004E4415">
        <w:trPr>
          <w:jc w:val="center"/>
        </w:trPr>
        <w:tc>
          <w:tcPr>
            <w:tcW w:w="9071" w:type="dxa"/>
          </w:tcPr>
          <w:p w14:paraId="6CA2968E" w14:textId="77777777" w:rsidR="00CB507F" w:rsidRPr="00CB34A3" w:rsidRDefault="00CB507F" w:rsidP="00755F20">
            <w:pPr>
              <w:pStyle w:val="HStandard"/>
              <w:rPr>
                <w:rFonts w:cs="Arial"/>
                <w:lang w:val="en-GB"/>
              </w:rPr>
            </w:pPr>
            <w:r w:rsidRPr="00CB34A3">
              <w:rPr>
                <w:b/>
                <w:lang w:val="en-GB"/>
              </w:rPr>
              <w:lastRenderedPageBreak/>
              <w:t>Expected outcome</w:t>
            </w:r>
            <w:r w:rsidRPr="00CB34A3">
              <w:rPr>
                <w:lang w:val="en-GB"/>
              </w:rPr>
              <w:t>: calculated values of indicators (gross, net)</w:t>
            </w:r>
          </w:p>
        </w:tc>
      </w:tr>
    </w:tbl>
    <w:p w14:paraId="4B6C29AE" w14:textId="77777777" w:rsidR="001C148B" w:rsidRPr="00CB34A3" w:rsidRDefault="00596660" w:rsidP="00673940">
      <w:pPr>
        <w:pStyle w:val="HStandard"/>
        <w:rPr>
          <w:rFonts w:cs="Arial"/>
          <w:lang w:val="en-GB"/>
        </w:rPr>
      </w:pPr>
      <w:r w:rsidRPr="00CB34A3">
        <w:rPr>
          <w:lang w:val="en-GB"/>
        </w:rPr>
        <w:t>For 2017, the result indicators will be in the form of gross and/or net values depending on the indicator form and data availability. As a minimum requirement for reporting on the evaluation in 2017, the complementary result indicator R2 "Change in agricultural output/AWU" should be presented in the net value</w:t>
      </w:r>
      <w:r w:rsidRPr="003726BE">
        <w:rPr>
          <w:rStyle w:val="FootnoteReference"/>
        </w:rPr>
        <w:footnoteReference w:id="71"/>
      </w:r>
      <w:r w:rsidRPr="00CB34A3">
        <w:rPr>
          <w:lang w:val="en-GB"/>
        </w:rPr>
        <w:t>. For the remaining complementary result indicators, the minimum requirement is to calculate gross values, even though net values could be presented as a good practice (however, net values will have to be given for all the complementary result indicators in the AIR 2019). Guidance on the calculation of net/gross values is provided in templates for answering CEQs, published in a separate document.</w:t>
      </w:r>
    </w:p>
    <w:p w14:paraId="0F87E3A9" w14:textId="77777777" w:rsidR="00596660" w:rsidRPr="00CB34A3" w:rsidRDefault="00EA0137" w:rsidP="00673940">
      <w:pPr>
        <w:pStyle w:val="HStandard"/>
        <w:rPr>
          <w:rFonts w:cs="Arial"/>
          <w:lang w:val="en-GB"/>
        </w:rPr>
      </w:pPr>
      <w:r w:rsidRPr="00CB34A3">
        <w:rPr>
          <w:lang w:val="en-GB"/>
        </w:rPr>
        <w:t>The netting out of indicators implies that there is sufficient data collected on beneficiaries and non-beneficiaries in the system</w:t>
      </w:r>
      <w:r w:rsidRPr="003726BE">
        <w:rPr>
          <w:rStyle w:val="FootnoteReference"/>
        </w:rPr>
        <w:footnoteReference w:id="72"/>
      </w:r>
      <w:r w:rsidRPr="00CB34A3">
        <w:rPr>
          <w:lang w:val="en-GB"/>
        </w:rPr>
        <w:t>. Only under this condition will it be possible to compare control groups and net out the results observed and answer the EQs foreseen for 2017 (focus area-related) and beyond (all). This will also influence the assessment of achievements and enable collecting sufficient evidence to answer all the EQs in the same way.</w:t>
      </w:r>
    </w:p>
    <w:p w14:paraId="6B359000" w14:textId="77777777" w:rsidR="00596660" w:rsidRPr="00CB34A3" w:rsidRDefault="001C148B" w:rsidP="00C147EB">
      <w:pPr>
        <w:pStyle w:val="HHeading5"/>
        <w:rPr>
          <w:rFonts w:cs="Arial"/>
          <w:lang w:val="en-GB"/>
        </w:rPr>
      </w:pPr>
      <w:r w:rsidRPr="00CB34A3">
        <w:rPr>
          <w:lang w:val="en-GB"/>
        </w:rPr>
        <w:t>Net assessment of programme results including disentangling of programme effects from other intervening factors</w:t>
      </w:r>
      <w:r w:rsidRPr="003726BE">
        <w:rPr>
          <w:rStyle w:val="FootnoteReference"/>
        </w:rPr>
        <w:footnoteReference w:id="73"/>
      </w:r>
    </w:p>
    <w:p w14:paraId="00E24664" w14:textId="77777777" w:rsidR="00596660" w:rsidRPr="00CB34A3" w:rsidRDefault="001C148B" w:rsidP="00673940">
      <w:pPr>
        <w:pStyle w:val="HStandard"/>
        <w:rPr>
          <w:rFonts w:cs="Arial"/>
          <w:lang w:val="en-GB"/>
        </w:rPr>
      </w:pPr>
      <w:r w:rsidRPr="00CB34A3">
        <w:rPr>
          <w:lang w:val="en-GB"/>
        </w:rPr>
        <w:t>The net assessment of the RDP’s results is an integrative task. Transverse and various types of indirect effects are most likely to occur, and the evaluation design has to take this into account. Furthermore, numerous exogenous factors may influence a given result indicator observed at the micro level. The task to separate the programme-born effects from other intervening factors is specifically critical concerning environmental results, where there is still a lot of uncertainty about methods to determine the proper scale of appraisal (micro or regional/local) and to derive appropriate counterfactuals</w:t>
      </w:r>
      <w:r w:rsidRPr="003726BE">
        <w:rPr>
          <w:rStyle w:val="FootnoteReference"/>
        </w:rPr>
        <w:footnoteReference w:id="74"/>
      </w:r>
      <w:r w:rsidRPr="00CB34A3">
        <w:rPr>
          <w:lang w:val="en-GB"/>
        </w:rPr>
        <w:t xml:space="preserve">. </w:t>
      </w:r>
    </w:p>
    <w:p w14:paraId="03B31D82" w14:textId="77777777" w:rsidR="00596660" w:rsidRPr="00CB34A3" w:rsidRDefault="00596660" w:rsidP="00673940">
      <w:pPr>
        <w:pStyle w:val="HStandard"/>
        <w:rPr>
          <w:rFonts w:cs="Arial"/>
          <w:lang w:val="en-GB"/>
        </w:rPr>
      </w:pPr>
      <w:r w:rsidRPr="00CB34A3">
        <w:rPr>
          <w:lang w:val="en-GB"/>
        </w:rPr>
        <w:t>Given the above, there are three key methodological challenges:</w:t>
      </w:r>
    </w:p>
    <w:p w14:paraId="097FBA08" w14:textId="77777777" w:rsidR="00596660" w:rsidRPr="00CB34A3" w:rsidRDefault="00596660" w:rsidP="00673940">
      <w:pPr>
        <w:pStyle w:val="Hlistbullet"/>
        <w:rPr>
          <w:rFonts w:cs="Arial"/>
          <w:lang w:val="en-GB"/>
        </w:rPr>
      </w:pPr>
      <w:r w:rsidRPr="00CB34A3">
        <w:rPr>
          <w:lang w:val="en-GB"/>
        </w:rPr>
        <w:t>The requirement to assess, wherever possible, programme results against their counterfactual, i.e. calculating the changes that would have occurred without the specific programme intervention;</w:t>
      </w:r>
    </w:p>
    <w:p w14:paraId="04106D8E" w14:textId="77777777" w:rsidR="00596660" w:rsidRPr="00CB34A3" w:rsidRDefault="00596660" w:rsidP="00673940">
      <w:pPr>
        <w:pStyle w:val="Hlistbullet"/>
        <w:rPr>
          <w:rFonts w:cs="Arial"/>
          <w:lang w:val="en-GB"/>
        </w:rPr>
      </w:pPr>
      <w:r w:rsidRPr="00CB34A3">
        <w:rPr>
          <w:lang w:val="en-GB"/>
        </w:rPr>
        <w:t>The requirement to estimate the net effects of the programme, by netting out deadweight, leverage, substitution effects, etc.;</w:t>
      </w:r>
    </w:p>
    <w:p w14:paraId="05478DFA" w14:textId="77777777" w:rsidR="00596660" w:rsidRPr="00CB34A3" w:rsidRDefault="00596660" w:rsidP="001A1C0E">
      <w:pPr>
        <w:pStyle w:val="Hlistbullet"/>
        <w:rPr>
          <w:lang w:val="en-GB"/>
        </w:rPr>
      </w:pPr>
      <w:r w:rsidRPr="00CB34A3">
        <w:rPr>
          <w:lang w:val="en-GB"/>
        </w:rPr>
        <w:lastRenderedPageBreak/>
        <w:t>The requirement to construct a data and information collection, which allows for the unbiased computation of the effects as stipulated above.</w:t>
      </w:r>
    </w:p>
    <w:p w14:paraId="251E6DFE" w14:textId="77777777" w:rsidR="00596660" w:rsidRPr="00CB34A3" w:rsidRDefault="00596660" w:rsidP="00673940">
      <w:pPr>
        <w:pStyle w:val="HStandard"/>
        <w:rPr>
          <w:rFonts w:cs="Arial"/>
          <w:lang w:val="en-GB"/>
        </w:rPr>
      </w:pPr>
      <w:r w:rsidRPr="00CB34A3">
        <w:rPr>
          <w:lang w:val="en-GB"/>
        </w:rPr>
        <w:t xml:space="preserve">The evaluators’ task is to establish a logical series of steps that connect the data derived from the database and other sources to the chosen analytical models in a way which responds to all the expected effects in the evaluation process: </w:t>
      </w:r>
    </w:p>
    <w:p w14:paraId="1B6E81D3" w14:textId="77777777" w:rsidR="00596660" w:rsidRPr="00CB34A3" w:rsidRDefault="00596660" w:rsidP="00673940">
      <w:pPr>
        <w:pStyle w:val="Hlistbullet"/>
        <w:rPr>
          <w:rFonts w:cs="Arial"/>
          <w:lang w:val="en-GB"/>
        </w:rPr>
      </w:pPr>
      <w:r w:rsidRPr="00CB34A3">
        <w:rPr>
          <w:lang w:val="en-GB"/>
        </w:rPr>
        <w:t>direct and indirect effects: expected and unexpected (positive and negative);</w:t>
      </w:r>
    </w:p>
    <w:p w14:paraId="79772B74" w14:textId="77777777" w:rsidR="00596660" w:rsidRPr="00CB34A3" w:rsidRDefault="00596660" w:rsidP="00673940">
      <w:pPr>
        <w:pStyle w:val="Hlistbullet"/>
        <w:rPr>
          <w:rFonts w:cs="Arial"/>
          <w:lang w:val="en-GB"/>
        </w:rPr>
      </w:pPr>
      <w:r w:rsidRPr="00CB34A3">
        <w:rPr>
          <w:lang w:val="en-GB"/>
        </w:rPr>
        <w:t>secondary contributions of operations to FA: expected and unexpected;</w:t>
      </w:r>
    </w:p>
    <w:p w14:paraId="6BCAFCFF" w14:textId="77777777" w:rsidR="00596660" w:rsidRPr="003726BE" w:rsidRDefault="00596660" w:rsidP="001A1C0E">
      <w:pPr>
        <w:pStyle w:val="Hlistbullet"/>
      </w:pPr>
      <w:r w:rsidRPr="003726BE">
        <w:t>synergies and transverse effects</w:t>
      </w:r>
      <w:r w:rsidRPr="003726BE">
        <w:rPr>
          <w:rStyle w:val="FootnoteReference"/>
        </w:rPr>
        <w:footnoteReference w:id="75"/>
      </w:r>
      <w:r w:rsidRPr="003726BE">
        <w:t xml:space="preserve">. </w:t>
      </w:r>
    </w:p>
    <w:p w14:paraId="6558A637" w14:textId="77777777" w:rsidR="00596660" w:rsidRPr="00CB34A3" w:rsidRDefault="00596660" w:rsidP="00673940">
      <w:pPr>
        <w:pStyle w:val="HStandard"/>
        <w:rPr>
          <w:rFonts w:cs="Arial"/>
          <w:lang w:val="en-GB"/>
        </w:rPr>
      </w:pPr>
      <w:r w:rsidRPr="00CB34A3">
        <w:rPr>
          <w:lang w:val="en-GB"/>
        </w:rPr>
        <w:t xml:space="preserve">These steps will be framed by the type and combination of measures and the availability of relevant context, input, output, and result indicator data/information and their ability to appraise the programme results and impacts at later stages of the RDP’s implementation. In some cases, quantitative data is available to estimate the RDP’s results. In other cases, missing quantitative data must be replaced with qualitative evidence. Moreover, the quantitative data should be triangulated with qualitative research, as it is proposed in these Guidelines. </w:t>
      </w:r>
    </w:p>
    <w:p w14:paraId="14ED7542" w14:textId="77777777" w:rsidR="00596660" w:rsidRPr="00CB34A3" w:rsidRDefault="001C519F" w:rsidP="00673940">
      <w:pPr>
        <w:pStyle w:val="HStandard"/>
        <w:rPr>
          <w:rFonts w:cs="Arial"/>
          <w:lang w:val="en-GB"/>
        </w:rPr>
      </w:pPr>
      <w:r w:rsidRPr="00CB34A3">
        <w:rPr>
          <w:lang w:val="en-GB"/>
        </w:rPr>
        <w:t>An example of the steps applicable in the assessment of RDP results is presented below:</w:t>
      </w:r>
    </w:p>
    <w:p w14:paraId="74B82051" w14:textId="77777777" w:rsidR="00596660" w:rsidRPr="00CB34A3" w:rsidRDefault="00596660" w:rsidP="00C147EB">
      <w:pPr>
        <w:pStyle w:val="HHeading5"/>
        <w:rPr>
          <w:rFonts w:cs="Arial"/>
          <w:lang w:val="en-GB"/>
        </w:rPr>
      </w:pPr>
      <w:r w:rsidRPr="00CB34A3">
        <w:rPr>
          <w:lang w:val="en-GB"/>
        </w:rPr>
        <w:t xml:space="preserve">Step 1: Introductory qualitative analysis </w:t>
      </w:r>
    </w:p>
    <w:p w14:paraId="56BCBE3B" w14:textId="77777777" w:rsidR="00596660" w:rsidRPr="00CB34A3" w:rsidRDefault="00596660" w:rsidP="00673940">
      <w:pPr>
        <w:pStyle w:val="HStandard"/>
        <w:rPr>
          <w:rFonts w:cs="Arial"/>
          <w:lang w:val="en-GB"/>
        </w:rPr>
      </w:pPr>
      <w:r w:rsidRPr="00CB34A3">
        <w:rPr>
          <w:lang w:val="en-GB"/>
        </w:rPr>
        <w:t>Introductory qualitative analysis (e.g. via application of theory of change) could be applied at the beginning of an evaluation process in order to reflect on various possible expected or unexpected, positive or negative effects of a RDP. If so, after linking it with the programme intervention logic, the evaluator may identify the magnitude and the scope of “observed” gross programme effects which at a later stage should be subject to more rigorous quantitative verification using causal inference approaches. The main aim of this introductory qualitative analysis is the prioritisation of the different potential programme effects by indicating and selecting those which, in view of the RD stakeholders and policy makers, are expected to make the biggest “change” in comparison with a situation “without” the programme (in AIR 2017 to be reported at the micro-level only). Clearly, at the first stage of the evaluation, the preliminary qualitative assessments are essential because they can provide an invaluable insiders’ perspectives on a programmes performance especially with regard to its unintended results or direct and secondary effects. Stage 1 is also consistent with the approach recommended in order to develop PSEQs (see Chapter 5.2.3).</w:t>
      </w:r>
    </w:p>
    <w:p w14:paraId="21DAD28C" w14:textId="77777777" w:rsidR="00596660" w:rsidRPr="00CB34A3" w:rsidRDefault="00596660" w:rsidP="00C147EB">
      <w:pPr>
        <w:pStyle w:val="HHeading5"/>
        <w:rPr>
          <w:rFonts w:eastAsia="Calibri" w:cs="Arial"/>
          <w:lang w:val="en-GB"/>
        </w:rPr>
      </w:pPr>
      <w:r w:rsidRPr="00CB34A3">
        <w:rPr>
          <w:lang w:val="en-GB"/>
        </w:rPr>
        <w:t xml:space="preserve">Step 2: Formulation of testable hypotheses regarding potential programme effects </w:t>
      </w:r>
    </w:p>
    <w:p w14:paraId="62CC1B06" w14:textId="77777777" w:rsidR="00596660" w:rsidRPr="00CB34A3" w:rsidRDefault="00596660" w:rsidP="00673940">
      <w:pPr>
        <w:pStyle w:val="HStandard"/>
        <w:rPr>
          <w:rFonts w:eastAsia="Calibri" w:cs="Arial"/>
          <w:lang w:val="en-GB"/>
        </w:rPr>
      </w:pPr>
      <w:r w:rsidRPr="00CB34A3">
        <w:rPr>
          <w:lang w:val="en-GB"/>
        </w:rPr>
        <w:t xml:space="preserve">At this stage CEQs and judgement criteria linked to the assessment of the expected results at the micro-level should be complemented with PSEQs and respective judgement criteria, result indicators, and testable hypotheses derived from Step 1. </w:t>
      </w:r>
    </w:p>
    <w:p w14:paraId="4B35B109" w14:textId="77777777" w:rsidR="00596660" w:rsidRPr="00CB34A3" w:rsidRDefault="00596660" w:rsidP="00C147EB">
      <w:pPr>
        <w:pStyle w:val="HHeading5"/>
        <w:rPr>
          <w:rFonts w:eastAsia="Calibri" w:cs="Arial"/>
          <w:lang w:val="en-GB"/>
        </w:rPr>
      </w:pPr>
      <w:r w:rsidRPr="00CB34A3">
        <w:rPr>
          <w:lang w:val="en-GB"/>
        </w:rPr>
        <w:t>Step 3: Testing and verification of hypotheses</w:t>
      </w:r>
    </w:p>
    <w:p w14:paraId="65D589C6" w14:textId="77777777" w:rsidR="00596660" w:rsidRPr="00CB34A3" w:rsidRDefault="00596660" w:rsidP="00673940">
      <w:pPr>
        <w:pStyle w:val="HStandard"/>
        <w:rPr>
          <w:rFonts w:eastAsia="Calibri" w:cs="Arial"/>
          <w:lang w:val="en-GB"/>
        </w:rPr>
      </w:pPr>
      <w:r w:rsidRPr="00CB34A3">
        <w:rPr>
          <w:lang w:val="en-GB"/>
        </w:rPr>
        <w:t>Under this step, the above-mentioned hypotheses have to be tested and/or verified using methodological approaches based on causal inference. At this stage it is important to use previously collected result indicators to enable a robust analysis of the most important expected or unexpected, positive or negative and secondary programme effects grouped under economic, social and environmental domains. Such testing can only be carried out under rigorous evaluation methodologies inter alia using credible counterfactuals.</w:t>
      </w:r>
    </w:p>
    <w:p w14:paraId="4C135329" w14:textId="77777777" w:rsidR="00596660" w:rsidRPr="00CB34A3" w:rsidRDefault="00596660" w:rsidP="00673940">
      <w:pPr>
        <w:pStyle w:val="HStandard"/>
        <w:rPr>
          <w:rFonts w:cs="Arial"/>
          <w:lang w:val="en-GB"/>
        </w:rPr>
      </w:pPr>
      <w:r w:rsidRPr="00CB34A3">
        <w:rPr>
          <w:lang w:val="en-GB"/>
        </w:rPr>
        <w:lastRenderedPageBreak/>
        <w:t xml:space="preserve">The main components of Step 3 are as follows: </w:t>
      </w:r>
    </w:p>
    <w:p w14:paraId="1C6A2AC2" w14:textId="77777777" w:rsidR="00596660" w:rsidRPr="00CB34A3" w:rsidRDefault="00596660" w:rsidP="00673940">
      <w:pPr>
        <w:pStyle w:val="Hlistbullet"/>
        <w:rPr>
          <w:rFonts w:cs="Arial"/>
          <w:lang w:val="en-GB"/>
        </w:rPr>
      </w:pPr>
      <w:r w:rsidRPr="00CB34A3">
        <w:rPr>
          <w:lang w:val="en-GB"/>
        </w:rPr>
        <w:t xml:space="preserve">Defining the outcome variables (in economic, social and environmental domains). The analysis can be conducted with as many outcome variables as there is sufficient data for. The analysis can be extended not only to cover direct effects, but also secondary effects, and positive, negative, expected and unexpected effects. </w:t>
      </w:r>
    </w:p>
    <w:p w14:paraId="2FF7064E" w14:textId="77777777" w:rsidR="00596660" w:rsidRPr="00CB34A3" w:rsidRDefault="00596660" w:rsidP="00673940">
      <w:pPr>
        <w:pStyle w:val="Hlistbullet"/>
        <w:rPr>
          <w:rFonts w:cs="Arial"/>
          <w:lang w:val="en-GB"/>
        </w:rPr>
      </w:pPr>
      <w:r w:rsidRPr="00CB34A3">
        <w:rPr>
          <w:lang w:val="en-GB"/>
        </w:rPr>
        <w:t xml:space="preserve">Defining the time dimension. For example, by comparing an average 2012-2013 (i.e. reflecting situations prior to the current programme) with 2016 (i.e. situation to be reported in AIR 2017). </w:t>
      </w:r>
    </w:p>
    <w:p w14:paraId="32B9B029" w14:textId="77777777" w:rsidR="00596660" w:rsidRPr="00CB34A3" w:rsidRDefault="00596660" w:rsidP="00673940">
      <w:pPr>
        <w:pStyle w:val="Hlistbullet"/>
        <w:rPr>
          <w:rFonts w:cs="Arial"/>
          <w:lang w:val="en-GB"/>
        </w:rPr>
      </w:pPr>
      <w:r w:rsidRPr="00CB34A3">
        <w:rPr>
          <w:lang w:val="en-GB"/>
        </w:rPr>
        <w:t>Applying suitable methodologies for finding credible control groups (a preference should be given to the application of both quantitative and qualitative methods). A suitable control group should be found for each type of effects analysed.</w:t>
      </w:r>
    </w:p>
    <w:p w14:paraId="18A7D5DC" w14:textId="77777777" w:rsidR="00596660" w:rsidRPr="00CB34A3" w:rsidRDefault="00596660" w:rsidP="00673940">
      <w:pPr>
        <w:pStyle w:val="Hlistbullet"/>
        <w:rPr>
          <w:rFonts w:cs="Arial"/>
          <w:lang w:val="en-GB"/>
        </w:rPr>
      </w:pPr>
      <w:r w:rsidRPr="00CB34A3">
        <w:rPr>
          <w:lang w:val="en-GB"/>
        </w:rPr>
        <w:t xml:space="preserve">Computing an average outcome effect for the group of programme beneficiaries. </w:t>
      </w:r>
    </w:p>
    <w:p w14:paraId="79C41EE7" w14:textId="77777777" w:rsidR="00596660" w:rsidRPr="00CB34A3" w:rsidRDefault="00596660" w:rsidP="00673940">
      <w:pPr>
        <w:pStyle w:val="Hlistbullet"/>
        <w:rPr>
          <w:rFonts w:cs="Arial"/>
          <w:lang w:val="en-GB"/>
        </w:rPr>
      </w:pPr>
      <w:r w:rsidRPr="00CB34A3">
        <w:rPr>
          <w:lang w:val="en-GB"/>
        </w:rPr>
        <w:t xml:space="preserve">Computing an average outcome effect for a comparable control group. </w:t>
      </w:r>
    </w:p>
    <w:p w14:paraId="73E276C8" w14:textId="77777777" w:rsidR="00596660" w:rsidRPr="00CB34A3" w:rsidRDefault="00596660" w:rsidP="001A1C0E">
      <w:pPr>
        <w:pStyle w:val="Hlistbullet"/>
        <w:rPr>
          <w:lang w:val="en-GB"/>
        </w:rPr>
      </w:pPr>
      <w:r w:rsidRPr="00CB34A3">
        <w:rPr>
          <w:lang w:val="en-GB"/>
        </w:rPr>
        <w:t>Calculating the expected or unexpected, positive or negative effects of the programme (for each outcome variable separately). Average Treatment Indicators (see definition below) can be applied to assess both programme direct as well as secondary effects – positive and negative.</w:t>
      </w:r>
    </w:p>
    <w:p w14:paraId="51F3C207" w14:textId="77777777" w:rsidR="00596660" w:rsidRPr="00CB34A3" w:rsidRDefault="00596660" w:rsidP="00C147EB">
      <w:pPr>
        <w:pStyle w:val="HHeading5"/>
        <w:rPr>
          <w:rFonts w:cs="Arial"/>
          <w:lang w:val="en-GB"/>
        </w:rPr>
      </w:pPr>
      <w:r w:rsidRPr="00CB34A3">
        <w:rPr>
          <w:lang w:val="en-GB"/>
        </w:rPr>
        <w:t>Step 4: Calculation of specific programme indirect effects at the micro-level</w:t>
      </w:r>
      <w:r w:rsidRPr="003726BE">
        <w:rPr>
          <w:vertAlign w:val="superscript"/>
        </w:rPr>
        <w:footnoteReference w:id="76"/>
      </w:r>
    </w:p>
    <w:p w14:paraId="0F676BA0" w14:textId="77777777" w:rsidR="00596660" w:rsidRPr="00CB34A3" w:rsidRDefault="000F77C2" w:rsidP="00673940">
      <w:pPr>
        <w:pStyle w:val="HStandard"/>
        <w:rPr>
          <w:rFonts w:cs="Arial"/>
          <w:lang w:val="en-GB"/>
        </w:rPr>
      </w:pPr>
      <w:r w:rsidRPr="00CB34A3">
        <w:rPr>
          <w:lang w:val="en-GB"/>
        </w:rPr>
        <w:t xml:space="preserve">Indirect effects are usually a derived causal consequence of programme direct effects at the micro-level (e.g. deadweight loss, leverage effects, or substitution effects) and at the macro or regional level (e.g. multiplier effect, displacement effect, etc.). Both types of indirect effects can be intended or unintended. </w:t>
      </w:r>
    </w:p>
    <w:p w14:paraId="0D988DE1" w14:textId="77777777" w:rsidR="00596660" w:rsidRPr="00CB34A3" w:rsidRDefault="00596660" w:rsidP="00673940">
      <w:pPr>
        <w:pStyle w:val="HStandard"/>
        <w:rPr>
          <w:rFonts w:cs="Arial"/>
          <w:lang w:val="en-GB"/>
        </w:rPr>
      </w:pPr>
      <w:r w:rsidRPr="00CB34A3">
        <w:rPr>
          <w:lang w:val="en-GB"/>
        </w:rPr>
        <w:t>Due to the focus of the AIR 2017, the analysis of the programme results covering the period 2014-2016 requires the calculation of programme indirect effects occurring at the micro-level only.</w:t>
      </w:r>
    </w:p>
    <w:p w14:paraId="30879F6B" w14:textId="77777777" w:rsidR="00596660" w:rsidRPr="00CB34A3" w:rsidRDefault="00596660" w:rsidP="00673940">
      <w:pPr>
        <w:pStyle w:val="HStandard"/>
        <w:rPr>
          <w:rFonts w:cs="Arial"/>
          <w:lang w:val="en-GB"/>
        </w:rPr>
      </w:pPr>
      <w:r w:rsidRPr="00CB34A3">
        <w:rPr>
          <w:lang w:val="en-GB"/>
        </w:rPr>
        <w:t xml:space="preserve">In general, a well-conceived evaluation design should be based on some verifiable hypothesis about whether programme indirect effects are present and why they exist. A typical feature of these types of effects is that they can make an overall economic, environmental and social effect substantially larger than direct effects alone. Yet, estimation and especially quantification of indirect effects may not be a trivial task (see the </w:t>
      </w:r>
      <w:hyperlink r:id="rId73">
        <w:r w:rsidRPr="00CB34A3">
          <w:rPr>
            <w:rStyle w:val="Hyperlink"/>
            <w:lang w:val="en-GB"/>
          </w:rPr>
          <w:t>Guidelines for the ex-post evaluation of 2007-2013 RDPs</w:t>
        </w:r>
      </w:hyperlink>
      <w:r w:rsidRPr="00CB34A3">
        <w:rPr>
          <w:lang w:val="en-GB"/>
        </w:rPr>
        <w:t xml:space="preserve">). Methodologies recommended for estimating deadweight, leverage, and substitution effects are described and illustrated in several other publications. </w:t>
      </w:r>
    </w:p>
    <w:p w14:paraId="5DFBABED" w14:textId="77777777" w:rsidR="00596660" w:rsidRPr="00CB34A3" w:rsidRDefault="00B12327" w:rsidP="00673940">
      <w:pPr>
        <w:pStyle w:val="HStandard"/>
        <w:rPr>
          <w:rFonts w:cs="Arial"/>
          <w:lang w:val="en-GB"/>
        </w:rPr>
      </w:pPr>
      <w:r w:rsidRPr="00CB34A3">
        <w:rPr>
          <w:lang w:val="en-GB"/>
        </w:rPr>
        <w:t>Abundant micro-economic data and advanced evaluation methodologies are crucial elements in a robust quantitative analysis of programme indirect effects. Additionally, it is recommended to complement quantitative estimates with qualitative information, e.g. by carrying out additional surveys focusing on specific issues (e.g. environmental), or interviewing programme non-beneficiaries that feel affected by the RDP implementation in order to find out a correct reference for a quantitative analysis.</w:t>
      </w:r>
    </w:p>
    <w:p w14:paraId="1AFF9E0F" w14:textId="77777777" w:rsidR="00596660" w:rsidRPr="00CB34A3" w:rsidRDefault="00596660" w:rsidP="00C147EB">
      <w:pPr>
        <w:pStyle w:val="HHeading5"/>
        <w:rPr>
          <w:rFonts w:cs="Arial"/>
          <w:lang w:val="en-GB"/>
        </w:rPr>
      </w:pPr>
      <w:r w:rsidRPr="00CB34A3">
        <w:rPr>
          <w:lang w:val="en-GB"/>
        </w:rPr>
        <w:t>Step 5: Identifying programme net-results</w:t>
      </w:r>
    </w:p>
    <w:p w14:paraId="5B5F5BB2" w14:textId="77777777" w:rsidR="00596660" w:rsidRPr="00CB34A3" w:rsidRDefault="00596660" w:rsidP="00673940">
      <w:pPr>
        <w:pStyle w:val="HStandard"/>
        <w:rPr>
          <w:rFonts w:cs="Arial"/>
          <w:lang w:val="en-GB"/>
        </w:rPr>
      </w:pPr>
      <w:r w:rsidRPr="00CB34A3">
        <w:rPr>
          <w:lang w:val="en-GB"/>
        </w:rPr>
        <w:t>Programme results should be expressed in “net” terms, which means after subtracting the effects that cannot be attributed to the intervention, and by taking into account indirect effects (deadweight loss, leverage, substitution, etc.). The evaluator should specify in detail what elements have been accounted for when calculating programme “net” effects.</w:t>
      </w:r>
    </w:p>
    <w:p w14:paraId="744DA8FB" w14:textId="77777777" w:rsidR="001D327E" w:rsidRPr="00CB34A3" w:rsidRDefault="00596660" w:rsidP="00EF33EE">
      <w:pPr>
        <w:pStyle w:val="HStandard"/>
        <w:rPr>
          <w:rFonts w:cs="Arial"/>
          <w:b/>
          <w:lang w:val="en-GB"/>
        </w:rPr>
      </w:pPr>
      <w:r w:rsidRPr="00CB34A3">
        <w:rPr>
          <w:lang w:val="en-GB"/>
        </w:rPr>
        <w:lastRenderedPageBreak/>
        <w:t>Evaluation of indirect effects is complex and requires advanced methods that can capture them. Most important, indirect effects are: multiplier effects, substitution effects and displacement effects (also see the Chapter 5 of PART II and the tool for qualitative appraisal of the RDP operation’s primary and secondary contributions in PART III).</w:t>
      </w:r>
    </w:p>
    <w:p w14:paraId="6258A5E9" w14:textId="77777777" w:rsidR="004E4415" w:rsidRPr="00CB34A3" w:rsidRDefault="004E4415">
      <w:pPr>
        <w:spacing w:before="0" w:after="0" w:line="240" w:lineRule="auto"/>
        <w:jc w:val="left"/>
        <w:rPr>
          <w:rFonts w:cs="Arial"/>
          <w:b/>
          <w:color w:val="373737" w:themeColor="background1" w:themeShade="40"/>
          <w:sz w:val="20"/>
          <w:szCs w:val="20"/>
          <w:lang w:val="en-GB"/>
        </w:rPr>
      </w:pPr>
      <w:r w:rsidRPr="00CB34A3">
        <w:rPr>
          <w:lang w:val="en-GB"/>
        </w:rPr>
        <w:br w:type="page"/>
      </w:r>
    </w:p>
    <w:p w14:paraId="7DE1B7E1" w14:textId="77777777" w:rsidR="00E316AD" w:rsidRPr="00CB34A3" w:rsidRDefault="00F3350F" w:rsidP="00673940">
      <w:pPr>
        <w:pStyle w:val="HStandard"/>
        <w:rPr>
          <w:rFonts w:cs="Arial"/>
          <w:b/>
          <w:lang w:val="en-GB"/>
        </w:rPr>
      </w:pPr>
      <w:r w:rsidRPr="00CB34A3">
        <w:rPr>
          <w:b/>
          <w:lang w:val="en-GB"/>
        </w:rPr>
        <w:lastRenderedPageBreak/>
        <w:t xml:space="preserve">Considering secondary contributions of operations in calculating result indicators  </w:t>
      </w:r>
    </w:p>
    <w:p w14:paraId="57582394" w14:textId="77777777" w:rsidR="00031DCC" w:rsidRPr="00CB34A3" w:rsidRDefault="00B64745" w:rsidP="00EF33EE">
      <w:pPr>
        <w:pStyle w:val="HStandard"/>
        <w:rPr>
          <w:rFonts w:cs="Arial"/>
          <w:lang w:val="en-GB"/>
        </w:rPr>
      </w:pPr>
      <w:r w:rsidRPr="00CB34A3">
        <w:rPr>
          <w:lang w:val="en-GB"/>
        </w:rPr>
        <w:t xml:space="preserve">When calculating result indicators (complementary result indicators or target indicators) secondary contributions should be considered. The definition of secondary contributions can be found in chapter 5.1 of PART II of these guidelines.  </w:t>
      </w:r>
    </w:p>
    <w:p w14:paraId="6B59D3E2" w14:textId="77777777" w:rsidR="00EF33EE" w:rsidRPr="00CB34A3" w:rsidRDefault="00E31EE9" w:rsidP="004C2F08">
      <w:pPr>
        <w:pStyle w:val="HStandard"/>
        <w:rPr>
          <w:rFonts w:cs="Arial"/>
          <w:lang w:val="en-GB"/>
        </w:rPr>
      </w:pPr>
      <w:r w:rsidRPr="00CB34A3">
        <w:rPr>
          <w:lang w:val="en-GB"/>
        </w:rPr>
        <w:t xml:space="preserve">Secondary contributions of operations to the value of each result indicator are estimated by evaluators using samples of beneficiaries who have flagged in the RDP’s operations database additional contributions of operations to focus areas other than those under which they have been programmed. With the exception of operations programmed under the environmental Focus Areas, namely FA 4A, 4B, 4C, 5D and 5E, where targets are set as a % of the area covered by contracts. These are counted for all FAs to which objectives they can contribute. Their multiplied contributions are already captured by the monitoring system and no further quantification of the target is needed during the evaluation.  </w:t>
      </w:r>
    </w:p>
    <w:p w14:paraId="70226D40" w14:textId="77777777" w:rsidR="0014346F" w:rsidRPr="00CB34A3" w:rsidRDefault="00EF33EE" w:rsidP="00EF33EE">
      <w:pPr>
        <w:pStyle w:val="HStandard"/>
        <w:rPr>
          <w:rFonts w:cs="Arial"/>
          <w:lang w:val="en-GB"/>
        </w:rPr>
      </w:pPr>
      <w:r w:rsidRPr="00CB34A3">
        <w:rPr>
          <w:lang w:val="en-GB"/>
        </w:rPr>
        <w:t>For the other operations only significant additional contributions should be considered. For example, the beneficiaries of a given operation under measure 4, which is programmed under FA 2A, flag in the application form/payment request an additional contribution to FA 5B. The evaluator shall use the sample of those beneficiaries for the survey, assessing to what extent the operations implemented have contributed to the competitiveness of farms and to energy efficiency. Survey results should be aggregated and extrapolated and used to estimate the additional contribution at the level of the FA when calculating the respective result indicator.  The evaluators should further distinguish these additional contributions in the total value of the indicator. The additional contributions of operations implemented under the LEADER/CLLD should be distinguished as well (See Annex 1 of the PART III).</w:t>
      </w:r>
    </w:p>
    <w:p w14:paraId="73C61CAB" w14:textId="77777777" w:rsidR="00596660" w:rsidRPr="003726BE" w:rsidRDefault="00596660" w:rsidP="00C868C5">
      <w:pPr>
        <w:pStyle w:val="HHeading2"/>
      </w:pPr>
      <w:bookmarkStart w:id="121" w:name="_Toc460936124"/>
      <w:bookmarkStart w:id="122" w:name="_Toc474132164"/>
      <w:r w:rsidRPr="003726BE">
        <w:t>Judging</w:t>
      </w:r>
      <w:bookmarkEnd w:id="121"/>
      <w:bookmarkEnd w:id="122"/>
    </w:p>
    <w:tbl>
      <w:tblPr>
        <w:tblStyle w:val="TableGrid"/>
        <w:tblW w:w="9071" w:type="dxa"/>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9071"/>
      </w:tblGrid>
      <w:tr w:rsidR="00673940" w:rsidRPr="00F61F42" w14:paraId="4027E8C3" w14:textId="77777777" w:rsidTr="004E4415">
        <w:trPr>
          <w:jc w:val="center"/>
        </w:trPr>
        <w:tc>
          <w:tcPr>
            <w:tcW w:w="9071" w:type="dxa"/>
            <w:tcBorders>
              <w:bottom w:val="single" w:sz="4" w:space="0" w:color="6F6F6F" w:themeColor="text1"/>
            </w:tcBorders>
            <w:shd w:val="clear" w:color="auto" w:fill="F6B183" w:themeFill="background2" w:themeFillTint="99"/>
          </w:tcPr>
          <w:p w14:paraId="1246C608" w14:textId="77777777" w:rsidR="00606478" w:rsidRPr="00CB34A3" w:rsidRDefault="00606478" w:rsidP="00153C8D">
            <w:pPr>
              <w:pStyle w:val="HStandard"/>
              <w:rPr>
                <w:rFonts w:cs="Arial"/>
                <w:lang w:val="en-GB"/>
              </w:rPr>
            </w:pPr>
            <w:r w:rsidRPr="00CB34A3">
              <w:rPr>
                <w:lang w:val="en-GB"/>
              </w:rPr>
              <w:t xml:space="preserve">The task of the judging phase is to interpret the evaluation findings, formulate answers to EQs on the basis of the judgement criteria and indicators. The conclusions and recommendations relate to the effects of single focus areas, as well as the programme as a whole.  </w:t>
            </w:r>
          </w:p>
        </w:tc>
      </w:tr>
      <w:tr w:rsidR="00606478" w:rsidRPr="00F61F42" w14:paraId="2B76A249" w14:textId="77777777" w:rsidTr="004E4415">
        <w:trPr>
          <w:jc w:val="center"/>
        </w:trPr>
        <w:tc>
          <w:tcPr>
            <w:tcW w:w="9071" w:type="dxa"/>
            <w:shd w:val="clear" w:color="auto" w:fill="FCE5D5" w:themeFill="background2" w:themeFillTint="33"/>
          </w:tcPr>
          <w:p w14:paraId="56196219" w14:textId="77777777" w:rsidR="00606478" w:rsidRPr="003726BE" w:rsidRDefault="00606478" w:rsidP="00C147EB">
            <w:pPr>
              <w:pStyle w:val="HHeading5"/>
              <w:rPr>
                <w:rFonts w:cs="Arial"/>
              </w:rPr>
            </w:pPr>
            <w:r w:rsidRPr="003726BE">
              <w:t xml:space="preserve">Recommended working steps: </w:t>
            </w:r>
          </w:p>
          <w:p w14:paraId="26D52A15" w14:textId="77777777" w:rsidR="00606478" w:rsidRPr="00CB34A3" w:rsidRDefault="00606478" w:rsidP="00673940">
            <w:pPr>
              <w:pStyle w:val="Hlistbullet"/>
              <w:rPr>
                <w:rFonts w:cs="Arial"/>
                <w:lang w:val="en-GB"/>
              </w:rPr>
            </w:pPr>
            <w:r w:rsidRPr="00CB34A3">
              <w:rPr>
                <w:lang w:val="en-GB"/>
              </w:rPr>
              <w:t>Answer the EQs to be reported on in the AIR 2017,</w:t>
            </w:r>
          </w:p>
          <w:p w14:paraId="5ABC28AA" w14:textId="77777777" w:rsidR="00606478" w:rsidRPr="00CB34A3" w:rsidRDefault="00606478" w:rsidP="00673940">
            <w:pPr>
              <w:pStyle w:val="Hlistbullet"/>
              <w:rPr>
                <w:rFonts w:cs="Arial"/>
                <w:lang w:val="en-GB"/>
              </w:rPr>
            </w:pPr>
            <w:r w:rsidRPr="00CB34A3">
              <w:rPr>
                <w:lang w:val="en-GB"/>
              </w:rPr>
              <w:t>Judge on expected results and identify the internal and external factors, which contribute to the success or failure of the programme objectives,</w:t>
            </w:r>
          </w:p>
          <w:p w14:paraId="7F70F512" w14:textId="77777777" w:rsidR="00606478" w:rsidRPr="00CB34A3" w:rsidRDefault="00606478" w:rsidP="00976C04">
            <w:pPr>
              <w:pStyle w:val="Hlistbullet"/>
              <w:rPr>
                <w:lang w:val="en-GB"/>
              </w:rPr>
            </w:pPr>
            <w:r w:rsidRPr="00CB34A3">
              <w:rPr>
                <w:lang w:val="en-GB"/>
              </w:rPr>
              <w:t>Draft conclusions as well as recommendations.</w:t>
            </w:r>
          </w:p>
        </w:tc>
      </w:tr>
      <w:tr w:rsidR="00606478" w:rsidRPr="00F61F42" w14:paraId="0B6C5246" w14:textId="77777777" w:rsidTr="004E4415">
        <w:trPr>
          <w:jc w:val="center"/>
        </w:trPr>
        <w:tc>
          <w:tcPr>
            <w:tcW w:w="9071" w:type="dxa"/>
          </w:tcPr>
          <w:p w14:paraId="013C8FFB" w14:textId="77777777" w:rsidR="00606478" w:rsidRPr="00CB34A3" w:rsidRDefault="00606478" w:rsidP="00153C8D">
            <w:pPr>
              <w:pStyle w:val="HStandard"/>
              <w:rPr>
                <w:rFonts w:cs="Arial"/>
                <w:lang w:val="en-GB"/>
              </w:rPr>
            </w:pPr>
            <w:r w:rsidRPr="00CB34A3">
              <w:rPr>
                <w:b/>
                <w:lang w:val="en-GB"/>
              </w:rPr>
              <w:t>Expected outcome:</w:t>
            </w:r>
            <w:r w:rsidRPr="00CB34A3">
              <w:rPr>
                <w:lang w:val="en-GB"/>
              </w:rPr>
              <w:t xml:space="preserve"> Answers to EQs, conclusions and recommendations</w:t>
            </w:r>
          </w:p>
        </w:tc>
      </w:tr>
    </w:tbl>
    <w:p w14:paraId="559D02D9" w14:textId="77777777" w:rsidR="00596660" w:rsidRPr="003726BE" w:rsidRDefault="00A172E7" w:rsidP="00673940">
      <w:pPr>
        <w:pStyle w:val="HStandard"/>
        <w:rPr>
          <w:rFonts w:cs="Arial"/>
        </w:rPr>
      </w:pPr>
      <w:r w:rsidRPr="00CB34A3">
        <w:rPr>
          <w:lang w:val="en-GB"/>
        </w:rPr>
        <w:t xml:space="preserve">Answers to EQs must be based on sound evidence and accompanied by a critical discussion of such evidence. In this sense, evaluators shall discuss and interpret the qualitative information and data values for common and programme-specific indicators obtained from the analysis. Moreover, the evaluators need to consider the context (e.g. socio-economic situation, capacity of beneficiaries to co-finance projects). For example, where net values of indicators are very low or negative, a proper explanation shall be provided. Moreover, if certain focus areas, or a part of the programme has not delivered the expected results and impacts, an analysis of the reasons for these unexpected effects is necessary. </w:t>
      </w:r>
      <w:r w:rsidRPr="003726BE">
        <w:t>In this respect, the evaluator will have to:</w:t>
      </w:r>
    </w:p>
    <w:p w14:paraId="038325C0" w14:textId="77777777" w:rsidR="00596660" w:rsidRPr="00CB34A3" w:rsidRDefault="00596660" w:rsidP="00673940">
      <w:pPr>
        <w:pStyle w:val="Hlistbullet"/>
        <w:rPr>
          <w:rFonts w:cs="Arial"/>
          <w:lang w:val="en-GB"/>
        </w:rPr>
      </w:pPr>
      <w:r w:rsidRPr="00CB34A3">
        <w:rPr>
          <w:lang w:val="en-GB"/>
        </w:rPr>
        <w:t>Answer the EQs to be reported in the AIR 2017, taking into account the context. In the answer to these EQs the effectiveness and efficiency principles (obtained results and resources spent) should always be present.</w:t>
      </w:r>
    </w:p>
    <w:p w14:paraId="594BE98D" w14:textId="77777777" w:rsidR="00596660" w:rsidRPr="00CB34A3" w:rsidRDefault="00596660" w:rsidP="00673940">
      <w:pPr>
        <w:pStyle w:val="Hlistbullet"/>
        <w:rPr>
          <w:rFonts w:cs="Arial"/>
          <w:lang w:val="en-GB"/>
        </w:rPr>
      </w:pPr>
      <w:r w:rsidRPr="00CB34A3">
        <w:rPr>
          <w:lang w:val="en-GB"/>
        </w:rPr>
        <w:lastRenderedPageBreak/>
        <w:t xml:space="preserve">While answering, the evaluator has to carefully judge to which extent the programme contributes to achieving the expected results and identify the internal and external factors which contribute to the success or failure of the programme objectives. The additional contributions of operations implemented under the other FAs not belonging to the CEQ, and additional contributions of operations implemented under LEADER/CLLD should be highlighted in the answer to the evaluation question. </w:t>
      </w:r>
    </w:p>
    <w:p w14:paraId="504BA5E8" w14:textId="77777777" w:rsidR="00596660" w:rsidRPr="00CB34A3" w:rsidRDefault="00596660" w:rsidP="00976C04">
      <w:pPr>
        <w:pStyle w:val="Hlistbullet"/>
        <w:rPr>
          <w:lang w:val="en-GB"/>
        </w:rPr>
      </w:pPr>
      <w:r w:rsidRPr="00CB34A3">
        <w:rPr>
          <w:lang w:val="en-GB"/>
        </w:rPr>
        <w:t>Draft conclusions and recommendations appropriately substantiated by the findings.</w:t>
      </w:r>
    </w:p>
    <w:p w14:paraId="01288D67" w14:textId="77777777" w:rsidR="00596660" w:rsidRPr="00CB34A3" w:rsidRDefault="00596660" w:rsidP="00673940">
      <w:pPr>
        <w:pStyle w:val="HStandard"/>
        <w:rPr>
          <w:rFonts w:cs="Arial"/>
          <w:lang w:val="en-GB"/>
        </w:rPr>
      </w:pPr>
      <w:r w:rsidRPr="00CB34A3">
        <w:rPr>
          <w:lang w:val="en-GB"/>
        </w:rPr>
        <w:t xml:space="preserve">In case the findings have limitations in their validity (e.g. in case of insufficient RDP uptake, or use of naïve evaluation methods) the resulting judgement should be critically reflected. During the judging phase, the evaluator also draws the conclusions and recommendations to improve the strategy (design and implementation of the RDP). The conclusions and recommendation should be based on the collected evidence and its robust interpretation, while being rooted in the answers to the EQs. The answers to the EQs, together with the set of conclusions and recommendations, are the core messages to be integrated in the AIR 2017. </w:t>
      </w:r>
    </w:p>
    <w:p w14:paraId="0BC54CE9" w14:textId="77777777" w:rsidR="00596660" w:rsidRPr="00CB34A3" w:rsidRDefault="00596660" w:rsidP="00C147EB">
      <w:pPr>
        <w:pStyle w:val="HHeading5"/>
        <w:rPr>
          <w:rFonts w:cs="Arial"/>
          <w:lang w:val="en-GB"/>
        </w:rPr>
      </w:pPr>
      <w:r w:rsidRPr="00CB34A3">
        <w:rPr>
          <w:lang w:val="en-GB"/>
        </w:rPr>
        <w:t xml:space="preserve">Further reading </w:t>
      </w:r>
    </w:p>
    <w:p w14:paraId="2B244BBB" w14:textId="77777777" w:rsidR="00064C9D" w:rsidRPr="00CB34A3" w:rsidRDefault="00064C9D" w:rsidP="00064C9D">
      <w:pPr>
        <w:pStyle w:val="HBox"/>
        <w:rPr>
          <w:rFonts w:cs="Arial"/>
          <w:lang w:val="en-GB"/>
        </w:rPr>
      </w:pPr>
      <w:r w:rsidRPr="00CB34A3">
        <w:rPr>
          <w:lang w:val="en-GB"/>
        </w:rPr>
        <w:t xml:space="preserve">Capturing the success of your RDP: Guidelines for ex post evaluation of 2007-2013 RDPs, PART II, Chapters 2, 3, 4 and 5, </w:t>
      </w:r>
      <w:hyperlink r:id="rId74">
        <w:r w:rsidRPr="00CB34A3">
          <w:rPr>
            <w:rStyle w:val="Hyperlink"/>
            <w:lang w:val="en-GB"/>
          </w:rPr>
          <w:t>http://enrd.ec.europa.eu/enrd-static/evaluation/library/evaluation-helpdesk-publications/en/evaluation-helpdesk-publications_en.html</w:t>
        </w:r>
      </w:hyperlink>
    </w:p>
    <w:p w14:paraId="2A7A160C" w14:textId="77777777" w:rsidR="00064C9D" w:rsidRPr="00CB34A3" w:rsidRDefault="00064C9D" w:rsidP="00064C9D">
      <w:pPr>
        <w:pStyle w:val="HBox"/>
        <w:rPr>
          <w:rStyle w:val="Hyperlink"/>
          <w:lang w:val="en-GB"/>
        </w:rPr>
      </w:pPr>
      <w:r w:rsidRPr="00CB34A3">
        <w:rPr>
          <w:lang w:val="en-GB"/>
        </w:rPr>
        <w:t xml:space="preserve">Handbook of the Common monitoring and evaluation framework 2007-2013 and Annexes, Annex 1, Guidance note B – Evaluation guidelines, </w:t>
      </w:r>
      <w:hyperlink r:id="rId75">
        <w:r w:rsidRPr="00CB34A3">
          <w:rPr>
            <w:rStyle w:val="Hyperlink"/>
            <w:lang w:val="en-GB"/>
          </w:rPr>
          <w:t>http://ec.europa.eu/agriculture/rurdev/eval/index_en.htm</w:t>
        </w:r>
      </w:hyperlink>
    </w:p>
    <w:p w14:paraId="28AC82AB" w14:textId="77777777" w:rsidR="00C95C02" w:rsidRPr="003726BE" w:rsidRDefault="00C95C02" w:rsidP="00C95C02">
      <w:pPr>
        <w:pStyle w:val="HHeading9"/>
        <w:rPr>
          <w:rFonts w:cs="Arial"/>
          <w:caps w:val="0"/>
        </w:rPr>
      </w:pPr>
      <w:bookmarkStart w:id="123" w:name="_Toc460936125"/>
      <w:bookmarkStart w:id="124" w:name="_Toc474132165"/>
      <w:r w:rsidRPr="003726BE">
        <w:rPr>
          <w:caps w:val="0"/>
        </w:rPr>
        <w:lastRenderedPageBreak/>
        <w:t>PART III - Annexes</w:t>
      </w:r>
      <w:bookmarkEnd w:id="123"/>
      <w:bookmarkEnd w:id="124"/>
    </w:p>
    <w:p w14:paraId="7D1DB412" w14:textId="77777777" w:rsidR="002B2ED6" w:rsidRPr="003726BE" w:rsidRDefault="002B2ED6" w:rsidP="00EC5230">
      <w:pPr>
        <w:pStyle w:val="HHeading1"/>
        <w:numPr>
          <w:ilvl w:val="0"/>
          <w:numId w:val="0"/>
        </w:numPr>
        <w:ind w:left="510" w:hanging="510"/>
        <w:rPr>
          <w:caps w:val="0"/>
          <w:highlight w:val="yellow"/>
        </w:rPr>
      </w:pPr>
      <w:bookmarkStart w:id="125" w:name="_Toc447787428"/>
      <w:bookmarkStart w:id="126" w:name="_Toc447816412"/>
      <w:bookmarkStart w:id="127" w:name="_Toc456012891"/>
      <w:bookmarkStart w:id="128" w:name="_Toc460936126"/>
      <w:bookmarkStart w:id="129" w:name="_Toc474132166"/>
      <w:r w:rsidRPr="003726BE">
        <w:rPr>
          <w:caps w:val="0"/>
          <w:highlight w:val="yellow"/>
        </w:rPr>
        <w:lastRenderedPageBreak/>
        <w:t>Allegato 1 - Proposta di modello SFC per il punto 7 della RAA presentata nel 2017</w:t>
      </w:r>
      <w:bookmarkEnd w:id="125"/>
      <w:bookmarkEnd w:id="126"/>
      <w:bookmarkEnd w:id="127"/>
      <w:bookmarkEnd w:id="128"/>
      <w:bookmarkEnd w:id="129"/>
    </w:p>
    <w:p w14:paraId="779205D8" w14:textId="77777777" w:rsidR="002B2ED6" w:rsidRPr="003726BE" w:rsidRDefault="002B2ED6" w:rsidP="00F116B5">
      <w:pPr>
        <w:pStyle w:val="HStandard"/>
        <w:rPr>
          <w:highlight w:val="yellow"/>
        </w:rPr>
      </w:pPr>
      <w:r w:rsidRPr="003726BE">
        <w:rPr>
          <w:highlight w:val="yellow"/>
        </w:rPr>
        <w:t>Le RAA sono presentate dagli Stati membri alla Commissione europea attraverso il sistema elettronico per lo scambio di informazioni, utilizzando il modello SFC. Nel 2017 la RAA conterrà inoltre, al punto 7, le informazioni risultanti dalle attività di valutazione, tra cui la quantificazione dei risultati del programma attraverso la valutazione degli indicatori di risultato (in particolare gli indicatori di risultato complementari) e le risposte alle domande di valutazione pertinenti</w:t>
      </w:r>
      <w:r w:rsidRPr="003726BE">
        <w:rPr>
          <w:rStyle w:val="FootnoteReference"/>
          <w:highlight w:val="yellow"/>
        </w:rPr>
        <w:footnoteReference w:id="77"/>
      </w:r>
      <w:r w:rsidRPr="003726BE">
        <w:rPr>
          <w:highlight w:val="yellow"/>
        </w:rPr>
        <w:t>. Per questo motivo, il modello SFC della RAA 2017 includerà al punto 7 delle tabelle preparate separatamente per:</w:t>
      </w:r>
    </w:p>
    <w:p w14:paraId="37F715E6" w14:textId="77777777" w:rsidR="002B2ED6" w:rsidRPr="003726BE" w:rsidRDefault="002B2ED6" w:rsidP="001A31FB">
      <w:pPr>
        <w:pStyle w:val="Hlistabc"/>
        <w:numPr>
          <w:ilvl w:val="0"/>
          <w:numId w:val="34"/>
        </w:numPr>
        <w:spacing w:before="0" w:after="120" w:line="280" w:lineRule="atLeast"/>
        <w:rPr>
          <w:rFonts w:cs="Arial"/>
          <w:highlight w:val="yellow"/>
        </w:rPr>
      </w:pPr>
      <w:r w:rsidRPr="003726BE">
        <w:rPr>
          <w:highlight w:val="yellow"/>
        </w:rPr>
        <w:t xml:space="preserve">ciascuna delle domande del QVC relative alla valutazione degli aspetti specifici, numero 1-18; </w:t>
      </w:r>
    </w:p>
    <w:p w14:paraId="1D0FD7B9" w14:textId="77777777" w:rsidR="002B2ED6" w:rsidRPr="003726BE" w:rsidRDefault="002B2ED6" w:rsidP="002B2ED6">
      <w:pPr>
        <w:pStyle w:val="Hlistabc"/>
        <w:spacing w:before="0" w:line="280" w:lineRule="atLeast"/>
        <w:rPr>
          <w:rFonts w:cs="Arial"/>
          <w:color w:val="030303"/>
          <w:highlight w:val="yellow"/>
        </w:rPr>
      </w:pPr>
      <w:r w:rsidRPr="003726BE">
        <w:rPr>
          <w:highlight w:val="yellow"/>
        </w:rPr>
        <w:t>domande del QVC relative alla valutazione di altri aspetti del PSR:</w:t>
      </w:r>
      <w:r w:rsidRPr="003726BE">
        <w:rPr>
          <w:color w:val="030303"/>
          <w:highlight w:val="yellow"/>
        </w:rPr>
        <w:t xml:space="preserve"> </w:t>
      </w:r>
    </w:p>
    <w:p w14:paraId="03D38C68" w14:textId="77777777" w:rsidR="002B2ED6" w:rsidRPr="003726BE" w:rsidRDefault="002B2ED6" w:rsidP="00F116B5">
      <w:pPr>
        <w:pStyle w:val="Hlistline3"/>
        <w:rPr>
          <w:highlight w:val="yellow"/>
        </w:rPr>
      </w:pPr>
      <w:r w:rsidRPr="003726BE">
        <w:rPr>
          <w:highlight w:val="yellow"/>
        </w:rPr>
        <w:t xml:space="preserve">assistenza tecnica e RRN, domande del QVC numero 20 e 21; </w:t>
      </w:r>
    </w:p>
    <w:p w14:paraId="65BE2E19" w14:textId="77777777" w:rsidR="002B2ED6" w:rsidRPr="003726BE" w:rsidRDefault="002B2ED6" w:rsidP="00F116B5">
      <w:pPr>
        <w:pStyle w:val="Hlistline3"/>
        <w:rPr>
          <w:highlight w:val="yellow"/>
        </w:rPr>
      </w:pPr>
      <w:r w:rsidRPr="003726BE">
        <w:rPr>
          <w:highlight w:val="yellow"/>
        </w:rPr>
        <w:t>sinergie del programma, domanda del QVC numero 19;</w:t>
      </w:r>
    </w:p>
    <w:p w14:paraId="4BFB5763" w14:textId="77777777" w:rsidR="002B2ED6" w:rsidRPr="003726BE" w:rsidRDefault="002B2ED6" w:rsidP="00F116B5">
      <w:pPr>
        <w:pStyle w:val="Hlistabc"/>
        <w:rPr>
          <w:highlight w:val="yellow"/>
        </w:rPr>
      </w:pPr>
      <w:r w:rsidRPr="003726BE">
        <w:rPr>
          <w:highlight w:val="yellow"/>
        </w:rPr>
        <w:t>domande di valutazione specifiche del programma (DVSP), legate alla valutazione di:</w:t>
      </w:r>
    </w:p>
    <w:p w14:paraId="045456CC" w14:textId="77777777" w:rsidR="002B2ED6" w:rsidRPr="003726BE" w:rsidRDefault="002B2ED6" w:rsidP="00F116B5">
      <w:pPr>
        <w:pStyle w:val="Hlistline3"/>
        <w:rPr>
          <w:highlight w:val="yellow"/>
        </w:rPr>
      </w:pPr>
      <w:r w:rsidRPr="003726BE">
        <w:rPr>
          <w:highlight w:val="yellow"/>
        </w:rPr>
        <w:t>aspetti specifici per il programma (da moltiplicare a seconda del numero di aspetti specifici inclusi nel PSR);</w:t>
      </w:r>
    </w:p>
    <w:p w14:paraId="32927DD1" w14:textId="77777777" w:rsidR="002B2ED6" w:rsidRPr="003726BE" w:rsidRDefault="002B2ED6" w:rsidP="00F116B5">
      <w:pPr>
        <w:pStyle w:val="Hlistline3"/>
        <w:rPr>
          <w:highlight w:val="yellow"/>
        </w:rPr>
      </w:pPr>
      <w:r w:rsidRPr="003726BE">
        <w:rPr>
          <w:highlight w:val="yellow"/>
        </w:rPr>
        <w:t xml:space="preserve">temi specifici del PSR (ad esempio, la valutazione </w:t>
      </w:r>
      <w:r w:rsidR="006217D2">
        <w:rPr>
          <w:highlight w:val="yellow"/>
        </w:rPr>
        <w:t>del meccanismo di attuazione).</w:t>
      </w:r>
      <w:r w:rsidRPr="003726BE">
        <w:rPr>
          <w:highlight w:val="yellow"/>
        </w:rPr>
        <w:t xml:space="preserve"> </w:t>
      </w:r>
    </w:p>
    <w:p w14:paraId="38F18D1F" w14:textId="77777777" w:rsidR="002B2ED6" w:rsidRPr="003726BE" w:rsidRDefault="002B2ED6" w:rsidP="00F116B5">
      <w:pPr>
        <w:pStyle w:val="HStandard"/>
        <w:rPr>
          <w:highlight w:val="yellow"/>
        </w:rPr>
      </w:pPr>
      <w:r w:rsidRPr="003726BE">
        <w:rPr>
          <w:highlight w:val="yellow"/>
        </w:rPr>
        <w:t>Le informazioni sulla valutazione raccolte tramite le tabelle di cui al punto 7 del modello SFC riassumono questioni chiave importanti per gli Stati membri e l'UE</w:t>
      </w:r>
      <w:r w:rsidRPr="003726BE">
        <w:rPr>
          <w:rStyle w:val="FootnoteReference"/>
          <w:highlight w:val="yellow"/>
        </w:rPr>
        <w:footnoteReference w:id="78"/>
      </w:r>
      <w:r w:rsidRPr="003726BE">
        <w:rPr>
          <w:highlight w:val="yellow"/>
        </w:rPr>
        <w:t>. Il punto 7 del modello SFC:</w:t>
      </w:r>
    </w:p>
    <w:p w14:paraId="25BFC211" w14:textId="77777777" w:rsidR="002B2ED6" w:rsidRPr="003726BE" w:rsidRDefault="002B2ED6" w:rsidP="000307AE">
      <w:pPr>
        <w:pStyle w:val="Hlistbullet"/>
        <w:rPr>
          <w:highlight w:val="yellow"/>
        </w:rPr>
      </w:pPr>
      <w:r w:rsidRPr="003726BE">
        <w:rPr>
          <w:highlight w:val="yellow"/>
        </w:rPr>
        <w:t xml:space="preserve">traduce e rende operativi gli obblighi sanciti dal CMES in un formato accessibile; </w:t>
      </w:r>
    </w:p>
    <w:p w14:paraId="4884DDEB" w14:textId="77777777" w:rsidR="002B2ED6" w:rsidRPr="003726BE" w:rsidRDefault="002B2ED6" w:rsidP="000307AE">
      <w:pPr>
        <w:pStyle w:val="Hlistbullet"/>
        <w:rPr>
          <w:highlight w:val="yellow"/>
        </w:rPr>
      </w:pPr>
      <w:r w:rsidRPr="003726BE">
        <w:rPr>
          <w:highlight w:val="yellow"/>
        </w:rPr>
        <w:t xml:space="preserve">contribuisce a evitare errori formali (ad esempio l'uso sbagliato di indicatori; incoerenza della logica di intervento rispetto agli elementi di valutazione; fonti di dati, commistione di valori lordi e netti, ecc.); </w:t>
      </w:r>
    </w:p>
    <w:p w14:paraId="2C424EBF" w14:textId="77777777" w:rsidR="002B2ED6" w:rsidRPr="003726BE" w:rsidRDefault="002B2ED6" w:rsidP="000307AE">
      <w:pPr>
        <w:pStyle w:val="Hlistbullet"/>
        <w:rPr>
          <w:highlight w:val="yellow"/>
        </w:rPr>
      </w:pPr>
      <w:r w:rsidRPr="003726BE">
        <w:rPr>
          <w:highlight w:val="yellow"/>
        </w:rPr>
        <w:t xml:space="preserve">facilita il giudizio sulla validità e l'affidabilità della valutazione dei risultati del PSR e sulla solidità e sul rigore delle risposte date alle domande di valutazione; </w:t>
      </w:r>
    </w:p>
    <w:p w14:paraId="06D3CF14" w14:textId="77777777" w:rsidR="002B2ED6" w:rsidRPr="003726BE" w:rsidRDefault="002B2ED6" w:rsidP="000307AE">
      <w:pPr>
        <w:pStyle w:val="Hlistbullet"/>
        <w:rPr>
          <w:highlight w:val="yellow"/>
        </w:rPr>
      </w:pPr>
      <w:r w:rsidRPr="003726BE">
        <w:rPr>
          <w:highlight w:val="yellow"/>
        </w:rPr>
        <w:t>incoraggia le parti interessate a fornire informazioni fondamentali sintetiche risultanti da più ampie relazioni di valutazione, che possono essere utilizzate in un formato di facile utilizzo da parte dei responsabili delle polit</w:t>
      </w:r>
      <w:r w:rsidR="00E7404C">
        <w:rPr>
          <w:highlight w:val="yellow"/>
        </w:rPr>
        <w:t>iche e di pubblico più vasto;</w:t>
      </w:r>
    </w:p>
    <w:p w14:paraId="06BBF601" w14:textId="77777777" w:rsidR="002B2ED6" w:rsidRPr="003726BE" w:rsidRDefault="002B2ED6" w:rsidP="000307AE">
      <w:pPr>
        <w:pStyle w:val="Hlistbullet"/>
        <w:rPr>
          <w:highlight w:val="yellow"/>
        </w:rPr>
      </w:pPr>
      <w:r w:rsidRPr="003726BE">
        <w:rPr>
          <w:highlight w:val="yellow"/>
        </w:rPr>
        <w:t xml:space="preserve">aiuta a raccogliere e sintetizzare grandi quantità di informazioni a livello UE, in maniera trasparente; </w:t>
      </w:r>
    </w:p>
    <w:p w14:paraId="73D93FA1" w14:textId="77777777" w:rsidR="00F27316" w:rsidRPr="003726BE" w:rsidRDefault="002B2ED6" w:rsidP="002B2ED6">
      <w:pPr>
        <w:pStyle w:val="Hlistbullet"/>
        <w:rPr>
          <w:highlight w:val="yellow"/>
        </w:rPr>
      </w:pPr>
      <w:r w:rsidRPr="003726BE">
        <w:rPr>
          <w:highlight w:val="yellow"/>
        </w:rPr>
        <w:t xml:space="preserve">fornisce una solida base di informazioni per la sintesi a livello UE e per la comunicazione a livello di PAC in merito alle realizzazioni e ai risultati della politica di sviluppo rurale. </w:t>
      </w:r>
    </w:p>
    <w:p w14:paraId="706AF753" w14:textId="77777777" w:rsidR="002B2ED6" w:rsidRPr="003726BE" w:rsidRDefault="00F27316" w:rsidP="00F116B5">
      <w:pPr>
        <w:pStyle w:val="HStandard"/>
        <w:rPr>
          <w:i/>
          <w:highlight w:val="yellow"/>
        </w:rPr>
      </w:pPr>
      <w:r w:rsidRPr="003726BE">
        <w:rPr>
          <w:i/>
          <w:highlight w:val="yellow"/>
        </w:rPr>
        <w:t>Schede metodologiche che mostrano come compilare le tabelle del modello SFC per il punto 7 per le domande del QVC 1-21 sono fornite in un allegato separato (allegato 11).</w:t>
      </w:r>
    </w:p>
    <w:p w14:paraId="529F2476" w14:textId="77777777" w:rsidR="00BD2DC5" w:rsidRPr="003726BE" w:rsidRDefault="002B2ED6" w:rsidP="00F116B5">
      <w:pPr>
        <w:pStyle w:val="HStandard"/>
        <w:rPr>
          <w:highlight w:val="yellow"/>
        </w:rPr>
      </w:pPr>
      <w:r w:rsidRPr="003726BE">
        <w:rPr>
          <w:highlight w:val="yellow"/>
        </w:rPr>
        <w:t>Le tabelle che seguono mostrano:</w:t>
      </w:r>
    </w:p>
    <w:p w14:paraId="3E469FB4" w14:textId="77777777" w:rsidR="00BD2DC5" w:rsidRPr="003726BE" w:rsidRDefault="002B2ED6" w:rsidP="00976C04">
      <w:pPr>
        <w:pStyle w:val="Hlistbullet"/>
        <w:rPr>
          <w:highlight w:val="yellow"/>
        </w:rPr>
      </w:pPr>
      <w:r w:rsidRPr="003726BE">
        <w:rPr>
          <w:highlight w:val="yellow"/>
        </w:rPr>
        <w:t xml:space="preserve">un esempio </w:t>
      </w:r>
      <w:r w:rsidRPr="003726BE">
        <w:rPr>
          <w:highlight w:val="yellow"/>
          <w:u w:val="single"/>
        </w:rPr>
        <w:t>vuoto</w:t>
      </w:r>
      <w:r w:rsidRPr="003726BE">
        <w:rPr>
          <w:highlight w:val="yellow"/>
        </w:rPr>
        <w:t xml:space="preserve"> del punto 7 del modello SFC per rispondere alla domanda numero 4 del QVC</w:t>
      </w:r>
      <w:r w:rsidRPr="003726BE">
        <w:rPr>
          <w:rStyle w:val="FootnoteReference"/>
          <w:highlight w:val="yellow"/>
        </w:rPr>
        <w:footnoteReference w:id="79"/>
      </w:r>
      <w:r w:rsidRPr="003726BE">
        <w:rPr>
          <w:highlight w:val="yellow"/>
        </w:rPr>
        <w:t>;</w:t>
      </w:r>
    </w:p>
    <w:p w14:paraId="36699841" w14:textId="77777777" w:rsidR="002B2ED6" w:rsidRPr="003726BE" w:rsidRDefault="00BD2DC5" w:rsidP="00976C04">
      <w:pPr>
        <w:pStyle w:val="Hlistbullet"/>
        <w:rPr>
          <w:highlight w:val="yellow"/>
        </w:rPr>
      </w:pPr>
      <w:r w:rsidRPr="003726BE">
        <w:rPr>
          <w:highlight w:val="yellow"/>
        </w:rPr>
        <w:t xml:space="preserve">un esempio </w:t>
      </w:r>
      <w:r w:rsidRPr="003726BE">
        <w:rPr>
          <w:highlight w:val="yellow"/>
          <w:u w:val="single"/>
        </w:rPr>
        <w:t>compilato</w:t>
      </w:r>
      <w:r w:rsidRPr="003726BE">
        <w:rPr>
          <w:highlight w:val="yellow"/>
        </w:rPr>
        <w:t xml:space="preserve"> del punto 7 del modello SFC per rispondere alla domanda numero 4 del QVC;</w:t>
      </w:r>
    </w:p>
    <w:p w14:paraId="0C02C39E" w14:textId="77777777" w:rsidR="00BD2DC5" w:rsidRPr="003726BE" w:rsidRDefault="00BD2DC5" w:rsidP="00976C04">
      <w:pPr>
        <w:pStyle w:val="Hlistbullet"/>
        <w:rPr>
          <w:highlight w:val="yellow"/>
        </w:rPr>
      </w:pPr>
      <w:r w:rsidRPr="003726BE">
        <w:rPr>
          <w:highlight w:val="yellow"/>
        </w:rPr>
        <w:lastRenderedPageBreak/>
        <w:t xml:space="preserve">un esempio </w:t>
      </w:r>
      <w:r w:rsidRPr="003726BE">
        <w:rPr>
          <w:highlight w:val="yellow"/>
          <w:u w:val="single"/>
        </w:rPr>
        <w:t>vuoto</w:t>
      </w:r>
      <w:r w:rsidRPr="003726BE">
        <w:rPr>
          <w:highlight w:val="yellow"/>
        </w:rPr>
        <w:t xml:space="preserve"> del punto 7 del modello SFC per rispondere alla domanda di valutazione specifica del programma legata all'aspetto specifico del programma;</w:t>
      </w:r>
    </w:p>
    <w:p w14:paraId="61173B3F" w14:textId="77777777" w:rsidR="00080C42" w:rsidRPr="003726BE" w:rsidRDefault="00080C42" w:rsidP="00976C04">
      <w:pPr>
        <w:pStyle w:val="Hlistbullet"/>
        <w:rPr>
          <w:highlight w:val="yellow"/>
        </w:rPr>
      </w:pPr>
      <w:r w:rsidRPr="003726BE">
        <w:rPr>
          <w:highlight w:val="yellow"/>
        </w:rPr>
        <w:t xml:space="preserve">un esempio </w:t>
      </w:r>
      <w:r w:rsidRPr="003726BE">
        <w:rPr>
          <w:highlight w:val="yellow"/>
          <w:u w:val="single"/>
        </w:rPr>
        <w:t>compilato</w:t>
      </w:r>
      <w:r w:rsidRPr="003726BE">
        <w:rPr>
          <w:highlight w:val="yellow"/>
        </w:rPr>
        <w:t xml:space="preserve"> del punto 7 del modello SFC per rispondere alla domanda di valutazione specifica del programma legata all'aspetto specifico del programma.</w:t>
      </w:r>
    </w:p>
    <w:p w14:paraId="5348B83A" w14:textId="77777777" w:rsidR="00D57F28" w:rsidRPr="00CB34A3" w:rsidRDefault="009E3BE3" w:rsidP="00D57F28">
      <w:pPr>
        <w:pStyle w:val="HHeadingtables"/>
        <w:rPr>
          <w:rFonts w:cs="Arial"/>
          <w:lang w:val="en-GB"/>
        </w:rPr>
      </w:pPr>
      <w:bookmarkStart w:id="130" w:name="_Toc460936142"/>
      <w:bookmarkStart w:id="131" w:name="_Toc474132630"/>
      <w:r w:rsidRPr="00CB34A3">
        <w:rPr>
          <w:lang w:val="en-GB"/>
        </w:rPr>
        <w:t>SFC template for point 7 concerning Common Evaluation Question no. 4 (empty template</w:t>
      </w:r>
      <w:bookmarkEnd w:id="130"/>
      <w:r w:rsidRPr="00CB34A3">
        <w:rPr>
          <w:lang w:val="en-GB"/>
        </w:rPr>
        <w:t>)</w:t>
      </w:r>
      <w:bookmarkEnd w:id="131"/>
    </w:p>
    <w:tbl>
      <w:tblPr>
        <w:tblW w:w="9936" w:type="dxa"/>
        <w:jc w:val="center"/>
        <w:tblLayout w:type="fixed"/>
        <w:tblCellMar>
          <w:left w:w="10" w:type="dxa"/>
          <w:right w:w="10" w:type="dxa"/>
        </w:tblCellMar>
        <w:tblLook w:val="0000" w:firstRow="0" w:lastRow="0" w:firstColumn="0" w:lastColumn="0" w:noHBand="0" w:noVBand="0"/>
      </w:tblPr>
      <w:tblGrid>
        <w:gridCol w:w="3312"/>
        <w:gridCol w:w="3312"/>
        <w:gridCol w:w="3312"/>
      </w:tblGrid>
      <w:tr w:rsidR="001B0F83" w:rsidRPr="00F61F42" w14:paraId="01526C1B" w14:textId="77777777" w:rsidTr="008F72F4">
        <w:trPr>
          <w:trHeight w:val="948"/>
          <w:jc w:val="center"/>
        </w:trPr>
        <w:tc>
          <w:tcPr>
            <w:tcW w:w="9936" w:type="dxa"/>
            <w:gridSpan w:val="3"/>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14:paraId="27D068D5" w14:textId="77777777" w:rsidR="001B0F83" w:rsidRPr="00CB34A3" w:rsidRDefault="001B0F83" w:rsidP="008F72F4">
            <w:pPr>
              <w:pStyle w:val="H-Heading2"/>
              <w:spacing w:before="120" w:after="120" w:line="240" w:lineRule="auto"/>
              <w:ind w:left="0" w:firstLine="0"/>
              <w:rPr>
                <w:lang w:val="en-GB"/>
              </w:rPr>
            </w:pPr>
            <w:r w:rsidRPr="00CB34A3">
              <w:rPr>
                <w:rFonts w:ascii="Arial" w:hAnsi="Arial"/>
                <w:color w:val="F07E31"/>
                <w:sz w:val="18"/>
                <w:lang w:val="en-GB"/>
              </w:rPr>
              <w:t xml:space="preserve">COMMON EVALUATION QUESTION </w:t>
            </w:r>
            <w:r w:rsidRPr="00CB34A3">
              <w:rPr>
                <w:rFonts w:ascii="Arial" w:hAnsi="Arial"/>
                <w:color w:val="373737" w:themeColor="background1" w:themeShade="40"/>
                <w:sz w:val="18"/>
                <w:lang w:val="en-GB"/>
              </w:rPr>
              <w:t>No 4: “To what extent have RDP interventions contributed to improving the economic performance, restructuring and modernisation of supported farms in particular through increasing their market participation and agricultural diversification?”</w:t>
            </w:r>
          </w:p>
        </w:tc>
      </w:tr>
      <w:tr w:rsidR="001B0F83" w:rsidRPr="003726BE" w14:paraId="6D947894" w14:textId="77777777" w:rsidTr="008F72F4">
        <w:trPr>
          <w:trHeight w:val="324"/>
          <w:jc w:val="center"/>
        </w:trPr>
        <w:tc>
          <w:tcPr>
            <w:tcW w:w="9936" w:type="dxa"/>
            <w:gridSpan w:val="3"/>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14:paraId="5209E82D" w14:textId="77777777" w:rsidR="001B0F83" w:rsidRPr="00CB34A3" w:rsidRDefault="001D3352" w:rsidP="001A31FB">
            <w:pPr>
              <w:pStyle w:val="ListParagraph"/>
              <w:numPr>
                <w:ilvl w:val="0"/>
                <w:numId w:val="28"/>
              </w:numPr>
              <w:suppressAutoHyphens/>
              <w:autoSpaceDN w:val="0"/>
              <w:spacing w:after="0" w:line="240" w:lineRule="auto"/>
              <w:textAlignment w:val="baseline"/>
              <w:outlineLvl w:val="9"/>
              <w:rPr>
                <w:b/>
                <w:color w:val="ED7D31"/>
                <w:sz w:val="18"/>
                <w:szCs w:val="18"/>
                <w:lang w:val="en-GB"/>
              </w:rPr>
            </w:pPr>
            <w:r w:rsidRPr="00CB34A3">
              <w:rPr>
                <w:rFonts w:ascii="Arial" w:hAnsi="Arial"/>
                <w:b/>
                <w:color w:val="ED7D31"/>
                <w:sz w:val="18"/>
                <w:lang w:val="en-GB"/>
              </w:rPr>
              <w:t>List of measures contributing to the FA 2A</w:t>
            </w:r>
          </w:p>
          <w:p w14:paraId="611CF22B" w14:textId="77777777" w:rsidR="001B0F83" w:rsidRPr="00CB34A3" w:rsidRDefault="001B0F83" w:rsidP="008F72F4">
            <w:pPr>
              <w:spacing w:after="0" w:line="240" w:lineRule="auto"/>
              <w:jc w:val="left"/>
              <w:rPr>
                <w:b/>
                <w:color w:val="373737" w:themeColor="background1" w:themeShade="40"/>
                <w:szCs w:val="18"/>
                <w:lang w:val="en-GB"/>
              </w:rPr>
            </w:pPr>
          </w:p>
          <w:p w14:paraId="2E834F89" w14:textId="77777777" w:rsidR="001B0F83" w:rsidRPr="00CB34A3" w:rsidRDefault="001B0F83" w:rsidP="008F72F4">
            <w:pPr>
              <w:spacing w:after="0" w:line="240" w:lineRule="auto"/>
              <w:jc w:val="left"/>
              <w:rPr>
                <w:b/>
                <w:color w:val="373737" w:themeColor="background1" w:themeShade="40"/>
                <w:szCs w:val="18"/>
                <w:lang w:val="en-GB"/>
              </w:rPr>
            </w:pPr>
            <w:r w:rsidRPr="00CB34A3">
              <w:rPr>
                <w:b/>
                <w:color w:val="373737" w:themeColor="background1" w:themeShade="40"/>
                <w:lang w:val="en-GB"/>
              </w:rPr>
              <w:t>Primarily programmed measures/sub-measures:</w:t>
            </w:r>
          </w:p>
          <w:p w14:paraId="7E8F1488" w14:textId="77777777" w:rsidR="001B0F83" w:rsidRPr="00CB34A3" w:rsidRDefault="001B0F83" w:rsidP="008F72F4">
            <w:pPr>
              <w:spacing w:after="0" w:line="240" w:lineRule="auto"/>
              <w:jc w:val="left"/>
              <w:rPr>
                <w:b/>
                <w:color w:val="373737" w:themeColor="background1" w:themeShade="40"/>
                <w:szCs w:val="18"/>
                <w:lang w:val="en-GB"/>
              </w:rPr>
            </w:pPr>
          </w:p>
          <w:p w14:paraId="52139679" w14:textId="77777777" w:rsidR="001B0F83" w:rsidRPr="00CB34A3" w:rsidRDefault="001B0F83" w:rsidP="008F72F4">
            <w:pPr>
              <w:spacing w:after="0" w:line="240" w:lineRule="auto"/>
              <w:jc w:val="left"/>
              <w:rPr>
                <w:b/>
                <w:color w:val="373737" w:themeColor="background1" w:themeShade="40"/>
                <w:szCs w:val="18"/>
                <w:lang w:val="en-GB"/>
              </w:rPr>
            </w:pPr>
            <w:r w:rsidRPr="00CB34A3">
              <w:rPr>
                <w:b/>
                <w:color w:val="373737" w:themeColor="background1" w:themeShade="40"/>
                <w:lang w:val="en-GB"/>
              </w:rPr>
              <w:t>Measures/sub-measures programmed under the other FAs which show secondary contributions to FA 2A</w:t>
            </w:r>
            <w:r w:rsidRPr="003726BE">
              <w:rPr>
                <w:rStyle w:val="FootnoteReference"/>
              </w:rPr>
              <w:footnoteReference w:id="80"/>
            </w:r>
            <w:r w:rsidRPr="00CB34A3">
              <w:rPr>
                <w:b/>
                <w:color w:val="373737" w:themeColor="background1" w:themeShade="40"/>
                <w:lang w:val="en-GB"/>
              </w:rPr>
              <w:t>:</w:t>
            </w:r>
          </w:p>
          <w:p w14:paraId="54807D8B" w14:textId="77777777" w:rsidR="001B0F83" w:rsidRPr="00CB34A3" w:rsidRDefault="001B0F83" w:rsidP="008F72F4">
            <w:pPr>
              <w:spacing w:after="0" w:line="240" w:lineRule="auto"/>
              <w:jc w:val="left"/>
              <w:rPr>
                <w:b/>
                <w:szCs w:val="18"/>
                <w:lang w:val="en-GB"/>
              </w:rPr>
            </w:pPr>
          </w:p>
          <w:p w14:paraId="605D1250" w14:textId="77777777" w:rsidR="001B0F83" w:rsidRPr="003726BE" w:rsidRDefault="001B0F83" w:rsidP="008F72F4">
            <w:pPr>
              <w:spacing w:after="0" w:line="240" w:lineRule="auto"/>
              <w:jc w:val="left"/>
              <w:rPr>
                <w:i/>
                <w:color w:val="F7A833" w:themeColor="accent5"/>
                <w:szCs w:val="18"/>
              </w:rPr>
            </w:pPr>
            <w:r w:rsidRPr="00CB34A3">
              <w:rPr>
                <w:i/>
                <w:color w:val="F7A833" w:themeColor="accent5"/>
                <w:lang w:val="en-GB"/>
              </w:rPr>
              <w:t xml:space="preserve">[A maximum of 1,000 characters = approx. </w:t>
            </w:r>
            <w:r w:rsidRPr="003726BE">
              <w:rPr>
                <w:i/>
                <w:color w:val="F7A833" w:themeColor="accent5"/>
              </w:rPr>
              <w:t>¼ page – Mandatory]</w:t>
            </w:r>
          </w:p>
        </w:tc>
      </w:tr>
      <w:tr w:rsidR="001B0F83" w:rsidRPr="003726BE" w14:paraId="1DFEEF98" w14:textId="77777777" w:rsidTr="008F72F4">
        <w:trPr>
          <w:trHeight w:val="321"/>
          <w:jc w:val="center"/>
        </w:trPr>
        <w:tc>
          <w:tcPr>
            <w:tcW w:w="9936" w:type="dxa"/>
            <w:gridSpan w:val="3"/>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14:paraId="73E2A6B8" w14:textId="77777777" w:rsidR="001B0F83" w:rsidRPr="00CB34A3" w:rsidRDefault="001B0F83" w:rsidP="001A31FB">
            <w:pPr>
              <w:pStyle w:val="ListParagraph"/>
              <w:numPr>
                <w:ilvl w:val="0"/>
                <w:numId w:val="28"/>
              </w:numPr>
              <w:suppressAutoHyphens/>
              <w:autoSpaceDN w:val="0"/>
              <w:spacing w:after="0" w:line="240" w:lineRule="auto"/>
              <w:textAlignment w:val="baseline"/>
              <w:outlineLvl w:val="9"/>
              <w:rPr>
                <w:b/>
                <w:sz w:val="18"/>
                <w:szCs w:val="18"/>
                <w:lang w:val="en-GB"/>
              </w:rPr>
            </w:pPr>
            <w:r w:rsidRPr="00CB34A3">
              <w:rPr>
                <w:rFonts w:ascii="Arial" w:hAnsi="Arial"/>
                <w:b/>
                <w:color w:val="ED7D31"/>
                <w:sz w:val="18"/>
                <w:lang w:val="en-GB"/>
              </w:rPr>
              <w:t>Link between judgment criteria, common and additional</w:t>
            </w:r>
            <w:r w:rsidRPr="003726BE">
              <w:rPr>
                <w:rStyle w:val="FootnoteReference"/>
              </w:rPr>
              <w:footnoteReference w:id="81"/>
            </w:r>
            <w:r w:rsidRPr="00CB34A3">
              <w:rPr>
                <w:rFonts w:ascii="Arial" w:hAnsi="Arial"/>
                <w:b/>
                <w:color w:val="ED7D31"/>
                <w:sz w:val="18"/>
                <w:lang w:val="en-GB"/>
              </w:rPr>
              <w:t xml:space="preserve"> result indicators used to answer the CEQ</w:t>
            </w:r>
          </w:p>
          <w:p w14:paraId="5922E2D8" w14:textId="77777777" w:rsidR="001B0F83" w:rsidRPr="00CB34A3" w:rsidRDefault="001B0F83" w:rsidP="008F72F4">
            <w:pPr>
              <w:spacing w:after="0" w:line="240" w:lineRule="auto"/>
              <w:jc w:val="left"/>
              <w:rPr>
                <w:i/>
                <w:color w:val="F7A833" w:themeColor="accent5"/>
                <w:szCs w:val="18"/>
                <w:lang w:val="en-GB"/>
              </w:rPr>
            </w:pPr>
          </w:p>
          <w:p w14:paraId="2A655801" w14:textId="77777777" w:rsidR="001B0F83" w:rsidRPr="003726BE" w:rsidRDefault="001B0F83" w:rsidP="008F72F4">
            <w:pPr>
              <w:spacing w:after="0" w:line="240" w:lineRule="auto"/>
              <w:jc w:val="left"/>
              <w:rPr>
                <w:i/>
                <w:color w:val="F7A833" w:themeColor="accent5"/>
                <w:szCs w:val="18"/>
              </w:rPr>
            </w:pPr>
            <w:r w:rsidRPr="003726BE">
              <w:rPr>
                <w:i/>
                <w:color w:val="F7A833" w:themeColor="accent5"/>
              </w:rPr>
              <w:t>[Mandatory]</w:t>
            </w:r>
          </w:p>
          <w:p w14:paraId="0CEDE88C" w14:textId="77777777" w:rsidR="001B0F83" w:rsidRPr="003726BE" w:rsidRDefault="001B0F83" w:rsidP="008F72F4">
            <w:pPr>
              <w:spacing w:after="0" w:line="240" w:lineRule="auto"/>
              <w:jc w:val="left"/>
              <w:rPr>
                <w:b/>
                <w:szCs w:val="18"/>
              </w:rPr>
            </w:pPr>
          </w:p>
        </w:tc>
      </w:tr>
      <w:tr w:rsidR="001B0F83" w:rsidRPr="00F61F42" w14:paraId="0B5C2163" w14:textId="77777777" w:rsidTr="008F72F4">
        <w:trPr>
          <w:trHeight w:val="20"/>
          <w:jc w:val="center"/>
        </w:trPr>
        <w:tc>
          <w:tcPr>
            <w:tcW w:w="3312" w:type="dxa"/>
            <w:tcBorders>
              <w:top w:val="single" w:sz="18" w:space="0" w:color="6F6F6F" w:themeColor="text1"/>
              <w:left w:val="single" w:sz="18" w:space="0" w:color="6F6F6F" w:themeColor="text1"/>
              <w:bottom w:val="single" w:sz="18" w:space="0" w:color="6F6F6F" w:themeColor="text1"/>
              <w:right w:val="single" w:sz="4" w:space="0" w:color="000000"/>
            </w:tcBorders>
            <w:shd w:val="clear" w:color="auto" w:fill="auto"/>
            <w:tcMar>
              <w:top w:w="0" w:type="dxa"/>
              <w:left w:w="108" w:type="dxa"/>
              <w:bottom w:w="0" w:type="dxa"/>
              <w:right w:w="108" w:type="dxa"/>
            </w:tcMar>
          </w:tcPr>
          <w:p w14:paraId="583A5E8D" w14:textId="77777777" w:rsidR="001B0F83" w:rsidRPr="003726BE" w:rsidRDefault="001B0F83" w:rsidP="008F72F4">
            <w:pPr>
              <w:pStyle w:val="ListParagraph"/>
              <w:spacing w:line="240" w:lineRule="auto"/>
              <w:ind w:left="720" w:firstLine="0"/>
              <w:rPr>
                <w:rFonts w:ascii="Arial" w:hAnsi="Arial" w:cs="Arial"/>
                <w:b/>
                <w:sz w:val="18"/>
                <w:szCs w:val="18"/>
              </w:rPr>
            </w:pPr>
            <w:r w:rsidRPr="003726BE">
              <w:rPr>
                <w:rFonts w:ascii="Arial" w:hAnsi="Arial"/>
                <w:b/>
                <w:color w:val="373737" w:themeColor="background1" w:themeShade="40"/>
                <w:sz w:val="18"/>
              </w:rPr>
              <w:t>Judgment criteria</w:t>
            </w:r>
            <w:r w:rsidRPr="003726BE">
              <w:rPr>
                <w:rStyle w:val="FootnoteReference"/>
              </w:rPr>
              <w:footnoteReference w:id="82"/>
            </w:r>
          </w:p>
          <w:p w14:paraId="524A3A3D" w14:textId="77777777" w:rsidR="001B0F83" w:rsidRPr="003726BE" w:rsidRDefault="001B0F83" w:rsidP="008F72F4">
            <w:pPr>
              <w:pStyle w:val="ListParagraph"/>
              <w:spacing w:line="240" w:lineRule="auto"/>
              <w:ind w:left="720" w:firstLine="0"/>
              <w:rPr>
                <w:i/>
              </w:rPr>
            </w:pPr>
            <w:r w:rsidRPr="003726BE">
              <w:rPr>
                <w:rFonts w:ascii="Arial" w:hAnsi="Arial"/>
                <w:i/>
                <w:color w:val="F7A833" w:themeColor="accent5"/>
                <w:sz w:val="18"/>
              </w:rPr>
              <w:t>[Max. 255 characters]</w:t>
            </w:r>
          </w:p>
        </w:tc>
        <w:tc>
          <w:tcPr>
            <w:tcW w:w="3312" w:type="dxa"/>
            <w:tcBorders>
              <w:top w:val="single" w:sz="18" w:space="0" w:color="6F6F6F" w:themeColor="text1"/>
              <w:left w:val="single" w:sz="4" w:space="0" w:color="000000"/>
              <w:bottom w:val="single" w:sz="18" w:space="0" w:color="6F6F6F" w:themeColor="text1"/>
              <w:right w:val="single" w:sz="4" w:space="0" w:color="000000"/>
            </w:tcBorders>
            <w:shd w:val="clear" w:color="auto" w:fill="auto"/>
            <w:tcMar>
              <w:top w:w="0" w:type="dxa"/>
              <w:left w:w="108" w:type="dxa"/>
              <w:bottom w:w="0" w:type="dxa"/>
              <w:right w:w="108" w:type="dxa"/>
            </w:tcMar>
          </w:tcPr>
          <w:p w14:paraId="04A90909" w14:textId="77777777" w:rsidR="001B0F83" w:rsidRPr="00CB34A3" w:rsidRDefault="001B0F83" w:rsidP="008F72F4">
            <w:pPr>
              <w:pStyle w:val="ListParagraph"/>
              <w:spacing w:line="240" w:lineRule="auto"/>
              <w:ind w:left="720"/>
              <w:rPr>
                <w:rFonts w:ascii="Arial" w:hAnsi="Arial" w:cs="Arial"/>
                <w:b/>
                <w:sz w:val="18"/>
                <w:szCs w:val="18"/>
                <w:lang w:val="en-GB"/>
              </w:rPr>
            </w:pPr>
            <w:r w:rsidRPr="00CB34A3">
              <w:rPr>
                <w:rFonts w:ascii="Arial" w:hAnsi="Arial"/>
                <w:b/>
                <w:color w:val="373737" w:themeColor="background1" w:themeShade="40"/>
                <w:sz w:val="18"/>
                <w:lang w:val="en-GB"/>
              </w:rPr>
              <w:t>Common result indicators</w:t>
            </w:r>
            <w:r w:rsidRPr="003726BE">
              <w:rPr>
                <w:rStyle w:val="FootnoteReference"/>
              </w:rPr>
              <w:footnoteReference w:id="83"/>
            </w:r>
          </w:p>
          <w:p w14:paraId="63CC4DB3" w14:textId="77777777" w:rsidR="001B0F83" w:rsidRPr="00CB34A3" w:rsidRDefault="001B0F83" w:rsidP="008F72F4">
            <w:pPr>
              <w:pStyle w:val="ListParagraph"/>
              <w:spacing w:line="240" w:lineRule="auto"/>
              <w:ind w:left="720"/>
              <w:rPr>
                <w:i/>
                <w:lang w:val="en-GB"/>
              </w:rPr>
            </w:pPr>
            <w:r w:rsidRPr="00CB34A3">
              <w:rPr>
                <w:rFonts w:ascii="Arial" w:hAnsi="Arial"/>
                <w:i/>
                <w:color w:val="F7A833" w:themeColor="accent5"/>
                <w:sz w:val="18"/>
                <w:lang w:val="en-GB"/>
              </w:rPr>
              <w:t>[Max. 255 characters]</w:t>
            </w:r>
          </w:p>
        </w:tc>
        <w:tc>
          <w:tcPr>
            <w:tcW w:w="3312" w:type="dxa"/>
            <w:tcBorders>
              <w:top w:val="single" w:sz="18" w:space="0" w:color="6F6F6F" w:themeColor="text1"/>
              <w:left w:val="single" w:sz="4" w:space="0" w:color="000000"/>
              <w:bottom w:val="single" w:sz="18" w:space="0" w:color="6F6F6F" w:themeColor="text1"/>
              <w:right w:val="single" w:sz="18" w:space="0" w:color="6F6F6F" w:themeColor="text1"/>
            </w:tcBorders>
            <w:shd w:val="clear" w:color="auto" w:fill="auto"/>
            <w:tcMar>
              <w:top w:w="0" w:type="dxa"/>
              <w:left w:w="108" w:type="dxa"/>
              <w:bottom w:w="0" w:type="dxa"/>
              <w:right w:w="108" w:type="dxa"/>
            </w:tcMar>
          </w:tcPr>
          <w:p w14:paraId="2FCDA50B" w14:textId="77777777" w:rsidR="001B0F83" w:rsidRPr="00CB34A3" w:rsidRDefault="001B0F83" w:rsidP="008F72F4">
            <w:pPr>
              <w:pStyle w:val="ListParagraph"/>
              <w:spacing w:line="240" w:lineRule="auto"/>
              <w:ind w:left="0" w:firstLine="0"/>
              <w:rPr>
                <w:rFonts w:ascii="Arial" w:hAnsi="Arial" w:cs="Arial"/>
                <w:b/>
                <w:sz w:val="18"/>
                <w:szCs w:val="18"/>
                <w:lang w:val="en-GB"/>
              </w:rPr>
            </w:pPr>
            <w:r w:rsidRPr="00CB34A3">
              <w:rPr>
                <w:rFonts w:ascii="Arial" w:hAnsi="Arial"/>
                <w:b/>
                <w:color w:val="373737" w:themeColor="background1" w:themeShade="40"/>
                <w:sz w:val="18"/>
                <w:lang w:val="en-GB"/>
              </w:rPr>
              <w:t>Additional result indicators</w:t>
            </w:r>
            <w:r w:rsidRPr="003726BE">
              <w:rPr>
                <w:rStyle w:val="FootnoteReference"/>
              </w:rPr>
              <w:footnoteReference w:id="84"/>
            </w:r>
          </w:p>
          <w:p w14:paraId="7F4168BD" w14:textId="77777777" w:rsidR="001B0F83" w:rsidRPr="00CB34A3" w:rsidRDefault="001B0F83" w:rsidP="008F72F4">
            <w:pPr>
              <w:pStyle w:val="ListParagraph"/>
              <w:spacing w:line="240" w:lineRule="auto"/>
              <w:ind w:left="0" w:firstLine="0"/>
              <w:rPr>
                <w:i/>
                <w:lang w:val="en-GB"/>
              </w:rPr>
            </w:pPr>
            <w:r w:rsidRPr="00CB34A3">
              <w:rPr>
                <w:rFonts w:ascii="Arial" w:hAnsi="Arial"/>
                <w:i/>
                <w:color w:val="F7A833" w:themeColor="accent5"/>
                <w:sz w:val="18"/>
                <w:lang w:val="en-GB"/>
              </w:rPr>
              <w:t>[Max. 255 characters]</w:t>
            </w:r>
          </w:p>
        </w:tc>
      </w:tr>
      <w:tr w:rsidR="00EF6079" w:rsidRPr="00F61F42" w14:paraId="3EB6F9A2" w14:textId="77777777" w:rsidTr="008F72F4">
        <w:trPr>
          <w:trHeight w:val="20"/>
          <w:jc w:val="center"/>
        </w:trPr>
        <w:tc>
          <w:tcPr>
            <w:tcW w:w="3312" w:type="dxa"/>
            <w:tcBorders>
              <w:top w:val="single" w:sz="18" w:space="0" w:color="6F6F6F" w:themeColor="text1"/>
              <w:left w:val="single" w:sz="18" w:space="0" w:color="6F6F6F" w:themeColor="text1"/>
              <w:bottom w:val="single" w:sz="18" w:space="0" w:color="6F6F6F" w:themeColor="text1"/>
              <w:right w:val="single" w:sz="4" w:space="0" w:color="000000"/>
            </w:tcBorders>
            <w:shd w:val="clear" w:color="auto" w:fill="auto"/>
            <w:tcMar>
              <w:top w:w="0" w:type="dxa"/>
              <w:left w:w="108" w:type="dxa"/>
              <w:bottom w:w="0" w:type="dxa"/>
              <w:right w:w="108" w:type="dxa"/>
            </w:tcMar>
          </w:tcPr>
          <w:p w14:paraId="687976DA" w14:textId="77777777" w:rsidR="00EF6079" w:rsidRPr="00CB34A3" w:rsidRDefault="00EF6079" w:rsidP="008F72F4">
            <w:pPr>
              <w:pStyle w:val="ListParagraph"/>
              <w:spacing w:line="240" w:lineRule="auto"/>
              <w:ind w:left="0" w:firstLine="0"/>
              <w:rPr>
                <w:rFonts w:ascii="Arial" w:hAnsi="Arial" w:cs="Arial"/>
                <w:b/>
                <w:color w:val="373737" w:themeColor="background1" w:themeShade="40"/>
                <w:sz w:val="18"/>
                <w:szCs w:val="18"/>
                <w:lang w:val="en-GB"/>
              </w:rPr>
            </w:pPr>
            <w:r w:rsidRPr="00CB34A3">
              <w:rPr>
                <w:rFonts w:ascii="Arial" w:hAnsi="Arial"/>
                <w:b/>
                <w:color w:val="373737" w:themeColor="background1" w:themeShade="40"/>
                <w:sz w:val="18"/>
                <w:lang w:val="en-GB"/>
              </w:rPr>
              <w:t>Agricultural output per annual working unit of supported agricultural holdings has increased</w:t>
            </w:r>
          </w:p>
        </w:tc>
        <w:tc>
          <w:tcPr>
            <w:tcW w:w="3312" w:type="dxa"/>
            <w:tcBorders>
              <w:top w:val="single" w:sz="18" w:space="0" w:color="6F6F6F" w:themeColor="text1"/>
              <w:left w:val="single" w:sz="4" w:space="0" w:color="000000"/>
              <w:bottom w:val="single" w:sz="18" w:space="0" w:color="6F6F6F" w:themeColor="text1"/>
              <w:right w:val="single" w:sz="4" w:space="0" w:color="000000"/>
            </w:tcBorders>
            <w:shd w:val="clear" w:color="auto" w:fill="auto"/>
            <w:tcMar>
              <w:top w:w="0" w:type="dxa"/>
              <w:left w:w="108" w:type="dxa"/>
              <w:bottom w:w="0" w:type="dxa"/>
              <w:right w:w="108" w:type="dxa"/>
            </w:tcMar>
          </w:tcPr>
          <w:p w14:paraId="16D189A0" w14:textId="77777777" w:rsidR="00EF6079" w:rsidRPr="00CB34A3" w:rsidRDefault="00EF6079" w:rsidP="008F72F4">
            <w:pPr>
              <w:pStyle w:val="ListParagraph"/>
              <w:spacing w:line="240" w:lineRule="auto"/>
              <w:ind w:left="11" w:firstLine="0"/>
              <w:rPr>
                <w:rFonts w:ascii="Arial" w:hAnsi="Arial" w:cs="Arial"/>
                <w:b/>
                <w:color w:val="373737" w:themeColor="background1" w:themeShade="40"/>
                <w:sz w:val="18"/>
                <w:szCs w:val="18"/>
                <w:lang w:val="en-GB"/>
              </w:rPr>
            </w:pPr>
            <w:r w:rsidRPr="00CB34A3">
              <w:rPr>
                <w:rFonts w:ascii="Arial" w:hAnsi="Arial"/>
                <w:b/>
                <w:color w:val="373737" w:themeColor="background1" w:themeShade="40"/>
                <w:sz w:val="18"/>
                <w:lang w:val="en-GB"/>
              </w:rPr>
              <w:t>R2: Change in agricultural output on supported farms/AWU (Annual Work Unit)</w:t>
            </w:r>
          </w:p>
        </w:tc>
        <w:tc>
          <w:tcPr>
            <w:tcW w:w="3312" w:type="dxa"/>
            <w:tcBorders>
              <w:top w:val="single" w:sz="18" w:space="0" w:color="6F6F6F" w:themeColor="text1"/>
              <w:left w:val="single" w:sz="4" w:space="0" w:color="000000"/>
              <w:bottom w:val="single" w:sz="18" w:space="0" w:color="6F6F6F" w:themeColor="text1"/>
              <w:right w:val="single" w:sz="18" w:space="0" w:color="6F6F6F" w:themeColor="text1"/>
            </w:tcBorders>
            <w:shd w:val="clear" w:color="auto" w:fill="auto"/>
            <w:tcMar>
              <w:top w:w="0" w:type="dxa"/>
              <w:left w:w="108" w:type="dxa"/>
              <w:bottom w:w="0" w:type="dxa"/>
              <w:right w:w="108" w:type="dxa"/>
            </w:tcMar>
          </w:tcPr>
          <w:p w14:paraId="7F997F56" w14:textId="77777777" w:rsidR="00EF6079" w:rsidRPr="00CB34A3" w:rsidRDefault="00EF6079" w:rsidP="008F72F4">
            <w:pPr>
              <w:pStyle w:val="ListParagraph"/>
              <w:spacing w:line="240" w:lineRule="auto"/>
              <w:ind w:left="720"/>
              <w:rPr>
                <w:rFonts w:ascii="Arial" w:hAnsi="Arial" w:cs="Arial"/>
                <w:b/>
                <w:color w:val="373737" w:themeColor="background1" w:themeShade="40"/>
                <w:sz w:val="18"/>
                <w:szCs w:val="18"/>
                <w:lang w:val="en-GB"/>
              </w:rPr>
            </w:pPr>
          </w:p>
        </w:tc>
      </w:tr>
      <w:tr w:rsidR="00EF6079" w:rsidRPr="00F61F42" w14:paraId="4CB5F38B" w14:textId="77777777" w:rsidTr="008F72F4">
        <w:trPr>
          <w:trHeight w:val="20"/>
          <w:jc w:val="center"/>
        </w:trPr>
        <w:tc>
          <w:tcPr>
            <w:tcW w:w="3312" w:type="dxa"/>
            <w:tcBorders>
              <w:top w:val="single" w:sz="18" w:space="0" w:color="6F6F6F" w:themeColor="text1"/>
              <w:left w:val="single" w:sz="18" w:space="0" w:color="6F6F6F" w:themeColor="text1"/>
              <w:bottom w:val="single" w:sz="18" w:space="0" w:color="6F6F6F" w:themeColor="text1"/>
              <w:right w:val="single" w:sz="4" w:space="0" w:color="000000"/>
            </w:tcBorders>
            <w:shd w:val="clear" w:color="auto" w:fill="auto"/>
            <w:tcMar>
              <w:top w:w="0" w:type="dxa"/>
              <w:left w:w="108" w:type="dxa"/>
              <w:bottom w:w="0" w:type="dxa"/>
              <w:right w:w="108" w:type="dxa"/>
            </w:tcMar>
          </w:tcPr>
          <w:p w14:paraId="0C938B34" w14:textId="77777777" w:rsidR="00EF6079" w:rsidRPr="00CB34A3" w:rsidRDefault="00EF6079" w:rsidP="008F72F4">
            <w:pPr>
              <w:pStyle w:val="ListParagraph"/>
              <w:rPr>
                <w:rFonts w:ascii="Arial" w:hAnsi="Arial" w:cs="Arial"/>
                <w:b/>
                <w:color w:val="373737" w:themeColor="background1" w:themeShade="40"/>
                <w:sz w:val="18"/>
                <w:szCs w:val="18"/>
                <w:lang w:val="en-GB"/>
              </w:rPr>
            </w:pPr>
            <w:r w:rsidRPr="00CB34A3">
              <w:rPr>
                <w:rFonts w:ascii="Arial" w:hAnsi="Arial"/>
                <w:b/>
                <w:color w:val="373737" w:themeColor="background1" w:themeShade="40"/>
                <w:sz w:val="18"/>
                <w:lang w:val="en-GB"/>
              </w:rPr>
              <w:t>Farms have been modernized</w:t>
            </w:r>
          </w:p>
          <w:p w14:paraId="13500B15" w14:textId="77777777" w:rsidR="00EF6079" w:rsidRPr="00CB34A3" w:rsidRDefault="00EF6079" w:rsidP="008F72F4">
            <w:pPr>
              <w:pStyle w:val="ListParagraph"/>
              <w:spacing w:line="240" w:lineRule="auto"/>
              <w:ind w:left="11" w:firstLine="0"/>
              <w:rPr>
                <w:rFonts w:ascii="Arial" w:hAnsi="Arial" w:cs="Arial"/>
                <w:b/>
                <w:color w:val="373737" w:themeColor="background1" w:themeShade="40"/>
                <w:sz w:val="18"/>
                <w:szCs w:val="18"/>
                <w:lang w:val="en-GB"/>
              </w:rPr>
            </w:pPr>
            <w:r w:rsidRPr="00CB34A3">
              <w:rPr>
                <w:rFonts w:ascii="Arial" w:hAnsi="Arial"/>
                <w:b/>
                <w:color w:val="373737" w:themeColor="background1" w:themeShade="40"/>
                <w:sz w:val="18"/>
                <w:lang w:val="en-GB"/>
              </w:rPr>
              <w:t>Farms have been restructured</w:t>
            </w:r>
          </w:p>
        </w:tc>
        <w:tc>
          <w:tcPr>
            <w:tcW w:w="3312" w:type="dxa"/>
            <w:tcBorders>
              <w:top w:val="single" w:sz="18" w:space="0" w:color="6F6F6F" w:themeColor="text1"/>
              <w:left w:val="single" w:sz="4" w:space="0" w:color="000000"/>
              <w:bottom w:val="single" w:sz="18" w:space="0" w:color="6F6F6F" w:themeColor="text1"/>
              <w:right w:val="single" w:sz="4" w:space="0" w:color="000000"/>
            </w:tcBorders>
            <w:shd w:val="clear" w:color="auto" w:fill="auto"/>
            <w:tcMar>
              <w:top w:w="0" w:type="dxa"/>
              <w:left w:w="108" w:type="dxa"/>
              <w:bottom w:w="0" w:type="dxa"/>
              <w:right w:w="108" w:type="dxa"/>
            </w:tcMar>
          </w:tcPr>
          <w:p w14:paraId="00C5D928" w14:textId="77777777" w:rsidR="00EF6079" w:rsidRPr="00CB34A3" w:rsidRDefault="00EF6079" w:rsidP="008F72F4">
            <w:pPr>
              <w:pStyle w:val="ListParagraph"/>
              <w:spacing w:line="240" w:lineRule="auto"/>
              <w:ind w:left="11" w:firstLine="0"/>
              <w:rPr>
                <w:rFonts w:ascii="Arial" w:hAnsi="Arial" w:cs="Arial"/>
                <w:b/>
                <w:color w:val="373737" w:themeColor="background1" w:themeShade="40"/>
                <w:sz w:val="18"/>
                <w:szCs w:val="18"/>
                <w:lang w:val="en-GB"/>
              </w:rPr>
            </w:pPr>
            <w:r w:rsidRPr="00CB34A3">
              <w:rPr>
                <w:rFonts w:ascii="Arial" w:hAnsi="Arial"/>
                <w:b/>
                <w:color w:val="373737" w:themeColor="background1" w:themeShade="40"/>
                <w:sz w:val="18"/>
                <w:lang w:val="en-GB"/>
              </w:rPr>
              <w:t>R1/T4: Percentage of agriculture holdings with RDP support for investments in restructuring or modernisation</w:t>
            </w:r>
          </w:p>
        </w:tc>
        <w:tc>
          <w:tcPr>
            <w:tcW w:w="3312" w:type="dxa"/>
            <w:tcBorders>
              <w:top w:val="single" w:sz="18" w:space="0" w:color="6F6F6F" w:themeColor="text1"/>
              <w:left w:val="single" w:sz="4" w:space="0" w:color="000000"/>
              <w:bottom w:val="single" w:sz="18" w:space="0" w:color="6F6F6F" w:themeColor="text1"/>
              <w:right w:val="single" w:sz="18" w:space="0" w:color="6F6F6F" w:themeColor="text1"/>
            </w:tcBorders>
            <w:shd w:val="clear" w:color="auto" w:fill="auto"/>
            <w:tcMar>
              <w:top w:w="0" w:type="dxa"/>
              <w:left w:w="108" w:type="dxa"/>
              <w:bottom w:w="0" w:type="dxa"/>
              <w:right w:w="108" w:type="dxa"/>
            </w:tcMar>
          </w:tcPr>
          <w:p w14:paraId="412893AC" w14:textId="77777777" w:rsidR="00EF6079" w:rsidRPr="00CB34A3" w:rsidRDefault="00EF6079" w:rsidP="008F72F4">
            <w:pPr>
              <w:pStyle w:val="ListParagraph"/>
              <w:spacing w:line="240" w:lineRule="auto"/>
              <w:ind w:left="11" w:firstLine="0"/>
              <w:rPr>
                <w:rFonts w:ascii="Arial" w:hAnsi="Arial" w:cs="Arial"/>
                <w:b/>
                <w:color w:val="373737" w:themeColor="background1" w:themeShade="40"/>
                <w:sz w:val="18"/>
                <w:szCs w:val="18"/>
                <w:lang w:val="en-GB"/>
              </w:rPr>
            </w:pPr>
            <w:r w:rsidRPr="00CB34A3">
              <w:rPr>
                <w:rFonts w:ascii="Arial" w:hAnsi="Arial"/>
                <w:b/>
                <w:color w:val="373737" w:themeColor="background1" w:themeShade="40"/>
                <w:sz w:val="18"/>
                <w:lang w:val="en-GB"/>
              </w:rPr>
              <w:t>Percentage of agriculture holdings with RDP support for investments regarding modernization</w:t>
            </w:r>
          </w:p>
        </w:tc>
      </w:tr>
      <w:tr w:rsidR="00EF6079" w:rsidRPr="00F61F42" w14:paraId="7C8643CE" w14:textId="77777777" w:rsidTr="008F72F4">
        <w:trPr>
          <w:trHeight w:val="20"/>
          <w:jc w:val="center"/>
        </w:trPr>
        <w:tc>
          <w:tcPr>
            <w:tcW w:w="3312" w:type="dxa"/>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14:paraId="7B4CFA6D" w14:textId="77777777" w:rsidR="00EF6079" w:rsidRPr="00CB34A3" w:rsidRDefault="00EF6079" w:rsidP="008F72F4">
            <w:pPr>
              <w:pStyle w:val="ListParagraph"/>
              <w:spacing w:line="240" w:lineRule="auto"/>
              <w:ind w:left="720"/>
              <w:rPr>
                <w:rFonts w:ascii="Arial" w:hAnsi="Arial" w:cs="Arial"/>
                <w:b/>
                <w:sz w:val="18"/>
                <w:szCs w:val="18"/>
                <w:highlight w:val="green"/>
                <w:lang w:val="en-GB"/>
              </w:rPr>
            </w:pPr>
          </w:p>
        </w:tc>
        <w:tc>
          <w:tcPr>
            <w:tcW w:w="3312" w:type="dxa"/>
            <w:tcBorders>
              <w:top w:val="single" w:sz="18" w:space="0" w:color="6F6F6F" w:themeColor="text1"/>
              <w:left w:val="single" w:sz="4" w:space="0" w:color="auto"/>
              <w:bottom w:val="single" w:sz="18" w:space="0" w:color="6F6F6F" w:themeColor="text1"/>
              <w:right w:val="single" w:sz="4" w:space="0" w:color="auto"/>
            </w:tcBorders>
            <w:shd w:val="clear" w:color="auto" w:fill="auto"/>
            <w:tcMar>
              <w:top w:w="0" w:type="dxa"/>
              <w:left w:w="108" w:type="dxa"/>
              <w:bottom w:w="0" w:type="dxa"/>
              <w:right w:w="108" w:type="dxa"/>
            </w:tcMar>
          </w:tcPr>
          <w:p w14:paraId="53302D1E" w14:textId="77777777" w:rsidR="00EF6079" w:rsidRPr="00CB34A3" w:rsidRDefault="00EF6079" w:rsidP="008F72F4">
            <w:pPr>
              <w:pStyle w:val="ListParagraph"/>
              <w:spacing w:line="240" w:lineRule="auto"/>
              <w:ind w:left="720"/>
              <w:rPr>
                <w:rFonts w:ascii="Arial" w:hAnsi="Arial" w:cs="Arial"/>
                <w:b/>
                <w:sz w:val="18"/>
                <w:szCs w:val="18"/>
                <w:highlight w:val="green"/>
                <w:lang w:val="en-GB"/>
              </w:rPr>
            </w:pPr>
          </w:p>
        </w:tc>
        <w:tc>
          <w:tcPr>
            <w:tcW w:w="3312"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Mar>
              <w:top w:w="0" w:type="dxa"/>
              <w:left w:w="108" w:type="dxa"/>
              <w:bottom w:w="0" w:type="dxa"/>
              <w:right w:w="108" w:type="dxa"/>
            </w:tcMar>
          </w:tcPr>
          <w:p w14:paraId="7A3FCC1C" w14:textId="77777777" w:rsidR="00EF6079" w:rsidRPr="00CB34A3" w:rsidRDefault="00EF6079" w:rsidP="008F72F4">
            <w:pPr>
              <w:pStyle w:val="ListParagraph"/>
              <w:spacing w:line="240" w:lineRule="auto"/>
              <w:ind w:left="11" w:firstLine="0"/>
              <w:rPr>
                <w:rFonts w:ascii="Arial" w:hAnsi="Arial" w:cs="Arial"/>
                <w:b/>
                <w:sz w:val="18"/>
                <w:szCs w:val="18"/>
                <w:highlight w:val="green"/>
                <w:lang w:val="en-GB"/>
              </w:rPr>
            </w:pPr>
          </w:p>
        </w:tc>
      </w:tr>
      <w:tr w:rsidR="00EF6079" w:rsidRPr="00F61F42" w14:paraId="1DCB5658" w14:textId="77777777" w:rsidTr="008F72F4">
        <w:trPr>
          <w:trHeight w:val="20"/>
          <w:jc w:val="center"/>
        </w:trPr>
        <w:tc>
          <w:tcPr>
            <w:tcW w:w="3312" w:type="dxa"/>
            <w:tcBorders>
              <w:top w:val="single" w:sz="18" w:space="0" w:color="6F6F6F" w:themeColor="text1"/>
              <w:left w:val="single" w:sz="18" w:space="0" w:color="6F6F6F" w:themeColor="text1"/>
              <w:bottom w:val="single" w:sz="18" w:space="0" w:color="6F6F6F" w:themeColor="text1"/>
              <w:right w:val="single" w:sz="4" w:space="0" w:color="000000"/>
            </w:tcBorders>
            <w:shd w:val="clear" w:color="auto" w:fill="auto"/>
            <w:tcMar>
              <w:top w:w="0" w:type="dxa"/>
              <w:left w:w="108" w:type="dxa"/>
              <w:bottom w:w="0" w:type="dxa"/>
              <w:right w:w="108" w:type="dxa"/>
            </w:tcMar>
          </w:tcPr>
          <w:p w14:paraId="45E43CEE" w14:textId="77777777" w:rsidR="00EF6079" w:rsidRPr="00CB34A3" w:rsidRDefault="00EF6079" w:rsidP="008F72F4">
            <w:pPr>
              <w:pStyle w:val="ListParagraph"/>
              <w:tabs>
                <w:tab w:val="clear" w:pos="709"/>
                <w:tab w:val="left" w:pos="731"/>
              </w:tabs>
              <w:spacing w:line="240" w:lineRule="auto"/>
              <w:ind w:left="720"/>
              <w:rPr>
                <w:rFonts w:ascii="Arial" w:hAnsi="Arial" w:cs="Arial"/>
                <w:b/>
                <w:sz w:val="18"/>
                <w:szCs w:val="18"/>
                <w:lang w:val="en-GB"/>
              </w:rPr>
            </w:pPr>
          </w:p>
        </w:tc>
        <w:tc>
          <w:tcPr>
            <w:tcW w:w="3312" w:type="dxa"/>
            <w:tcBorders>
              <w:top w:val="single" w:sz="18" w:space="0" w:color="6F6F6F" w:themeColor="text1"/>
              <w:left w:val="single" w:sz="4" w:space="0" w:color="000000"/>
              <w:bottom w:val="single" w:sz="18" w:space="0" w:color="6F6F6F" w:themeColor="text1"/>
              <w:right w:val="single" w:sz="4" w:space="0" w:color="000000"/>
            </w:tcBorders>
            <w:shd w:val="clear" w:color="auto" w:fill="auto"/>
            <w:tcMar>
              <w:top w:w="0" w:type="dxa"/>
              <w:left w:w="108" w:type="dxa"/>
              <w:bottom w:w="0" w:type="dxa"/>
              <w:right w:w="108" w:type="dxa"/>
            </w:tcMar>
          </w:tcPr>
          <w:p w14:paraId="6002637B" w14:textId="77777777" w:rsidR="00EF6079" w:rsidRPr="00CB34A3" w:rsidRDefault="00EF6079" w:rsidP="008F72F4">
            <w:pPr>
              <w:pStyle w:val="ListParagraph"/>
              <w:tabs>
                <w:tab w:val="clear" w:pos="709"/>
              </w:tabs>
              <w:spacing w:line="240" w:lineRule="auto"/>
              <w:ind w:left="41"/>
              <w:rPr>
                <w:rFonts w:ascii="Arial" w:hAnsi="Arial" w:cs="Arial"/>
                <w:b/>
                <w:sz w:val="18"/>
                <w:szCs w:val="18"/>
                <w:lang w:val="en-GB"/>
              </w:rPr>
            </w:pPr>
          </w:p>
        </w:tc>
        <w:tc>
          <w:tcPr>
            <w:tcW w:w="3312" w:type="dxa"/>
            <w:tcBorders>
              <w:top w:val="single" w:sz="18" w:space="0" w:color="6F6F6F" w:themeColor="text1"/>
              <w:left w:val="single" w:sz="4" w:space="0" w:color="000000"/>
              <w:bottom w:val="single" w:sz="18" w:space="0" w:color="6F6F6F" w:themeColor="text1"/>
              <w:right w:val="single" w:sz="18" w:space="0" w:color="6F6F6F" w:themeColor="text1"/>
            </w:tcBorders>
            <w:shd w:val="clear" w:color="auto" w:fill="auto"/>
            <w:tcMar>
              <w:top w:w="0" w:type="dxa"/>
              <w:left w:w="108" w:type="dxa"/>
              <w:bottom w:w="0" w:type="dxa"/>
              <w:right w:w="108" w:type="dxa"/>
            </w:tcMar>
          </w:tcPr>
          <w:p w14:paraId="56AF4A89" w14:textId="77777777" w:rsidR="00EF6079" w:rsidRPr="00CB34A3" w:rsidRDefault="00EF6079" w:rsidP="008F72F4">
            <w:pPr>
              <w:pStyle w:val="ListParagraph"/>
              <w:spacing w:line="240" w:lineRule="auto"/>
              <w:ind w:left="77"/>
              <w:rPr>
                <w:rFonts w:ascii="Arial" w:hAnsi="Arial" w:cs="Arial"/>
                <w:b/>
                <w:sz w:val="18"/>
                <w:szCs w:val="18"/>
                <w:lang w:val="en-GB"/>
              </w:rPr>
            </w:pPr>
          </w:p>
        </w:tc>
      </w:tr>
      <w:tr w:rsidR="00EF6079" w:rsidRPr="003726BE" w14:paraId="28F6FED3" w14:textId="77777777" w:rsidTr="008F72F4">
        <w:trPr>
          <w:trHeight w:val="36"/>
          <w:jc w:val="center"/>
        </w:trPr>
        <w:tc>
          <w:tcPr>
            <w:tcW w:w="9936" w:type="dxa"/>
            <w:gridSpan w:val="3"/>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14:paraId="1CBC2904" w14:textId="77777777" w:rsidR="00EF6079" w:rsidRPr="003726BE" w:rsidRDefault="00EF6079" w:rsidP="001A31FB">
            <w:pPr>
              <w:pStyle w:val="ListParagraph"/>
              <w:numPr>
                <w:ilvl w:val="0"/>
                <w:numId w:val="28"/>
              </w:numPr>
              <w:suppressAutoHyphens/>
              <w:autoSpaceDN w:val="0"/>
              <w:spacing w:after="0" w:line="240" w:lineRule="auto"/>
              <w:textAlignment w:val="baseline"/>
              <w:outlineLvl w:val="9"/>
              <w:rPr>
                <w:b/>
                <w:color w:val="ED7D31"/>
                <w:sz w:val="18"/>
                <w:szCs w:val="18"/>
              </w:rPr>
            </w:pPr>
            <w:r w:rsidRPr="003726BE">
              <w:rPr>
                <w:rFonts w:ascii="Arial" w:hAnsi="Arial"/>
                <w:b/>
                <w:color w:val="ED7D31"/>
                <w:sz w:val="18"/>
              </w:rPr>
              <w:t>Methods applied</w:t>
            </w:r>
            <w:r w:rsidRPr="003726BE">
              <w:rPr>
                <w:rStyle w:val="FootnoteReference"/>
              </w:rPr>
              <w:footnoteReference w:id="85"/>
            </w:r>
          </w:p>
          <w:p w14:paraId="797E3705" w14:textId="77777777" w:rsidR="00EF6079" w:rsidRPr="003726BE" w:rsidRDefault="00EF6079" w:rsidP="008F72F4">
            <w:pPr>
              <w:pStyle w:val="Htablebullet"/>
            </w:pPr>
            <w:r w:rsidRPr="003726BE">
              <w:t>Quantitative methods</w:t>
            </w:r>
            <w:r w:rsidRPr="003726BE">
              <w:rPr>
                <w:rStyle w:val="FootnoteReference"/>
              </w:rPr>
              <w:footnoteReference w:id="86"/>
            </w:r>
            <w:r w:rsidRPr="003726BE">
              <w:t>:</w:t>
            </w:r>
          </w:p>
          <w:p w14:paraId="7A11C056" w14:textId="77777777" w:rsidR="00EF6079" w:rsidRPr="003726BE" w:rsidRDefault="00EF6079" w:rsidP="001A31FB">
            <w:pPr>
              <w:pStyle w:val="ListParagraph"/>
              <w:numPr>
                <w:ilvl w:val="2"/>
                <w:numId w:val="29"/>
              </w:numPr>
              <w:suppressAutoHyphens/>
              <w:autoSpaceDN w:val="0"/>
              <w:spacing w:after="0" w:line="240" w:lineRule="auto"/>
              <w:textAlignment w:val="baseline"/>
              <w:outlineLvl w:val="9"/>
              <w:rPr>
                <w:color w:val="373737" w:themeColor="background1" w:themeShade="40"/>
                <w:sz w:val="18"/>
                <w:szCs w:val="18"/>
              </w:rPr>
            </w:pPr>
            <w:r w:rsidRPr="003726BE">
              <w:rPr>
                <w:rFonts w:ascii="Arial" w:hAnsi="Arial"/>
                <w:color w:val="373737" w:themeColor="background1" w:themeShade="40"/>
                <w:sz w:val="18"/>
              </w:rPr>
              <w:t>Reasons for using the method</w:t>
            </w:r>
          </w:p>
          <w:p w14:paraId="160C9775" w14:textId="77777777" w:rsidR="00EF6079" w:rsidRPr="00CB34A3" w:rsidRDefault="00EF6079" w:rsidP="001A31FB">
            <w:pPr>
              <w:pStyle w:val="ListParagraph"/>
              <w:numPr>
                <w:ilvl w:val="2"/>
                <w:numId w:val="29"/>
              </w:numPr>
              <w:suppressAutoHyphens/>
              <w:autoSpaceDN w:val="0"/>
              <w:spacing w:after="0" w:line="240" w:lineRule="auto"/>
              <w:textAlignment w:val="baseline"/>
              <w:outlineLvl w:val="9"/>
              <w:rPr>
                <w:color w:val="373737" w:themeColor="background1" w:themeShade="40"/>
                <w:sz w:val="18"/>
                <w:szCs w:val="18"/>
                <w:lang w:val="en-GB"/>
              </w:rPr>
            </w:pPr>
            <w:r w:rsidRPr="00CB34A3">
              <w:rPr>
                <w:rFonts w:ascii="Arial" w:hAnsi="Arial"/>
                <w:color w:val="373737" w:themeColor="background1" w:themeShade="40"/>
                <w:sz w:val="18"/>
                <w:lang w:val="en-GB"/>
              </w:rPr>
              <w:lastRenderedPageBreak/>
              <w:t>Description of methods to calculate ratios, gross or net (if applicable) values of common and additional result indicators, or other indicators used (output, common context indicators)</w:t>
            </w:r>
            <w:r w:rsidRPr="003726BE">
              <w:rPr>
                <w:rStyle w:val="FootnoteReference"/>
                <w:color w:val="373737" w:themeColor="background1" w:themeShade="40"/>
              </w:rPr>
              <w:footnoteReference w:id="87"/>
            </w:r>
          </w:p>
          <w:p w14:paraId="7C1B32DA" w14:textId="77777777" w:rsidR="00EF6079" w:rsidRPr="00CB34A3" w:rsidRDefault="00EF6079" w:rsidP="001A31FB">
            <w:pPr>
              <w:pStyle w:val="ListParagraph"/>
              <w:numPr>
                <w:ilvl w:val="2"/>
                <w:numId w:val="29"/>
              </w:numPr>
              <w:suppressAutoHyphens/>
              <w:autoSpaceDN w:val="0"/>
              <w:spacing w:after="0" w:line="240" w:lineRule="auto"/>
              <w:textAlignment w:val="baseline"/>
              <w:outlineLvl w:val="9"/>
              <w:rPr>
                <w:color w:val="262626" w:themeColor="text2" w:themeTint="D9"/>
                <w:sz w:val="18"/>
                <w:szCs w:val="18"/>
                <w:lang w:val="en-GB"/>
              </w:rPr>
            </w:pPr>
            <w:r w:rsidRPr="00CB34A3">
              <w:rPr>
                <w:rFonts w:ascii="Arial" w:hAnsi="Arial"/>
                <w:color w:val="373737" w:themeColor="background1" w:themeShade="40"/>
                <w:sz w:val="18"/>
                <w:lang w:val="en-GB"/>
              </w:rPr>
              <w:t>Challenges in the application of described methods and solutions encountered</w:t>
            </w:r>
          </w:p>
          <w:p w14:paraId="3A7ABCBF" w14:textId="77777777" w:rsidR="00EF6079" w:rsidRPr="003726BE" w:rsidRDefault="00EF6079" w:rsidP="008F72F4">
            <w:pPr>
              <w:pStyle w:val="Htablebullet"/>
            </w:pPr>
            <w:r w:rsidRPr="003726BE">
              <w:t>Qualitative methods:</w:t>
            </w:r>
          </w:p>
          <w:p w14:paraId="11A7C66E" w14:textId="77777777" w:rsidR="00EF6079" w:rsidRPr="00CB34A3" w:rsidRDefault="00EF6079" w:rsidP="001A31FB">
            <w:pPr>
              <w:pStyle w:val="ListParagraph"/>
              <w:numPr>
                <w:ilvl w:val="2"/>
                <w:numId w:val="29"/>
              </w:numPr>
              <w:suppressAutoHyphens/>
              <w:autoSpaceDN w:val="0"/>
              <w:spacing w:after="0" w:line="240" w:lineRule="auto"/>
              <w:textAlignment w:val="baseline"/>
              <w:outlineLvl w:val="9"/>
              <w:rPr>
                <w:color w:val="373737" w:themeColor="background1" w:themeShade="40"/>
                <w:sz w:val="18"/>
                <w:szCs w:val="18"/>
                <w:lang w:val="en-GB"/>
              </w:rPr>
            </w:pPr>
            <w:r w:rsidRPr="00CB34A3">
              <w:rPr>
                <w:rFonts w:ascii="Arial" w:hAnsi="Arial"/>
                <w:color w:val="373737" w:themeColor="background1" w:themeShade="40"/>
                <w:sz w:val="18"/>
                <w:lang w:val="en-GB"/>
              </w:rPr>
              <w:t>Reasons for using the method</w:t>
            </w:r>
            <w:r w:rsidRPr="003726BE">
              <w:rPr>
                <w:rStyle w:val="FootnoteReference"/>
                <w:color w:val="373737" w:themeColor="background1" w:themeShade="40"/>
                <w:vertAlign w:val="superscript"/>
              </w:rPr>
              <w:footnoteReference w:id="88"/>
            </w:r>
          </w:p>
          <w:p w14:paraId="6C7411AC" w14:textId="77777777" w:rsidR="00EF6079" w:rsidRPr="003726BE" w:rsidRDefault="00EF6079" w:rsidP="001A31FB">
            <w:pPr>
              <w:pStyle w:val="ListParagraph"/>
              <w:numPr>
                <w:ilvl w:val="2"/>
                <w:numId w:val="29"/>
              </w:numPr>
              <w:suppressAutoHyphens/>
              <w:autoSpaceDN w:val="0"/>
              <w:spacing w:after="0" w:line="240" w:lineRule="auto"/>
              <w:textAlignment w:val="baseline"/>
              <w:outlineLvl w:val="9"/>
              <w:rPr>
                <w:color w:val="373737" w:themeColor="background1" w:themeShade="40"/>
                <w:sz w:val="18"/>
                <w:szCs w:val="18"/>
              </w:rPr>
            </w:pPr>
            <w:r w:rsidRPr="003726BE">
              <w:rPr>
                <w:rFonts w:ascii="Arial" w:hAnsi="Arial"/>
                <w:color w:val="373737" w:themeColor="background1" w:themeShade="40"/>
                <w:sz w:val="18"/>
              </w:rPr>
              <w:t>Description of methods used</w:t>
            </w:r>
            <w:r w:rsidRPr="003726BE">
              <w:rPr>
                <w:rStyle w:val="FootnoteReference"/>
                <w:color w:val="373737" w:themeColor="background1" w:themeShade="40"/>
                <w:vertAlign w:val="superscript"/>
              </w:rPr>
              <w:footnoteReference w:id="89"/>
            </w:r>
          </w:p>
          <w:p w14:paraId="3BD6D7AA" w14:textId="77777777" w:rsidR="00EF6079" w:rsidRPr="00CB34A3" w:rsidRDefault="00EF6079" w:rsidP="001A31FB">
            <w:pPr>
              <w:pStyle w:val="ListParagraph"/>
              <w:numPr>
                <w:ilvl w:val="2"/>
                <w:numId w:val="29"/>
              </w:numPr>
              <w:suppressAutoHyphens/>
              <w:autoSpaceDN w:val="0"/>
              <w:spacing w:after="0" w:line="240" w:lineRule="auto"/>
              <w:textAlignment w:val="baseline"/>
              <w:outlineLvl w:val="9"/>
              <w:rPr>
                <w:color w:val="373737" w:themeColor="background1" w:themeShade="40"/>
                <w:sz w:val="18"/>
                <w:szCs w:val="18"/>
                <w:lang w:val="en-GB"/>
              </w:rPr>
            </w:pPr>
            <w:r w:rsidRPr="00CB34A3">
              <w:rPr>
                <w:rFonts w:ascii="Arial" w:hAnsi="Arial"/>
                <w:color w:val="373737" w:themeColor="background1" w:themeShade="40"/>
                <w:sz w:val="18"/>
                <w:lang w:val="en-GB"/>
              </w:rPr>
              <w:t>Challenges in the application of described methods and solutions encountered</w:t>
            </w:r>
          </w:p>
          <w:p w14:paraId="3C1C690D" w14:textId="77777777" w:rsidR="00EF6079" w:rsidRPr="003726BE" w:rsidRDefault="00EF6079" w:rsidP="008F72F4">
            <w:pPr>
              <w:spacing w:after="0" w:line="240" w:lineRule="auto"/>
              <w:jc w:val="left"/>
              <w:rPr>
                <w:szCs w:val="18"/>
              </w:rPr>
            </w:pPr>
            <w:r w:rsidRPr="00CB34A3">
              <w:rPr>
                <w:i/>
                <w:color w:val="F7A833" w:themeColor="accent5"/>
                <w:lang w:val="en-GB"/>
              </w:rPr>
              <w:t xml:space="preserve">[A maximum of 7,000 characters = approx. </w:t>
            </w:r>
            <w:r w:rsidRPr="003726BE">
              <w:rPr>
                <w:i/>
                <w:color w:val="F7A833" w:themeColor="accent5"/>
              </w:rPr>
              <w:t>2 pages – Mandatory]</w:t>
            </w:r>
          </w:p>
        </w:tc>
      </w:tr>
    </w:tbl>
    <w:p w14:paraId="269ABC18" w14:textId="77777777" w:rsidR="00F7131C" w:rsidRPr="003726BE" w:rsidRDefault="00F7131C" w:rsidP="002B2ED6">
      <w:pPr>
        <w:jc w:val="center"/>
        <w:rPr>
          <w:sz w:val="28"/>
          <w:szCs w:val="28"/>
        </w:rPr>
        <w:sectPr w:rsidR="00F7131C" w:rsidRPr="003726BE" w:rsidSect="008402F5">
          <w:headerReference w:type="even" r:id="rId76"/>
          <w:footerReference w:type="default" r:id="rId77"/>
          <w:headerReference w:type="first" r:id="rId78"/>
          <w:pgSz w:w="11907" w:h="16840" w:code="9"/>
          <w:pgMar w:top="1418" w:right="1418" w:bottom="1418" w:left="1418" w:header="737" w:footer="709" w:gutter="0"/>
          <w:cols w:space="708"/>
          <w:titlePg/>
          <w:docGrid w:linePitch="435"/>
        </w:sectPr>
      </w:pPr>
    </w:p>
    <w:tbl>
      <w:tblPr>
        <w:tblW w:w="14258" w:type="dxa"/>
        <w:jc w:val="center"/>
        <w:tblCellMar>
          <w:left w:w="10" w:type="dxa"/>
          <w:right w:w="10" w:type="dxa"/>
        </w:tblCellMar>
        <w:tblLook w:val="0000" w:firstRow="0" w:lastRow="0" w:firstColumn="0" w:lastColumn="0" w:noHBand="0" w:noVBand="0"/>
      </w:tblPr>
      <w:tblGrid>
        <w:gridCol w:w="1210"/>
        <w:gridCol w:w="1892"/>
        <w:gridCol w:w="1572"/>
        <w:gridCol w:w="1255"/>
        <w:gridCol w:w="1628"/>
        <w:gridCol w:w="1918"/>
        <w:gridCol w:w="1417"/>
        <w:gridCol w:w="1527"/>
        <w:gridCol w:w="1839"/>
      </w:tblGrid>
      <w:tr w:rsidR="00E556D7" w:rsidRPr="003726BE" w14:paraId="7C555D92" w14:textId="77777777" w:rsidTr="007C5FE4">
        <w:trPr>
          <w:trHeight w:val="563"/>
          <w:jc w:val="center"/>
        </w:trPr>
        <w:tc>
          <w:tcPr>
            <w:tcW w:w="14258" w:type="dxa"/>
            <w:gridSpan w:val="9"/>
            <w:tcBorders>
              <w:top w:val="single" w:sz="18" w:space="0" w:color="6F6F6F" w:themeColor="text1"/>
              <w:left w:val="single" w:sz="18" w:space="0" w:color="6F6F6F" w:themeColor="text1"/>
              <w:right w:val="single" w:sz="18" w:space="0" w:color="6F6F6F" w:themeColor="text1"/>
            </w:tcBorders>
            <w:shd w:val="clear" w:color="auto" w:fill="auto"/>
            <w:tcMar>
              <w:top w:w="0" w:type="dxa"/>
              <w:left w:w="108" w:type="dxa"/>
              <w:bottom w:w="0" w:type="dxa"/>
              <w:right w:w="108" w:type="dxa"/>
            </w:tcMar>
          </w:tcPr>
          <w:p w14:paraId="192EBD96" w14:textId="77777777" w:rsidR="00E556D7" w:rsidRPr="00CB34A3" w:rsidRDefault="00E556D7" w:rsidP="001A31FB">
            <w:pPr>
              <w:pStyle w:val="ListParagraph"/>
              <w:numPr>
                <w:ilvl w:val="0"/>
                <w:numId w:val="28"/>
              </w:numPr>
              <w:suppressAutoHyphens/>
              <w:autoSpaceDN w:val="0"/>
              <w:spacing w:after="0" w:line="240" w:lineRule="auto"/>
              <w:textAlignment w:val="baseline"/>
              <w:outlineLvl w:val="9"/>
              <w:rPr>
                <w:rFonts w:ascii="Arial" w:hAnsi="Arial" w:cs="Arial"/>
                <w:b/>
                <w:color w:val="ED7D31"/>
                <w:sz w:val="18"/>
                <w:szCs w:val="18"/>
                <w:lang w:val="en-GB"/>
              </w:rPr>
            </w:pPr>
            <w:r w:rsidRPr="00CB34A3">
              <w:rPr>
                <w:rFonts w:ascii="Arial" w:hAnsi="Arial"/>
                <w:b/>
                <w:color w:val="ED7D31"/>
                <w:sz w:val="18"/>
                <w:lang w:val="en-GB"/>
              </w:rPr>
              <w:lastRenderedPageBreak/>
              <w:t>Quantitative values of indicators</w:t>
            </w:r>
            <w:r w:rsidRPr="003726BE">
              <w:rPr>
                <w:rStyle w:val="FootnoteReference"/>
              </w:rPr>
              <w:footnoteReference w:id="90"/>
            </w:r>
            <w:r w:rsidRPr="00CB34A3">
              <w:rPr>
                <w:rFonts w:ascii="Arial" w:hAnsi="Arial"/>
                <w:b/>
                <w:color w:val="ED7D31"/>
                <w:sz w:val="18"/>
                <w:lang w:val="en-GB"/>
              </w:rPr>
              <w:t xml:space="preserve"> and data sources </w:t>
            </w:r>
          </w:p>
          <w:p w14:paraId="312BE74E" w14:textId="77777777" w:rsidR="00E556D7" w:rsidRPr="003726BE" w:rsidRDefault="00E556D7" w:rsidP="00E556D7">
            <w:pPr>
              <w:spacing w:after="0" w:line="240" w:lineRule="auto"/>
              <w:rPr>
                <w:i/>
                <w:color w:val="F7A833" w:themeColor="accent5"/>
                <w:szCs w:val="18"/>
              </w:rPr>
            </w:pPr>
            <w:r w:rsidRPr="003726BE">
              <w:rPr>
                <w:i/>
                <w:color w:val="F7A833" w:themeColor="accent5"/>
              </w:rPr>
              <w:t>[Mandatory]</w:t>
            </w:r>
          </w:p>
        </w:tc>
      </w:tr>
      <w:tr w:rsidR="007C5FE4" w:rsidRPr="003726BE" w14:paraId="2A590099" w14:textId="77777777" w:rsidTr="007C5FE4">
        <w:trPr>
          <w:trHeight w:val="563"/>
          <w:jc w:val="center"/>
        </w:trPr>
        <w:tc>
          <w:tcPr>
            <w:tcW w:w="3102" w:type="dxa"/>
            <w:gridSpan w:val="2"/>
            <w:vMerge w:val="restart"/>
            <w:tcBorders>
              <w:top w:val="single" w:sz="18" w:space="0" w:color="6F6F6F" w:themeColor="text1"/>
              <w:left w:val="single" w:sz="18" w:space="0" w:color="6F6F6F" w:themeColor="text1"/>
              <w:right w:val="single" w:sz="4" w:space="0" w:color="auto"/>
            </w:tcBorders>
            <w:shd w:val="clear" w:color="auto" w:fill="auto"/>
            <w:tcMar>
              <w:top w:w="0" w:type="dxa"/>
              <w:left w:w="108" w:type="dxa"/>
              <w:bottom w:w="0" w:type="dxa"/>
              <w:right w:w="108" w:type="dxa"/>
            </w:tcMar>
          </w:tcPr>
          <w:p w14:paraId="71F399C1" w14:textId="77777777" w:rsidR="007C5FE4" w:rsidRPr="003726BE" w:rsidRDefault="007C5FE4" w:rsidP="00404839">
            <w:pPr>
              <w:jc w:val="left"/>
              <w:rPr>
                <w:b/>
                <w:color w:val="262626" w:themeColor="text2" w:themeTint="D9"/>
                <w:szCs w:val="18"/>
              </w:rPr>
            </w:pPr>
            <w:r w:rsidRPr="003726BE">
              <w:rPr>
                <w:b/>
                <w:color w:val="262626" w:themeColor="text2" w:themeTint="D9"/>
              </w:rPr>
              <w:t xml:space="preserve">Indicator </w:t>
            </w:r>
          </w:p>
        </w:tc>
        <w:tc>
          <w:tcPr>
            <w:tcW w:w="1572" w:type="dxa"/>
            <w:vMerge w:val="restart"/>
            <w:tcBorders>
              <w:top w:val="single" w:sz="18" w:space="0" w:color="6F6F6F" w:themeColor="text1"/>
              <w:left w:val="single" w:sz="4" w:space="0" w:color="auto"/>
              <w:right w:val="single" w:sz="4" w:space="0" w:color="auto"/>
            </w:tcBorders>
            <w:shd w:val="clear" w:color="auto" w:fill="auto"/>
          </w:tcPr>
          <w:p w14:paraId="295E7AB9" w14:textId="77777777" w:rsidR="007C5FE4" w:rsidRPr="003726BE" w:rsidRDefault="007C5FE4" w:rsidP="00404839">
            <w:pPr>
              <w:spacing w:after="0" w:line="240" w:lineRule="auto"/>
              <w:jc w:val="left"/>
              <w:rPr>
                <w:b/>
                <w:color w:val="262626" w:themeColor="text2" w:themeTint="D9"/>
                <w:szCs w:val="18"/>
              </w:rPr>
            </w:pPr>
            <w:r w:rsidRPr="003726BE">
              <w:rPr>
                <w:b/>
                <w:color w:val="262626" w:themeColor="text2" w:themeTint="D9"/>
              </w:rPr>
              <w:t>Absolute value</w:t>
            </w:r>
            <w:r w:rsidRPr="003726BE">
              <w:rPr>
                <w:rStyle w:val="FootnoteReference"/>
              </w:rPr>
              <w:footnoteReference w:id="91"/>
            </w:r>
          </w:p>
        </w:tc>
        <w:tc>
          <w:tcPr>
            <w:tcW w:w="1255" w:type="dxa"/>
            <w:vMerge w:val="restart"/>
            <w:tcBorders>
              <w:top w:val="single" w:sz="18" w:space="0" w:color="6F6F6F" w:themeColor="text1"/>
              <w:left w:val="single" w:sz="4" w:space="0" w:color="auto"/>
              <w:right w:val="single" w:sz="4" w:space="0" w:color="auto"/>
            </w:tcBorders>
            <w:shd w:val="clear" w:color="auto" w:fill="auto"/>
          </w:tcPr>
          <w:p w14:paraId="2896DD8E" w14:textId="77777777" w:rsidR="007C5FE4" w:rsidRPr="003726BE" w:rsidRDefault="007C5FE4" w:rsidP="007C5FE4">
            <w:pPr>
              <w:spacing w:after="0" w:line="240" w:lineRule="auto"/>
              <w:jc w:val="left"/>
              <w:rPr>
                <w:b/>
                <w:color w:val="262626" w:themeColor="text2" w:themeTint="D9"/>
                <w:szCs w:val="18"/>
              </w:rPr>
            </w:pPr>
            <w:r w:rsidRPr="003726BE">
              <w:rPr>
                <w:b/>
                <w:color w:val="262626" w:themeColor="text2" w:themeTint="D9"/>
              </w:rPr>
              <w:t>Ratio value</w:t>
            </w:r>
            <w:r w:rsidRPr="003726BE">
              <w:rPr>
                <w:rStyle w:val="FootnoteReference"/>
              </w:rPr>
              <w:footnoteReference w:id="92"/>
            </w:r>
          </w:p>
        </w:tc>
        <w:tc>
          <w:tcPr>
            <w:tcW w:w="4963" w:type="dxa"/>
            <w:gridSpan w:val="3"/>
            <w:tcBorders>
              <w:top w:val="single" w:sz="18" w:space="0" w:color="6F6F6F" w:themeColor="text1"/>
              <w:left w:val="single" w:sz="4" w:space="0" w:color="auto"/>
              <w:bottom w:val="single" w:sz="4" w:space="0" w:color="auto"/>
              <w:right w:val="single" w:sz="4" w:space="0" w:color="auto"/>
            </w:tcBorders>
            <w:shd w:val="clear" w:color="auto" w:fill="auto"/>
          </w:tcPr>
          <w:p w14:paraId="3EBE5BF7" w14:textId="77777777" w:rsidR="007C5FE4" w:rsidRPr="003726BE" w:rsidRDefault="007C5FE4" w:rsidP="00B529DB">
            <w:pPr>
              <w:spacing w:after="0" w:line="240" w:lineRule="auto"/>
              <w:jc w:val="left"/>
              <w:rPr>
                <w:b/>
                <w:color w:val="262626" w:themeColor="text2" w:themeTint="D9"/>
                <w:szCs w:val="18"/>
              </w:rPr>
            </w:pPr>
            <w:r w:rsidRPr="003726BE">
              <w:rPr>
                <w:b/>
                <w:color w:val="262626" w:themeColor="text2" w:themeTint="D9"/>
              </w:rPr>
              <w:t>Calculated gross value</w:t>
            </w:r>
            <w:r w:rsidRPr="003726BE">
              <w:rPr>
                <w:rStyle w:val="FootnoteReference"/>
              </w:rPr>
              <w:footnoteReference w:id="93"/>
            </w:r>
          </w:p>
        </w:tc>
        <w:tc>
          <w:tcPr>
            <w:tcW w:w="1527" w:type="dxa"/>
            <w:vMerge w:val="restart"/>
            <w:tcBorders>
              <w:top w:val="single" w:sz="18" w:space="0" w:color="6F6F6F" w:themeColor="text1"/>
              <w:left w:val="single" w:sz="4" w:space="0" w:color="auto"/>
              <w:right w:val="single" w:sz="4" w:space="0" w:color="auto"/>
            </w:tcBorders>
            <w:shd w:val="clear" w:color="auto" w:fill="auto"/>
          </w:tcPr>
          <w:p w14:paraId="27DAE23B" w14:textId="77777777" w:rsidR="007C5FE4" w:rsidRPr="003726BE" w:rsidRDefault="007C5FE4" w:rsidP="007C5FE4">
            <w:pPr>
              <w:spacing w:after="0" w:line="240" w:lineRule="auto"/>
              <w:jc w:val="left"/>
              <w:rPr>
                <w:b/>
                <w:color w:val="262626" w:themeColor="text2" w:themeTint="D9"/>
                <w:szCs w:val="18"/>
              </w:rPr>
            </w:pPr>
            <w:r w:rsidRPr="003726BE">
              <w:rPr>
                <w:b/>
                <w:color w:val="262626" w:themeColor="text2" w:themeTint="D9"/>
              </w:rPr>
              <w:t>Calculated net value</w:t>
            </w:r>
            <w:r w:rsidRPr="003726BE">
              <w:rPr>
                <w:rStyle w:val="FootnoteReference"/>
              </w:rPr>
              <w:footnoteReference w:id="94"/>
            </w:r>
          </w:p>
        </w:tc>
        <w:tc>
          <w:tcPr>
            <w:tcW w:w="1839" w:type="dxa"/>
            <w:vMerge w:val="restart"/>
            <w:tcBorders>
              <w:top w:val="single" w:sz="18" w:space="0" w:color="6F6F6F" w:themeColor="text1"/>
              <w:left w:val="single" w:sz="4" w:space="0" w:color="auto"/>
              <w:right w:val="single" w:sz="18" w:space="0" w:color="6F6F6F" w:themeColor="text1"/>
            </w:tcBorders>
            <w:shd w:val="clear" w:color="auto" w:fill="auto"/>
          </w:tcPr>
          <w:p w14:paraId="1325C090" w14:textId="77777777" w:rsidR="007C5FE4" w:rsidRPr="003726BE" w:rsidRDefault="007C5FE4" w:rsidP="00404839">
            <w:pPr>
              <w:jc w:val="left"/>
              <w:rPr>
                <w:b/>
                <w:color w:val="262626" w:themeColor="text2" w:themeTint="D9"/>
                <w:szCs w:val="18"/>
              </w:rPr>
            </w:pPr>
            <w:r w:rsidRPr="003726BE">
              <w:rPr>
                <w:b/>
                <w:color w:val="262626" w:themeColor="text2" w:themeTint="D9"/>
              </w:rPr>
              <w:t>Data and information sources</w:t>
            </w:r>
            <w:r w:rsidRPr="003726BE">
              <w:rPr>
                <w:rStyle w:val="FootnoteReference"/>
              </w:rPr>
              <w:footnoteReference w:id="95"/>
            </w:r>
          </w:p>
        </w:tc>
      </w:tr>
      <w:tr w:rsidR="007C5FE4" w:rsidRPr="003726BE" w14:paraId="11F2A651" w14:textId="77777777" w:rsidTr="007C5FE4">
        <w:trPr>
          <w:trHeight w:val="413"/>
          <w:jc w:val="center"/>
        </w:trPr>
        <w:tc>
          <w:tcPr>
            <w:tcW w:w="3102" w:type="dxa"/>
            <w:gridSpan w:val="2"/>
            <w:vMerge/>
            <w:tcBorders>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14:paraId="3378AE79" w14:textId="77777777" w:rsidR="007C5FE4" w:rsidRPr="003726BE" w:rsidRDefault="007C5FE4" w:rsidP="00591D69">
            <w:pPr>
              <w:rPr>
                <w:b/>
                <w:color w:val="262626" w:themeColor="text2" w:themeTint="D9"/>
                <w:szCs w:val="18"/>
              </w:rPr>
            </w:pPr>
          </w:p>
        </w:tc>
        <w:tc>
          <w:tcPr>
            <w:tcW w:w="1572" w:type="dxa"/>
            <w:vMerge/>
            <w:tcBorders>
              <w:left w:val="single" w:sz="4" w:space="0" w:color="auto"/>
              <w:bottom w:val="single" w:sz="18" w:space="0" w:color="6F6F6F" w:themeColor="text1"/>
              <w:right w:val="single" w:sz="4" w:space="0" w:color="auto"/>
            </w:tcBorders>
            <w:shd w:val="clear" w:color="auto" w:fill="auto"/>
          </w:tcPr>
          <w:p w14:paraId="37CA16F9" w14:textId="77777777" w:rsidR="007C5FE4" w:rsidRPr="003726BE" w:rsidRDefault="007C5FE4" w:rsidP="00591D69">
            <w:pPr>
              <w:spacing w:after="0" w:line="240" w:lineRule="auto"/>
              <w:rPr>
                <w:b/>
                <w:color w:val="262626" w:themeColor="text2" w:themeTint="D9"/>
                <w:szCs w:val="18"/>
              </w:rPr>
            </w:pPr>
          </w:p>
        </w:tc>
        <w:tc>
          <w:tcPr>
            <w:tcW w:w="1255" w:type="dxa"/>
            <w:vMerge/>
            <w:tcBorders>
              <w:left w:val="single" w:sz="4" w:space="0" w:color="auto"/>
              <w:bottom w:val="single" w:sz="18" w:space="0" w:color="6F6F6F" w:themeColor="text1"/>
              <w:right w:val="single" w:sz="4" w:space="0" w:color="auto"/>
            </w:tcBorders>
            <w:shd w:val="clear" w:color="auto" w:fill="auto"/>
          </w:tcPr>
          <w:p w14:paraId="5EE01F14" w14:textId="77777777" w:rsidR="007C5FE4" w:rsidRPr="003726BE" w:rsidRDefault="007C5FE4" w:rsidP="00F116B5">
            <w:pPr>
              <w:spacing w:after="0" w:line="240" w:lineRule="auto"/>
              <w:jc w:val="left"/>
              <w:rPr>
                <w:b/>
                <w:color w:val="373737" w:themeColor="background1" w:themeShade="40"/>
                <w:sz w:val="14"/>
                <w:szCs w:val="14"/>
                <w:highlight w:val="green"/>
              </w:rPr>
            </w:pPr>
          </w:p>
        </w:tc>
        <w:tc>
          <w:tcPr>
            <w:tcW w:w="1628" w:type="dxa"/>
            <w:tcBorders>
              <w:top w:val="single" w:sz="4" w:space="0" w:color="auto"/>
              <w:left w:val="single" w:sz="4" w:space="0" w:color="auto"/>
              <w:bottom w:val="single" w:sz="18" w:space="0" w:color="6F6F6F" w:themeColor="text1"/>
              <w:right w:val="single" w:sz="4" w:space="0" w:color="auto"/>
            </w:tcBorders>
            <w:shd w:val="clear" w:color="auto" w:fill="auto"/>
          </w:tcPr>
          <w:p w14:paraId="57152D30" w14:textId="77777777" w:rsidR="007C5FE4" w:rsidRPr="003726BE" w:rsidRDefault="007C5FE4" w:rsidP="00F116B5">
            <w:pPr>
              <w:spacing w:after="0" w:line="240" w:lineRule="auto"/>
              <w:jc w:val="left"/>
              <w:rPr>
                <w:b/>
                <w:color w:val="373737" w:themeColor="background1" w:themeShade="40"/>
                <w:sz w:val="14"/>
                <w:szCs w:val="14"/>
              </w:rPr>
            </w:pPr>
            <w:r w:rsidRPr="003726BE">
              <w:rPr>
                <w:b/>
                <w:color w:val="373737" w:themeColor="background1" w:themeShade="40"/>
                <w:sz w:val="14"/>
              </w:rPr>
              <w:t xml:space="preserve">Primary contributions </w:t>
            </w:r>
          </w:p>
        </w:tc>
        <w:tc>
          <w:tcPr>
            <w:tcW w:w="1918" w:type="dxa"/>
            <w:tcBorders>
              <w:top w:val="single" w:sz="4" w:space="0" w:color="auto"/>
              <w:left w:val="single" w:sz="4" w:space="0" w:color="auto"/>
              <w:bottom w:val="single" w:sz="18" w:space="0" w:color="6F6F6F" w:themeColor="text1"/>
              <w:right w:val="single" w:sz="4" w:space="0" w:color="auto"/>
            </w:tcBorders>
            <w:shd w:val="clear" w:color="auto" w:fill="auto"/>
          </w:tcPr>
          <w:p w14:paraId="62736BFE" w14:textId="77777777" w:rsidR="007C5FE4" w:rsidRPr="00CB34A3" w:rsidRDefault="007C5FE4" w:rsidP="00F116B5">
            <w:pPr>
              <w:spacing w:after="0" w:line="240" w:lineRule="auto"/>
              <w:jc w:val="left"/>
              <w:rPr>
                <w:b/>
                <w:color w:val="373737" w:themeColor="background1" w:themeShade="40"/>
                <w:sz w:val="14"/>
                <w:szCs w:val="14"/>
                <w:lang w:val="en-GB"/>
              </w:rPr>
            </w:pPr>
            <w:r w:rsidRPr="00CB34A3">
              <w:rPr>
                <w:b/>
                <w:color w:val="373737" w:themeColor="background1" w:themeShade="40"/>
                <w:sz w:val="14"/>
                <w:lang w:val="en-GB"/>
              </w:rPr>
              <w:t xml:space="preserve">Secondary contributions, including </w:t>
            </w:r>
          </w:p>
          <w:p w14:paraId="0102DC26" w14:textId="77777777" w:rsidR="007C5FE4" w:rsidRPr="00CB34A3" w:rsidRDefault="007C5FE4" w:rsidP="00F116B5">
            <w:pPr>
              <w:spacing w:after="0" w:line="240" w:lineRule="auto"/>
              <w:jc w:val="left"/>
              <w:rPr>
                <w:b/>
                <w:color w:val="373737" w:themeColor="background1" w:themeShade="40"/>
                <w:sz w:val="14"/>
                <w:szCs w:val="14"/>
                <w:lang w:val="en-GB"/>
              </w:rPr>
            </w:pPr>
            <w:r w:rsidRPr="00CB34A3">
              <w:rPr>
                <w:b/>
                <w:color w:val="373737" w:themeColor="background1" w:themeShade="40"/>
                <w:sz w:val="14"/>
                <w:lang w:val="en-GB"/>
              </w:rPr>
              <w:t>LEADER/CLLD contributions</w:t>
            </w:r>
          </w:p>
        </w:tc>
        <w:tc>
          <w:tcPr>
            <w:tcW w:w="1417" w:type="dxa"/>
            <w:tcBorders>
              <w:top w:val="single" w:sz="4" w:space="0" w:color="auto"/>
              <w:left w:val="single" w:sz="4" w:space="0" w:color="auto"/>
              <w:bottom w:val="single" w:sz="18" w:space="0" w:color="6F6F6F" w:themeColor="text1"/>
              <w:right w:val="single" w:sz="4" w:space="0" w:color="auto"/>
            </w:tcBorders>
            <w:shd w:val="clear" w:color="auto" w:fill="auto"/>
          </w:tcPr>
          <w:p w14:paraId="65C44E5B" w14:textId="77777777" w:rsidR="007C5FE4" w:rsidRPr="003726BE" w:rsidRDefault="007C5FE4" w:rsidP="00F116B5">
            <w:pPr>
              <w:spacing w:after="0" w:line="240" w:lineRule="auto"/>
              <w:jc w:val="left"/>
              <w:rPr>
                <w:b/>
                <w:color w:val="373737" w:themeColor="background1" w:themeShade="40"/>
                <w:sz w:val="14"/>
                <w:szCs w:val="14"/>
              </w:rPr>
            </w:pPr>
            <w:r w:rsidRPr="003726BE">
              <w:rPr>
                <w:b/>
                <w:color w:val="373737" w:themeColor="background1" w:themeShade="40"/>
                <w:sz w:val="14"/>
              </w:rPr>
              <w:t>Total value</w:t>
            </w:r>
          </w:p>
        </w:tc>
        <w:tc>
          <w:tcPr>
            <w:tcW w:w="1527" w:type="dxa"/>
            <w:vMerge/>
            <w:tcBorders>
              <w:left w:val="single" w:sz="4" w:space="0" w:color="auto"/>
              <w:bottom w:val="single" w:sz="18" w:space="0" w:color="6F6F6F" w:themeColor="text1"/>
              <w:right w:val="single" w:sz="4" w:space="0" w:color="auto"/>
            </w:tcBorders>
            <w:shd w:val="clear" w:color="auto" w:fill="auto"/>
          </w:tcPr>
          <w:p w14:paraId="36FEEDE0" w14:textId="77777777" w:rsidR="007C5FE4" w:rsidRPr="003726BE" w:rsidRDefault="007C5FE4" w:rsidP="00F116B5">
            <w:pPr>
              <w:spacing w:after="0" w:line="240" w:lineRule="auto"/>
              <w:jc w:val="left"/>
              <w:rPr>
                <w:b/>
                <w:color w:val="373737" w:themeColor="background1" w:themeShade="40"/>
                <w:sz w:val="14"/>
                <w:szCs w:val="14"/>
              </w:rPr>
            </w:pPr>
          </w:p>
        </w:tc>
        <w:tc>
          <w:tcPr>
            <w:tcW w:w="1839" w:type="dxa"/>
            <w:vMerge/>
            <w:tcBorders>
              <w:left w:val="single" w:sz="4" w:space="0" w:color="auto"/>
              <w:bottom w:val="single" w:sz="18" w:space="0" w:color="6F6F6F" w:themeColor="text1"/>
              <w:right w:val="single" w:sz="18" w:space="0" w:color="6F6F6F" w:themeColor="text1"/>
            </w:tcBorders>
            <w:shd w:val="clear" w:color="auto" w:fill="auto"/>
          </w:tcPr>
          <w:p w14:paraId="6CF87021" w14:textId="77777777" w:rsidR="007C5FE4" w:rsidRPr="003726BE" w:rsidRDefault="007C5FE4" w:rsidP="00591D69">
            <w:pPr>
              <w:rPr>
                <w:b/>
                <w:color w:val="262626" w:themeColor="text2" w:themeTint="D9"/>
                <w:szCs w:val="18"/>
              </w:rPr>
            </w:pPr>
          </w:p>
        </w:tc>
      </w:tr>
      <w:tr w:rsidR="007C5FE4" w:rsidRPr="003726BE" w14:paraId="178CACA2" w14:textId="77777777" w:rsidTr="007C5FE4">
        <w:trPr>
          <w:trHeight w:val="637"/>
          <w:jc w:val="center"/>
        </w:trPr>
        <w:tc>
          <w:tcPr>
            <w:tcW w:w="1210" w:type="dxa"/>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14:paraId="24E31C83" w14:textId="77777777" w:rsidR="007C5FE4" w:rsidRPr="003726BE" w:rsidRDefault="007C5FE4" w:rsidP="00591D69">
            <w:pPr>
              <w:rPr>
                <w:b/>
                <w:color w:val="373737" w:themeColor="background1" w:themeShade="40"/>
                <w:szCs w:val="18"/>
              </w:rPr>
            </w:pPr>
            <w:r w:rsidRPr="003726BE">
              <w:rPr>
                <w:b/>
                <w:color w:val="373737" w:themeColor="background1" w:themeShade="40"/>
              </w:rPr>
              <w:t>Common output indicators</w:t>
            </w:r>
            <w:r w:rsidRPr="003726BE">
              <w:rPr>
                <w:rStyle w:val="FootnoteReference"/>
              </w:rPr>
              <w:footnoteReference w:id="96"/>
            </w:r>
          </w:p>
        </w:tc>
        <w:tc>
          <w:tcPr>
            <w:tcW w:w="1892"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14:paraId="37C99213" w14:textId="77777777" w:rsidR="007C5FE4" w:rsidRPr="003726BE" w:rsidRDefault="007C5FE4" w:rsidP="00591D69">
            <w:pPr>
              <w:spacing w:after="0"/>
              <w:rPr>
                <w:b/>
                <w:color w:val="373737" w:themeColor="background1" w:themeShade="40"/>
                <w:szCs w:val="18"/>
              </w:rPr>
            </w:pPr>
          </w:p>
        </w:tc>
        <w:tc>
          <w:tcPr>
            <w:tcW w:w="1572"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14:paraId="4AF5BD7E" w14:textId="77777777" w:rsidR="007C5FE4" w:rsidRPr="003726BE" w:rsidRDefault="007C5FE4" w:rsidP="00591D69">
            <w:pPr>
              <w:pStyle w:val="ListParagraph"/>
              <w:spacing w:after="0" w:line="240" w:lineRule="auto"/>
              <w:ind w:left="2160"/>
              <w:rPr>
                <w:rFonts w:ascii="Arial" w:hAnsi="Arial" w:cs="Arial"/>
                <w:b/>
                <w:color w:val="262626" w:themeColor="text2" w:themeTint="D9"/>
                <w:sz w:val="18"/>
                <w:szCs w:val="18"/>
              </w:rPr>
            </w:pPr>
          </w:p>
        </w:tc>
        <w:tc>
          <w:tcPr>
            <w:tcW w:w="1255" w:type="dxa"/>
            <w:tcBorders>
              <w:top w:val="single" w:sz="18" w:space="0" w:color="6F6F6F" w:themeColor="text1"/>
              <w:left w:val="single" w:sz="4" w:space="0" w:color="auto"/>
              <w:bottom w:val="single" w:sz="18" w:space="0" w:color="6F6F6F" w:themeColor="text1"/>
              <w:right w:val="single" w:sz="4" w:space="0" w:color="auto"/>
            </w:tcBorders>
            <w:shd w:val="thinReverseDiagStripe" w:color="auto" w:fill="DDDDDD"/>
          </w:tcPr>
          <w:p w14:paraId="50735567" w14:textId="77777777" w:rsidR="007C5FE4" w:rsidRPr="003726BE" w:rsidRDefault="007C5FE4" w:rsidP="007C5FE4">
            <w:pPr>
              <w:spacing w:after="0" w:line="240" w:lineRule="auto"/>
              <w:rPr>
                <w:rFonts w:cs="Arial"/>
                <w:b/>
                <w:color w:val="262626" w:themeColor="text2" w:themeTint="D9"/>
                <w:szCs w:val="18"/>
              </w:rPr>
            </w:pPr>
          </w:p>
        </w:tc>
        <w:tc>
          <w:tcPr>
            <w:tcW w:w="1628" w:type="dxa"/>
            <w:tcBorders>
              <w:top w:val="single" w:sz="18" w:space="0" w:color="6F6F6F" w:themeColor="text1"/>
              <w:left w:val="single" w:sz="4" w:space="0" w:color="auto"/>
              <w:bottom w:val="single" w:sz="18" w:space="0" w:color="6F6F6F" w:themeColor="text1"/>
              <w:right w:val="single" w:sz="4" w:space="0" w:color="auto"/>
            </w:tcBorders>
            <w:shd w:val="thinReverseDiagStripe" w:color="auto" w:fill="DDDDDD"/>
          </w:tcPr>
          <w:p w14:paraId="73A026F5" w14:textId="77777777" w:rsidR="007C5FE4" w:rsidRPr="003726BE" w:rsidRDefault="007C5FE4" w:rsidP="00591D69">
            <w:pPr>
              <w:pStyle w:val="ListParagraph"/>
              <w:spacing w:after="0" w:line="240" w:lineRule="auto"/>
              <w:ind w:left="2160"/>
              <w:rPr>
                <w:rFonts w:ascii="Arial" w:hAnsi="Arial" w:cs="Arial"/>
                <w:b/>
                <w:color w:val="262626" w:themeColor="text2" w:themeTint="D9"/>
                <w:sz w:val="18"/>
                <w:szCs w:val="18"/>
              </w:rPr>
            </w:pPr>
          </w:p>
        </w:tc>
        <w:tc>
          <w:tcPr>
            <w:tcW w:w="1918" w:type="dxa"/>
            <w:tcBorders>
              <w:top w:val="single" w:sz="18" w:space="0" w:color="6F6F6F" w:themeColor="text1"/>
              <w:left w:val="single" w:sz="4" w:space="0" w:color="auto"/>
              <w:bottom w:val="single" w:sz="18" w:space="0" w:color="6F6F6F" w:themeColor="text1"/>
              <w:right w:val="single" w:sz="4" w:space="0" w:color="auto"/>
            </w:tcBorders>
            <w:shd w:val="thinReverseDiagStripe" w:color="auto" w:fill="DDDDDD"/>
          </w:tcPr>
          <w:p w14:paraId="62037D56" w14:textId="77777777" w:rsidR="007C5FE4" w:rsidRPr="003726BE" w:rsidRDefault="007C5FE4" w:rsidP="00591D69">
            <w:pPr>
              <w:pStyle w:val="ListParagraph"/>
              <w:spacing w:after="0" w:line="240" w:lineRule="auto"/>
              <w:ind w:left="2160"/>
              <w:rPr>
                <w:rFonts w:ascii="Arial" w:hAnsi="Arial" w:cs="Arial"/>
                <w:b/>
                <w:color w:val="262626" w:themeColor="text2" w:themeTint="D9"/>
                <w:sz w:val="18"/>
                <w:szCs w:val="18"/>
              </w:rPr>
            </w:pPr>
          </w:p>
        </w:tc>
        <w:tc>
          <w:tcPr>
            <w:tcW w:w="1417" w:type="dxa"/>
            <w:tcBorders>
              <w:top w:val="single" w:sz="18" w:space="0" w:color="6F6F6F" w:themeColor="text1"/>
              <w:left w:val="single" w:sz="4" w:space="0" w:color="auto"/>
              <w:bottom w:val="single" w:sz="18" w:space="0" w:color="6F6F6F" w:themeColor="text1"/>
              <w:right w:val="single" w:sz="4" w:space="0" w:color="auto"/>
            </w:tcBorders>
            <w:shd w:val="thinReverseDiagStripe" w:color="auto" w:fill="DDDDDD"/>
          </w:tcPr>
          <w:p w14:paraId="3AEC41A8" w14:textId="77777777" w:rsidR="007C5FE4" w:rsidRPr="003726BE" w:rsidRDefault="007C5FE4" w:rsidP="00591D69">
            <w:pPr>
              <w:pStyle w:val="ListParagraph"/>
              <w:spacing w:after="0" w:line="240" w:lineRule="auto"/>
              <w:ind w:left="2160"/>
              <w:rPr>
                <w:rFonts w:ascii="Arial" w:hAnsi="Arial" w:cs="Arial"/>
                <w:b/>
                <w:color w:val="262626" w:themeColor="text2" w:themeTint="D9"/>
                <w:sz w:val="18"/>
                <w:szCs w:val="18"/>
              </w:rPr>
            </w:pPr>
          </w:p>
        </w:tc>
        <w:tc>
          <w:tcPr>
            <w:tcW w:w="1527" w:type="dxa"/>
            <w:tcBorders>
              <w:top w:val="single" w:sz="18" w:space="0" w:color="6F6F6F" w:themeColor="text1"/>
              <w:left w:val="single" w:sz="4" w:space="0" w:color="auto"/>
              <w:bottom w:val="single" w:sz="18" w:space="0" w:color="6F6F6F" w:themeColor="text1"/>
              <w:right w:val="single" w:sz="4" w:space="0" w:color="auto"/>
            </w:tcBorders>
            <w:shd w:val="thinReverseDiagStripe" w:color="auto" w:fill="DDDDDD"/>
          </w:tcPr>
          <w:p w14:paraId="149F95B6" w14:textId="77777777" w:rsidR="007C5FE4" w:rsidRPr="003726BE" w:rsidRDefault="007C5FE4" w:rsidP="007C5FE4">
            <w:pPr>
              <w:spacing w:after="0" w:line="240" w:lineRule="auto"/>
              <w:rPr>
                <w:rFonts w:cs="Arial"/>
                <w:b/>
                <w:color w:val="262626" w:themeColor="text2" w:themeTint="D9"/>
                <w:szCs w:val="18"/>
              </w:rPr>
            </w:pPr>
          </w:p>
        </w:tc>
        <w:tc>
          <w:tcPr>
            <w:tcW w:w="1839"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14:paraId="493F2C20" w14:textId="77777777" w:rsidR="007C5FE4" w:rsidRPr="003726BE" w:rsidRDefault="007C5FE4" w:rsidP="00591D69">
            <w:pPr>
              <w:pStyle w:val="ListParagraph"/>
              <w:spacing w:after="0" w:line="240" w:lineRule="auto"/>
              <w:ind w:left="2160"/>
              <w:rPr>
                <w:rFonts w:ascii="Arial" w:hAnsi="Arial" w:cs="Arial"/>
                <w:b/>
                <w:color w:val="262626" w:themeColor="text2" w:themeTint="D9"/>
                <w:sz w:val="18"/>
                <w:szCs w:val="18"/>
              </w:rPr>
            </w:pPr>
          </w:p>
        </w:tc>
      </w:tr>
      <w:tr w:rsidR="007C5FE4" w:rsidRPr="00F61F42" w14:paraId="486622D3" w14:textId="77777777" w:rsidTr="007C5FE4">
        <w:trPr>
          <w:trHeight w:val="290"/>
          <w:jc w:val="center"/>
        </w:trPr>
        <w:tc>
          <w:tcPr>
            <w:tcW w:w="1210" w:type="dxa"/>
            <w:vMerge w:val="restart"/>
            <w:tcBorders>
              <w:top w:val="single" w:sz="18" w:space="0" w:color="6F6F6F" w:themeColor="text1"/>
              <w:left w:val="single" w:sz="18" w:space="0" w:color="6F6F6F" w:themeColor="text1"/>
              <w:right w:val="single" w:sz="4" w:space="0" w:color="auto"/>
            </w:tcBorders>
            <w:shd w:val="clear" w:color="auto" w:fill="auto"/>
            <w:tcMar>
              <w:top w:w="0" w:type="dxa"/>
              <w:left w:w="108" w:type="dxa"/>
              <w:bottom w:w="0" w:type="dxa"/>
              <w:right w:w="108" w:type="dxa"/>
            </w:tcMar>
          </w:tcPr>
          <w:p w14:paraId="0AC770A3" w14:textId="77777777" w:rsidR="007C5FE4" w:rsidRPr="003726BE" w:rsidRDefault="007C5FE4" w:rsidP="00591D69">
            <w:pPr>
              <w:rPr>
                <w:b/>
                <w:color w:val="373737" w:themeColor="background1" w:themeShade="40"/>
                <w:szCs w:val="18"/>
              </w:rPr>
            </w:pPr>
            <w:r w:rsidRPr="003726BE">
              <w:rPr>
                <w:b/>
                <w:color w:val="373737" w:themeColor="background1" w:themeShade="40"/>
              </w:rPr>
              <w:t xml:space="preserve">Common result indicators </w:t>
            </w:r>
          </w:p>
          <w:p w14:paraId="2038D005" w14:textId="77777777" w:rsidR="007C5FE4" w:rsidRPr="003726BE" w:rsidRDefault="007C5FE4" w:rsidP="00591D69">
            <w:pPr>
              <w:rPr>
                <w:b/>
                <w:color w:val="373737" w:themeColor="background1" w:themeShade="40"/>
                <w:szCs w:val="18"/>
              </w:rPr>
            </w:pPr>
          </w:p>
        </w:tc>
        <w:tc>
          <w:tcPr>
            <w:tcW w:w="1892"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14:paraId="3E910923" w14:textId="77777777" w:rsidR="007C5FE4" w:rsidRPr="00CB34A3" w:rsidRDefault="007C5FE4" w:rsidP="00B529DB">
            <w:pPr>
              <w:pStyle w:val="H-Heading2"/>
              <w:suppressAutoHyphens/>
              <w:autoSpaceDN w:val="0"/>
              <w:spacing w:before="0" w:after="0" w:line="240" w:lineRule="auto"/>
              <w:ind w:left="0" w:firstLine="0"/>
              <w:textAlignment w:val="baseline"/>
              <w:rPr>
                <w:rFonts w:ascii="Arial" w:hAnsi="Arial" w:cs="Arial"/>
                <w:bCs w:val="0"/>
                <w:color w:val="373737" w:themeColor="background1" w:themeShade="40"/>
                <w:sz w:val="18"/>
                <w:szCs w:val="18"/>
                <w:lang w:val="en-GB"/>
              </w:rPr>
            </w:pPr>
            <w:r w:rsidRPr="00CB34A3">
              <w:rPr>
                <w:rFonts w:ascii="Arial" w:hAnsi="Arial"/>
                <w:color w:val="373737" w:themeColor="background1" w:themeShade="40"/>
                <w:sz w:val="18"/>
                <w:lang w:val="en-GB"/>
              </w:rPr>
              <w:t xml:space="preserve">R1 – Percentage of agricultural holdings with RDP support for investments in restructuring or modernisation  </w:t>
            </w:r>
          </w:p>
        </w:tc>
        <w:tc>
          <w:tcPr>
            <w:tcW w:w="1572"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14:paraId="5D185BD4" w14:textId="77777777" w:rsidR="007C5FE4" w:rsidRPr="00CB34A3" w:rsidRDefault="007C5FE4" w:rsidP="00591D69">
            <w:pPr>
              <w:pStyle w:val="ListParagraph"/>
              <w:spacing w:after="0" w:line="240" w:lineRule="auto"/>
              <w:ind w:left="2160"/>
              <w:rPr>
                <w:rFonts w:ascii="Arial" w:hAnsi="Arial" w:cs="Arial"/>
                <w:b/>
                <w:color w:val="262626" w:themeColor="text2" w:themeTint="D9"/>
                <w:sz w:val="18"/>
                <w:szCs w:val="18"/>
                <w:lang w:val="en-GB"/>
              </w:rPr>
            </w:pPr>
          </w:p>
        </w:tc>
        <w:tc>
          <w:tcPr>
            <w:tcW w:w="1255"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14:paraId="0A87C53C" w14:textId="77777777" w:rsidR="007C5FE4" w:rsidRPr="00CB34A3" w:rsidRDefault="007C5FE4" w:rsidP="007C5FE4">
            <w:pPr>
              <w:spacing w:after="0" w:line="240" w:lineRule="auto"/>
              <w:rPr>
                <w:rFonts w:cs="Arial"/>
                <w:b/>
                <w:color w:val="262626" w:themeColor="text2" w:themeTint="D9"/>
                <w:szCs w:val="18"/>
                <w:lang w:val="en-GB"/>
              </w:rPr>
            </w:pPr>
          </w:p>
        </w:tc>
        <w:tc>
          <w:tcPr>
            <w:tcW w:w="1628"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14:paraId="15A653E2" w14:textId="77777777" w:rsidR="007C5FE4" w:rsidRPr="00CB34A3" w:rsidRDefault="007C5FE4" w:rsidP="00591D69">
            <w:pPr>
              <w:pStyle w:val="ListParagraph"/>
              <w:spacing w:after="0" w:line="240" w:lineRule="auto"/>
              <w:ind w:left="2160"/>
              <w:rPr>
                <w:rFonts w:ascii="Arial" w:hAnsi="Arial" w:cs="Arial"/>
                <w:b/>
                <w:color w:val="262626" w:themeColor="text2" w:themeTint="D9"/>
                <w:sz w:val="18"/>
                <w:szCs w:val="18"/>
                <w:lang w:val="en-GB"/>
              </w:rPr>
            </w:pPr>
          </w:p>
        </w:tc>
        <w:tc>
          <w:tcPr>
            <w:tcW w:w="1918"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14:paraId="28ECCAB6" w14:textId="77777777" w:rsidR="007C5FE4" w:rsidRPr="00CB34A3" w:rsidRDefault="007C5FE4" w:rsidP="00591D69">
            <w:pPr>
              <w:pStyle w:val="ListParagraph"/>
              <w:spacing w:after="0" w:line="240" w:lineRule="auto"/>
              <w:ind w:left="2160"/>
              <w:rPr>
                <w:rFonts w:ascii="Arial" w:hAnsi="Arial" w:cs="Arial"/>
                <w:b/>
                <w:color w:val="262626" w:themeColor="text2" w:themeTint="D9"/>
                <w:sz w:val="18"/>
                <w:szCs w:val="18"/>
                <w:lang w:val="en-GB"/>
              </w:rPr>
            </w:pPr>
          </w:p>
        </w:tc>
        <w:tc>
          <w:tcPr>
            <w:tcW w:w="1417"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14:paraId="1F297825" w14:textId="77777777" w:rsidR="007C5FE4" w:rsidRPr="00CB34A3" w:rsidRDefault="007C5FE4" w:rsidP="00591D69">
            <w:pPr>
              <w:pStyle w:val="ListParagraph"/>
              <w:spacing w:after="0" w:line="240" w:lineRule="auto"/>
              <w:ind w:left="2160"/>
              <w:rPr>
                <w:rFonts w:ascii="Arial" w:hAnsi="Arial" w:cs="Arial"/>
                <w:b/>
                <w:color w:val="262626" w:themeColor="text2" w:themeTint="D9"/>
                <w:sz w:val="18"/>
                <w:szCs w:val="18"/>
                <w:lang w:val="en-GB"/>
              </w:rPr>
            </w:pPr>
          </w:p>
        </w:tc>
        <w:tc>
          <w:tcPr>
            <w:tcW w:w="1527"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14:paraId="14F2D69F" w14:textId="77777777" w:rsidR="007C5FE4" w:rsidRPr="00CB34A3" w:rsidRDefault="007C5FE4" w:rsidP="007C5FE4">
            <w:pPr>
              <w:spacing w:after="0" w:line="240" w:lineRule="auto"/>
              <w:rPr>
                <w:rFonts w:cs="Arial"/>
                <w:b/>
                <w:color w:val="262626" w:themeColor="text2" w:themeTint="D9"/>
                <w:szCs w:val="18"/>
                <w:lang w:val="en-GB"/>
              </w:rPr>
            </w:pPr>
          </w:p>
        </w:tc>
        <w:tc>
          <w:tcPr>
            <w:tcW w:w="1839"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14:paraId="4320478F" w14:textId="77777777" w:rsidR="007C5FE4" w:rsidRPr="00CB34A3" w:rsidRDefault="007C5FE4" w:rsidP="00591D69">
            <w:pPr>
              <w:pStyle w:val="ListParagraph"/>
              <w:spacing w:after="0" w:line="240" w:lineRule="auto"/>
              <w:ind w:left="2160"/>
              <w:rPr>
                <w:rFonts w:ascii="Arial" w:hAnsi="Arial" w:cs="Arial"/>
                <w:b/>
                <w:color w:val="262626" w:themeColor="text2" w:themeTint="D9"/>
                <w:sz w:val="18"/>
                <w:szCs w:val="18"/>
                <w:lang w:val="en-GB"/>
              </w:rPr>
            </w:pPr>
          </w:p>
        </w:tc>
      </w:tr>
      <w:tr w:rsidR="007C5FE4" w:rsidRPr="00F61F42" w14:paraId="487F7548" w14:textId="77777777" w:rsidTr="007C5FE4">
        <w:trPr>
          <w:trHeight w:val="990"/>
          <w:jc w:val="center"/>
        </w:trPr>
        <w:tc>
          <w:tcPr>
            <w:tcW w:w="1210" w:type="dxa"/>
            <w:vMerge/>
            <w:tcBorders>
              <w:left w:val="single" w:sz="18" w:space="0" w:color="6F6F6F" w:themeColor="text1"/>
              <w:right w:val="single" w:sz="4" w:space="0" w:color="auto"/>
            </w:tcBorders>
            <w:shd w:val="clear" w:color="auto" w:fill="auto"/>
            <w:tcMar>
              <w:top w:w="0" w:type="dxa"/>
              <w:left w:w="108" w:type="dxa"/>
              <w:bottom w:w="0" w:type="dxa"/>
              <w:right w:w="108" w:type="dxa"/>
            </w:tcMar>
          </w:tcPr>
          <w:p w14:paraId="1152C562" w14:textId="77777777" w:rsidR="007C5FE4" w:rsidRPr="00CB34A3" w:rsidRDefault="007C5FE4" w:rsidP="00591D69">
            <w:pPr>
              <w:rPr>
                <w:b/>
                <w:color w:val="373737" w:themeColor="background1" w:themeShade="40"/>
                <w:szCs w:val="18"/>
                <w:lang w:val="en-GB"/>
              </w:rPr>
            </w:pPr>
          </w:p>
        </w:tc>
        <w:tc>
          <w:tcPr>
            <w:tcW w:w="1892"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14:paraId="2F6AF414" w14:textId="77777777" w:rsidR="007C5FE4" w:rsidRPr="00CB34A3" w:rsidRDefault="007C5FE4" w:rsidP="001218B1">
            <w:pPr>
              <w:pStyle w:val="H-Heading2"/>
              <w:suppressAutoHyphens/>
              <w:autoSpaceDN w:val="0"/>
              <w:spacing w:before="0" w:after="0" w:line="240" w:lineRule="auto"/>
              <w:ind w:left="0" w:firstLine="0"/>
              <w:textAlignment w:val="baseline"/>
              <w:rPr>
                <w:rFonts w:ascii="Arial" w:hAnsi="Arial" w:cs="Arial"/>
                <w:bCs w:val="0"/>
                <w:color w:val="373737" w:themeColor="background1" w:themeShade="40"/>
                <w:sz w:val="18"/>
                <w:szCs w:val="18"/>
                <w:lang w:val="en-GB"/>
              </w:rPr>
            </w:pPr>
            <w:r w:rsidRPr="00CB34A3">
              <w:rPr>
                <w:rFonts w:ascii="Arial" w:hAnsi="Arial"/>
                <w:color w:val="373737" w:themeColor="background1" w:themeShade="40"/>
                <w:sz w:val="18"/>
                <w:lang w:val="en-GB"/>
              </w:rPr>
              <w:t xml:space="preserve">R2 – Change in agricultural output on supported farms </w:t>
            </w:r>
            <w:r w:rsidRPr="00CB34A3">
              <w:rPr>
                <w:rFonts w:ascii="Arial" w:hAnsi="Arial"/>
                <w:b w:val="0"/>
                <w:color w:val="373737" w:themeColor="background1" w:themeShade="40"/>
                <w:sz w:val="18"/>
                <w:lang w:val="en-GB"/>
              </w:rPr>
              <w:t>(numerator)</w:t>
            </w:r>
            <w:r w:rsidRPr="003726BE">
              <w:rPr>
                <w:rStyle w:val="FootnoteReference"/>
              </w:rPr>
              <w:footnoteReference w:id="97"/>
            </w:r>
          </w:p>
        </w:tc>
        <w:tc>
          <w:tcPr>
            <w:tcW w:w="1572"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14:paraId="352274F0" w14:textId="77777777" w:rsidR="007C5FE4" w:rsidRPr="00CB34A3" w:rsidRDefault="007C5FE4" w:rsidP="00591D69">
            <w:pPr>
              <w:pStyle w:val="ListParagraph"/>
              <w:spacing w:after="0" w:line="240" w:lineRule="auto"/>
              <w:ind w:left="2160"/>
              <w:rPr>
                <w:rFonts w:ascii="Arial" w:hAnsi="Arial" w:cs="Arial"/>
                <w:b/>
                <w:color w:val="262626" w:themeColor="text2" w:themeTint="D9"/>
                <w:sz w:val="18"/>
                <w:szCs w:val="18"/>
                <w:lang w:val="en-GB"/>
              </w:rPr>
            </w:pPr>
          </w:p>
        </w:tc>
        <w:tc>
          <w:tcPr>
            <w:tcW w:w="1255"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14:paraId="05ECF495" w14:textId="77777777" w:rsidR="007C5FE4" w:rsidRPr="00CB34A3" w:rsidRDefault="007C5FE4" w:rsidP="007C5FE4">
            <w:pPr>
              <w:spacing w:after="0" w:line="240" w:lineRule="auto"/>
              <w:rPr>
                <w:rFonts w:cs="Arial"/>
                <w:b/>
                <w:color w:val="262626" w:themeColor="text2" w:themeTint="D9"/>
                <w:szCs w:val="18"/>
                <w:lang w:val="en-GB"/>
              </w:rPr>
            </w:pPr>
          </w:p>
        </w:tc>
        <w:tc>
          <w:tcPr>
            <w:tcW w:w="1628"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14:paraId="6E6F9FFD" w14:textId="77777777" w:rsidR="007C5FE4" w:rsidRPr="00CB34A3" w:rsidRDefault="007C5FE4" w:rsidP="00591D69">
            <w:pPr>
              <w:pStyle w:val="ListParagraph"/>
              <w:spacing w:after="0" w:line="240" w:lineRule="auto"/>
              <w:ind w:left="2160"/>
              <w:rPr>
                <w:rFonts w:ascii="Arial" w:hAnsi="Arial" w:cs="Arial"/>
                <w:b/>
                <w:color w:val="262626" w:themeColor="text2" w:themeTint="D9"/>
                <w:sz w:val="18"/>
                <w:szCs w:val="18"/>
                <w:lang w:val="en-GB"/>
              </w:rPr>
            </w:pPr>
          </w:p>
        </w:tc>
        <w:tc>
          <w:tcPr>
            <w:tcW w:w="1918"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14:paraId="4B599F07" w14:textId="77777777" w:rsidR="007C5FE4" w:rsidRPr="00CB34A3" w:rsidRDefault="007C5FE4" w:rsidP="00591D69">
            <w:pPr>
              <w:pStyle w:val="ListParagraph"/>
              <w:spacing w:after="0" w:line="240" w:lineRule="auto"/>
              <w:ind w:left="2160"/>
              <w:rPr>
                <w:rFonts w:ascii="Arial" w:hAnsi="Arial" w:cs="Arial"/>
                <w:b/>
                <w:color w:val="262626" w:themeColor="text2" w:themeTint="D9"/>
                <w:sz w:val="18"/>
                <w:szCs w:val="18"/>
                <w:lang w:val="en-GB"/>
              </w:rPr>
            </w:pPr>
          </w:p>
        </w:tc>
        <w:tc>
          <w:tcPr>
            <w:tcW w:w="1417"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14:paraId="48369B98" w14:textId="77777777" w:rsidR="007C5FE4" w:rsidRPr="00CB34A3" w:rsidRDefault="007C5FE4" w:rsidP="00591D69">
            <w:pPr>
              <w:pStyle w:val="ListParagraph"/>
              <w:spacing w:after="0" w:line="240" w:lineRule="auto"/>
              <w:ind w:left="2160"/>
              <w:rPr>
                <w:rFonts w:ascii="Arial" w:hAnsi="Arial" w:cs="Arial"/>
                <w:b/>
                <w:color w:val="262626" w:themeColor="text2" w:themeTint="D9"/>
                <w:sz w:val="18"/>
                <w:szCs w:val="18"/>
                <w:lang w:val="en-GB"/>
              </w:rPr>
            </w:pPr>
          </w:p>
        </w:tc>
        <w:tc>
          <w:tcPr>
            <w:tcW w:w="1527"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14:paraId="71FBFE11" w14:textId="77777777" w:rsidR="007C5FE4" w:rsidRPr="00CB34A3" w:rsidRDefault="007C5FE4" w:rsidP="007C5FE4">
            <w:pPr>
              <w:spacing w:after="0" w:line="240" w:lineRule="auto"/>
              <w:rPr>
                <w:rFonts w:cs="Arial"/>
                <w:b/>
                <w:color w:val="262626" w:themeColor="text2" w:themeTint="D9"/>
                <w:szCs w:val="18"/>
                <w:lang w:val="en-GB"/>
              </w:rPr>
            </w:pPr>
          </w:p>
        </w:tc>
        <w:tc>
          <w:tcPr>
            <w:tcW w:w="1839"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14:paraId="6B4EC8EF" w14:textId="77777777" w:rsidR="007C5FE4" w:rsidRPr="00CB34A3" w:rsidRDefault="007C5FE4" w:rsidP="00591D69">
            <w:pPr>
              <w:pStyle w:val="ListParagraph"/>
              <w:spacing w:after="0" w:line="240" w:lineRule="auto"/>
              <w:ind w:left="2160"/>
              <w:rPr>
                <w:rFonts w:ascii="Arial" w:hAnsi="Arial" w:cs="Arial"/>
                <w:b/>
                <w:color w:val="262626" w:themeColor="text2" w:themeTint="D9"/>
                <w:sz w:val="18"/>
                <w:szCs w:val="18"/>
                <w:lang w:val="en-GB"/>
              </w:rPr>
            </w:pPr>
          </w:p>
        </w:tc>
      </w:tr>
      <w:tr w:rsidR="007C5FE4" w:rsidRPr="003726BE" w14:paraId="1A9903B2" w14:textId="77777777" w:rsidTr="007C5FE4">
        <w:trPr>
          <w:trHeight w:val="600"/>
          <w:jc w:val="center"/>
        </w:trPr>
        <w:tc>
          <w:tcPr>
            <w:tcW w:w="1210" w:type="dxa"/>
            <w:vMerge/>
            <w:tcBorders>
              <w:left w:val="single" w:sz="18" w:space="0" w:color="6F6F6F" w:themeColor="text1"/>
              <w:right w:val="single" w:sz="4" w:space="0" w:color="auto"/>
            </w:tcBorders>
            <w:shd w:val="clear" w:color="auto" w:fill="auto"/>
            <w:tcMar>
              <w:top w:w="0" w:type="dxa"/>
              <w:left w:w="108" w:type="dxa"/>
              <w:bottom w:w="0" w:type="dxa"/>
              <w:right w:w="108" w:type="dxa"/>
            </w:tcMar>
          </w:tcPr>
          <w:p w14:paraId="5CC319C1" w14:textId="77777777" w:rsidR="007C5FE4" w:rsidRPr="00CB34A3" w:rsidRDefault="007C5FE4" w:rsidP="00591D69">
            <w:pPr>
              <w:rPr>
                <w:b/>
                <w:color w:val="262626" w:themeColor="text2" w:themeTint="D9"/>
                <w:szCs w:val="18"/>
                <w:lang w:val="en-GB"/>
              </w:rPr>
            </w:pPr>
          </w:p>
        </w:tc>
        <w:tc>
          <w:tcPr>
            <w:tcW w:w="1892"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14:paraId="43BFEFB5" w14:textId="77777777" w:rsidR="007C5FE4" w:rsidRPr="003726BE" w:rsidRDefault="007C5FE4" w:rsidP="001218B1">
            <w:pPr>
              <w:pStyle w:val="H-Heading2"/>
              <w:suppressAutoHyphens/>
              <w:autoSpaceDN w:val="0"/>
              <w:spacing w:before="0" w:after="0" w:line="240" w:lineRule="auto"/>
              <w:ind w:left="0" w:firstLine="0"/>
              <w:textAlignment w:val="baseline"/>
              <w:rPr>
                <w:rFonts w:ascii="Arial" w:hAnsi="Arial" w:cs="Arial"/>
                <w:bCs w:val="0"/>
                <w:color w:val="262626" w:themeColor="text2" w:themeTint="D9"/>
                <w:sz w:val="18"/>
                <w:szCs w:val="18"/>
              </w:rPr>
            </w:pPr>
            <w:r w:rsidRPr="003726BE">
              <w:rPr>
                <w:rFonts w:ascii="Arial" w:hAnsi="Arial"/>
                <w:color w:val="262626" w:themeColor="text2" w:themeTint="D9"/>
                <w:sz w:val="18"/>
              </w:rPr>
              <w:t>R2 –</w:t>
            </w:r>
          </w:p>
          <w:p w14:paraId="355BD07D" w14:textId="77777777" w:rsidR="007C5FE4" w:rsidRPr="003726BE" w:rsidRDefault="007C5FE4" w:rsidP="001A31FB">
            <w:pPr>
              <w:pStyle w:val="H-Heading2"/>
              <w:numPr>
                <w:ilvl w:val="0"/>
                <w:numId w:val="30"/>
              </w:numPr>
              <w:suppressAutoHyphens/>
              <w:autoSpaceDN w:val="0"/>
              <w:spacing w:before="0" w:after="0" w:line="240" w:lineRule="auto"/>
              <w:ind w:left="0"/>
              <w:textAlignment w:val="baseline"/>
              <w:rPr>
                <w:rFonts w:ascii="Arial" w:hAnsi="Arial" w:cs="Arial"/>
                <w:bCs w:val="0"/>
                <w:color w:val="262626" w:themeColor="text2" w:themeTint="D9"/>
                <w:sz w:val="18"/>
                <w:szCs w:val="18"/>
              </w:rPr>
            </w:pPr>
            <w:r w:rsidRPr="003726BE">
              <w:rPr>
                <w:rFonts w:ascii="Arial" w:hAnsi="Arial"/>
                <w:color w:val="262626" w:themeColor="text2" w:themeTint="D9"/>
                <w:sz w:val="18"/>
              </w:rPr>
              <w:t>AWU</w:t>
            </w:r>
          </w:p>
          <w:p w14:paraId="1E5A2E2B" w14:textId="77777777" w:rsidR="007C5FE4" w:rsidRPr="003726BE" w:rsidRDefault="007C5FE4" w:rsidP="001A31FB">
            <w:pPr>
              <w:pStyle w:val="H-Heading2"/>
              <w:numPr>
                <w:ilvl w:val="0"/>
                <w:numId w:val="30"/>
              </w:numPr>
              <w:suppressAutoHyphens/>
              <w:autoSpaceDN w:val="0"/>
              <w:spacing w:before="0" w:after="0" w:line="240" w:lineRule="auto"/>
              <w:ind w:left="0"/>
              <w:textAlignment w:val="baseline"/>
              <w:rPr>
                <w:rFonts w:ascii="Arial" w:hAnsi="Arial" w:cs="Arial"/>
                <w:b w:val="0"/>
                <w:bCs w:val="0"/>
                <w:color w:val="262626" w:themeColor="text2" w:themeTint="D9"/>
                <w:sz w:val="18"/>
                <w:szCs w:val="18"/>
              </w:rPr>
            </w:pPr>
            <w:r w:rsidRPr="003726BE">
              <w:rPr>
                <w:rFonts w:ascii="Arial" w:hAnsi="Arial"/>
                <w:b w:val="0"/>
                <w:color w:val="262626" w:themeColor="text2" w:themeTint="D9"/>
                <w:sz w:val="18"/>
              </w:rPr>
              <w:t>(denominator)</w:t>
            </w:r>
          </w:p>
        </w:tc>
        <w:tc>
          <w:tcPr>
            <w:tcW w:w="1572"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14:paraId="04A9EA89" w14:textId="77777777" w:rsidR="007C5FE4" w:rsidRPr="003726BE" w:rsidRDefault="007C5FE4" w:rsidP="00591D69">
            <w:pPr>
              <w:pStyle w:val="ListParagraph"/>
              <w:spacing w:after="0" w:line="240" w:lineRule="auto"/>
              <w:ind w:left="2160"/>
              <w:rPr>
                <w:rFonts w:ascii="Arial" w:hAnsi="Arial" w:cs="Arial"/>
                <w:b/>
                <w:color w:val="262626" w:themeColor="text2" w:themeTint="D9"/>
                <w:sz w:val="18"/>
                <w:szCs w:val="18"/>
              </w:rPr>
            </w:pPr>
          </w:p>
        </w:tc>
        <w:tc>
          <w:tcPr>
            <w:tcW w:w="1255"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14:paraId="0597451E" w14:textId="77777777" w:rsidR="007C5FE4" w:rsidRPr="003726BE" w:rsidRDefault="007C5FE4" w:rsidP="00591D69">
            <w:pPr>
              <w:pStyle w:val="ListParagraph"/>
              <w:spacing w:after="0" w:line="240" w:lineRule="auto"/>
              <w:ind w:left="2160"/>
              <w:rPr>
                <w:rFonts w:ascii="Arial" w:hAnsi="Arial" w:cs="Arial"/>
                <w:b/>
                <w:color w:val="262626" w:themeColor="text2" w:themeTint="D9"/>
                <w:sz w:val="18"/>
                <w:szCs w:val="18"/>
              </w:rPr>
            </w:pPr>
          </w:p>
        </w:tc>
        <w:tc>
          <w:tcPr>
            <w:tcW w:w="1628"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14:paraId="17433DFB" w14:textId="77777777" w:rsidR="007C5FE4" w:rsidRPr="003726BE" w:rsidRDefault="007C5FE4" w:rsidP="00591D69">
            <w:pPr>
              <w:pStyle w:val="ListParagraph"/>
              <w:spacing w:after="0" w:line="240" w:lineRule="auto"/>
              <w:ind w:left="2160"/>
              <w:rPr>
                <w:rFonts w:ascii="Arial" w:hAnsi="Arial" w:cs="Arial"/>
                <w:b/>
                <w:color w:val="262626" w:themeColor="text2" w:themeTint="D9"/>
                <w:sz w:val="18"/>
                <w:szCs w:val="18"/>
              </w:rPr>
            </w:pPr>
          </w:p>
        </w:tc>
        <w:tc>
          <w:tcPr>
            <w:tcW w:w="1918"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14:paraId="09AD94DD" w14:textId="77777777" w:rsidR="007C5FE4" w:rsidRPr="003726BE" w:rsidRDefault="007C5FE4" w:rsidP="00591D69">
            <w:pPr>
              <w:pStyle w:val="ListParagraph"/>
              <w:spacing w:after="0" w:line="240" w:lineRule="auto"/>
              <w:ind w:left="2160"/>
              <w:rPr>
                <w:rFonts w:ascii="Arial" w:hAnsi="Arial" w:cs="Arial"/>
                <w:b/>
                <w:color w:val="262626" w:themeColor="text2" w:themeTint="D9"/>
                <w:sz w:val="18"/>
                <w:szCs w:val="18"/>
              </w:rPr>
            </w:pPr>
          </w:p>
        </w:tc>
        <w:tc>
          <w:tcPr>
            <w:tcW w:w="1417"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14:paraId="63348B1F" w14:textId="77777777" w:rsidR="007C5FE4" w:rsidRPr="003726BE" w:rsidRDefault="007C5FE4" w:rsidP="00591D69">
            <w:pPr>
              <w:pStyle w:val="ListParagraph"/>
              <w:spacing w:after="0" w:line="240" w:lineRule="auto"/>
              <w:ind w:left="2160"/>
              <w:rPr>
                <w:rFonts w:ascii="Arial" w:hAnsi="Arial" w:cs="Arial"/>
                <w:b/>
                <w:color w:val="262626" w:themeColor="text2" w:themeTint="D9"/>
                <w:sz w:val="18"/>
                <w:szCs w:val="18"/>
              </w:rPr>
            </w:pPr>
          </w:p>
        </w:tc>
        <w:tc>
          <w:tcPr>
            <w:tcW w:w="1527"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14:paraId="71C9FDE0" w14:textId="77777777" w:rsidR="007C5FE4" w:rsidRPr="003726BE" w:rsidRDefault="007C5FE4" w:rsidP="00591D69">
            <w:pPr>
              <w:pStyle w:val="ListParagraph"/>
              <w:spacing w:after="0" w:line="240" w:lineRule="auto"/>
              <w:ind w:left="2160"/>
              <w:rPr>
                <w:rFonts w:ascii="Arial" w:hAnsi="Arial" w:cs="Arial"/>
                <w:b/>
                <w:color w:val="262626" w:themeColor="text2" w:themeTint="D9"/>
                <w:sz w:val="18"/>
                <w:szCs w:val="18"/>
              </w:rPr>
            </w:pPr>
          </w:p>
        </w:tc>
        <w:tc>
          <w:tcPr>
            <w:tcW w:w="1839"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14:paraId="6D1D5D81" w14:textId="77777777" w:rsidR="007C5FE4" w:rsidRPr="003726BE" w:rsidRDefault="007C5FE4" w:rsidP="00591D69">
            <w:pPr>
              <w:pStyle w:val="ListParagraph"/>
              <w:spacing w:after="0" w:line="240" w:lineRule="auto"/>
              <w:ind w:left="2160"/>
              <w:rPr>
                <w:rFonts w:ascii="Arial" w:hAnsi="Arial" w:cs="Arial"/>
                <w:b/>
                <w:color w:val="262626" w:themeColor="text2" w:themeTint="D9"/>
                <w:sz w:val="18"/>
                <w:szCs w:val="18"/>
              </w:rPr>
            </w:pPr>
          </w:p>
        </w:tc>
      </w:tr>
      <w:tr w:rsidR="007C5FE4" w:rsidRPr="00F61F42" w14:paraId="02400CC9" w14:textId="77777777" w:rsidTr="007C5FE4">
        <w:trPr>
          <w:trHeight w:val="220"/>
          <w:jc w:val="center"/>
        </w:trPr>
        <w:tc>
          <w:tcPr>
            <w:tcW w:w="1210" w:type="dxa"/>
            <w:vMerge/>
            <w:tcBorders>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14:paraId="7B2F7171" w14:textId="77777777" w:rsidR="007C5FE4" w:rsidRPr="003726BE" w:rsidRDefault="007C5FE4" w:rsidP="00591D69">
            <w:pPr>
              <w:rPr>
                <w:b/>
                <w:color w:val="262626" w:themeColor="text2" w:themeTint="D9"/>
                <w:szCs w:val="18"/>
              </w:rPr>
            </w:pPr>
          </w:p>
        </w:tc>
        <w:tc>
          <w:tcPr>
            <w:tcW w:w="1892"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14:paraId="661FFB94" w14:textId="77777777" w:rsidR="007C5FE4" w:rsidRPr="00CB34A3" w:rsidRDefault="007C5FE4" w:rsidP="001218B1">
            <w:pPr>
              <w:pStyle w:val="H-Heading2"/>
              <w:suppressAutoHyphens/>
              <w:autoSpaceDN w:val="0"/>
              <w:spacing w:before="0" w:after="0" w:line="240" w:lineRule="auto"/>
              <w:ind w:left="0" w:firstLine="0"/>
              <w:textAlignment w:val="baseline"/>
              <w:rPr>
                <w:rFonts w:ascii="Arial" w:hAnsi="Arial" w:cs="Arial"/>
                <w:bCs w:val="0"/>
                <w:color w:val="373737" w:themeColor="background1" w:themeShade="40"/>
                <w:sz w:val="18"/>
                <w:szCs w:val="18"/>
                <w:lang w:val="en-GB"/>
              </w:rPr>
            </w:pPr>
            <w:r w:rsidRPr="00CB34A3">
              <w:rPr>
                <w:rFonts w:ascii="Arial" w:hAnsi="Arial"/>
                <w:color w:val="373737" w:themeColor="background1" w:themeShade="40"/>
                <w:sz w:val="18"/>
                <w:lang w:val="en-GB"/>
              </w:rPr>
              <w:t>R2 – Change in agricultural output on supported</w:t>
            </w:r>
            <w:r w:rsidRPr="00CB34A3">
              <w:rPr>
                <w:rFonts w:ascii="Arial" w:hAnsi="Arial"/>
                <w:color w:val="373737" w:themeColor="background1" w:themeShade="40"/>
                <w:lang w:val="en-GB"/>
              </w:rPr>
              <w:t xml:space="preserve"> </w:t>
            </w:r>
            <w:r w:rsidRPr="00CB34A3">
              <w:rPr>
                <w:rFonts w:ascii="Arial" w:hAnsi="Arial"/>
                <w:color w:val="373737" w:themeColor="background1" w:themeShade="40"/>
                <w:sz w:val="18"/>
                <w:lang w:val="en-GB"/>
              </w:rPr>
              <w:t>farms / AWU</w:t>
            </w:r>
            <w:r w:rsidRPr="00CB34A3">
              <w:rPr>
                <w:rFonts w:ascii="Times New Roman" w:hAnsi="Times New Roman"/>
                <w:color w:val="373737" w:themeColor="background1" w:themeShade="40"/>
                <w:sz w:val="24"/>
                <w:lang w:val="en-GB"/>
              </w:rPr>
              <w:t xml:space="preserve"> </w:t>
            </w:r>
            <w:r w:rsidRPr="00CB34A3">
              <w:rPr>
                <w:rFonts w:ascii="Arial" w:hAnsi="Arial"/>
                <w:b w:val="0"/>
                <w:color w:val="373737" w:themeColor="background1" w:themeShade="40"/>
                <w:sz w:val="18"/>
                <w:lang w:val="en-GB"/>
              </w:rPr>
              <w:t>numerator/denominator</w:t>
            </w:r>
          </w:p>
        </w:tc>
        <w:tc>
          <w:tcPr>
            <w:tcW w:w="1572"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14:paraId="74033C99" w14:textId="77777777" w:rsidR="007C5FE4" w:rsidRPr="00CB34A3" w:rsidRDefault="007C5FE4" w:rsidP="00404839">
            <w:pPr>
              <w:pStyle w:val="ListParagraph"/>
              <w:spacing w:after="0" w:line="240" w:lineRule="auto"/>
              <w:ind w:left="2160"/>
              <w:rPr>
                <w:rFonts w:ascii="Arial" w:hAnsi="Arial" w:cs="Arial"/>
                <w:b/>
                <w:color w:val="373737" w:themeColor="background1" w:themeShade="40"/>
                <w:sz w:val="18"/>
                <w:szCs w:val="18"/>
                <w:lang w:val="en-GB"/>
              </w:rPr>
            </w:pPr>
          </w:p>
        </w:tc>
        <w:tc>
          <w:tcPr>
            <w:tcW w:w="1255"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14:paraId="3B389FA3" w14:textId="77777777" w:rsidR="007C5FE4" w:rsidRPr="00CB34A3" w:rsidRDefault="007C5FE4" w:rsidP="00591D69">
            <w:pPr>
              <w:pStyle w:val="ListParagraph"/>
              <w:spacing w:after="0" w:line="240" w:lineRule="auto"/>
              <w:ind w:left="2160"/>
              <w:rPr>
                <w:rFonts w:ascii="Arial" w:hAnsi="Arial" w:cs="Arial"/>
                <w:b/>
                <w:color w:val="262626" w:themeColor="text2" w:themeTint="D9"/>
                <w:sz w:val="18"/>
                <w:szCs w:val="18"/>
                <w:lang w:val="en-GB"/>
              </w:rPr>
            </w:pPr>
          </w:p>
        </w:tc>
        <w:tc>
          <w:tcPr>
            <w:tcW w:w="1628"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14:paraId="0650F2FB" w14:textId="77777777" w:rsidR="007C5FE4" w:rsidRPr="00CB34A3" w:rsidRDefault="007C5FE4" w:rsidP="00591D69">
            <w:pPr>
              <w:pStyle w:val="ListParagraph"/>
              <w:spacing w:after="0" w:line="240" w:lineRule="auto"/>
              <w:ind w:left="2160"/>
              <w:rPr>
                <w:rFonts w:ascii="Arial" w:hAnsi="Arial" w:cs="Arial"/>
                <w:b/>
                <w:color w:val="262626" w:themeColor="text2" w:themeTint="D9"/>
                <w:sz w:val="18"/>
                <w:szCs w:val="18"/>
                <w:lang w:val="en-GB"/>
              </w:rPr>
            </w:pPr>
          </w:p>
        </w:tc>
        <w:tc>
          <w:tcPr>
            <w:tcW w:w="1918"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14:paraId="6A863496" w14:textId="77777777" w:rsidR="007C5FE4" w:rsidRPr="00CB34A3" w:rsidRDefault="007C5FE4" w:rsidP="00591D69">
            <w:pPr>
              <w:pStyle w:val="ListParagraph"/>
              <w:spacing w:after="0" w:line="240" w:lineRule="auto"/>
              <w:ind w:left="2160"/>
              <w:rPr>
                <w:rFonts w:ascii="Arial" w:hAnsi="Arial" w:cs="Arial"/>
                <w:b/>
                <w:color w:val="262626" w:themeColor="text2" w:themeTint="D9"/>
                <w:sz w:val="18"/>
                <w:szCs w:val="18"/>
                <w:lang w:val="en-GB"/>
              </w:rPr>
            </w:pPr>
          </w:p>
        </w:tc>
        <w:tc>
          <w:tcPr>
            <w:tcW w:w="1417"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14:paraId="399C618B" w14:textId="77777777" w:rsidR="007C5FE4" w:rsidRPr="00CB34A3" w:rsidRDefault="007C5FE4" w:rsidP="00591D69">
            <w:pPr>
              <w:pStyle w:val="ListParagraph"/>
              <w:spacing w:after="0" w:line="240" w:lineRule="auto"/>
              <w:ind w:left="2160"/>
              <w:rPr>
                <w:rFonts w:ascii="Arial" w:hAnsi="Arial" w:cs="Arial"/>
                <w:b/>
                <w:color w:val="262626" w:themeColor="text2" w:themeTint="D9"/>
                <w:sz w:val="18"/>
                <w:szCs w:val="18"/>
                <w:lang w:val="en-GB"/>
              </w:rPr>
            </w:pPr>
          </w:p>
        </w:tc>
        <w:tc>
          <w:tcPr>
            <w:tcW w:w="1527"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14:paraId="3F56DF6C" w14:textId="77777777" w:rsidR="007C5FE4" w:rsidRPr="00CB34A3" w:rsidRDefault="007C5FE4" w:rsidP="00591D69">
            <w:pPr>
              <w:pStyle w:val="ListParagraph"/>
              <w:spacing w:after="0" w:line="240" w:lineRule="auto"/>
              <w:ind w:left="2160"/>
              <w:rPr>
                <w:rFonts w:ascii="Arial" w:hAnsi="Arial" w:cs="Arial"/>
                <w:b/>
                <w:color w:val="262626" w:themeColor="text2" w:themeTint="D9"/>
                <w:sz w:val="18"/>
                <w:szCs w:val="18"/>
                <w:lang w:val="en-GB"/>
              </w:rPr>
            </w:pPr>
          </w:p>
        </w:tc>
        <w:tc>
          <w:tcPr>
            <w:tcW w:w="1839"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14:paraId="02C6087B" w14:textId="77777777" w:rsidR="007C5FE4" w:rsidRPr="00CB34A3" w:rsidRDefault="007C5FE4" w:rsidP="00591D69">
            <w:pPr>
              <w:pStyle w:val="ListParagraph"/>
              <w:spacing w:after="0" w:line="240" w:lineRule="auto"/>
              <w:ind w:left="2160"/>
              <w:rPr>
                <w:rFonts w:ascii="Arial" w:hAnsi="Arial" w:cs="Arial"/>
                <w:b/>
                <w:color w:val="262626" w:themeColor="text2" w:themeTint="D9"/>
                <w:sz w:val="18"/>
                <w:szCs w:val="18"/>
                <w:lang w:val="en-GB"/>
              </w:rPr>
            </w:pPr>
          </w:p>
        </w:tc>
      </w:tr>
      <w:tr w:rsidR="007C5FE4" w:rsidRPr="003726BE" w14:paraId="40C80E04" w14:textId="77777777" w:rsidTr="007C5FE4">
        <w:trPr>
          <w:trHeight w:val="676"/>
          <w:jc w:val="center"/>
        </w:trPr>
        <w:tc>
          <w:tcPr>
            <w:tcW w:w="1210" w:type="dxa"/>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14:paraId="6E37340A" w14:textId="77777777" w:rsidR="007C5FE4" w:rsidRPr="003726BE" w:rsidRDefault="007C5FE4" w:rsidP="00591D69">
            <w:pPr>
              <w:rPr>
                <w:b/>
                <w:color w:val="262626" w:themeColor="text2" w:themeTint="D9"/>
                <w:szCs w:val="18"/>
              </w:rPr>
            </w:pPr>
            <w:r w:rsidRPr="003726BE">
              <w:rPr>
                <w:b/>
                <w:color w:val="262626" w:themeColor="text2" w:themeTint="D9"/>
              </w:rPr>
              <w:t>Additional result indicators</w:t>
            </w:r>
            <w:r w:rsidRPr="003726BE">
              <w:rPr>
                <w:rStyle w:val="FootnoteReference"/>
              </w:rPr>
              <w:footnoteReference w:id="98"/>
            </w:r>
          </w:p>
        </w:tc>
        <w:tc>
          <w:tcPr>
            <w:tcW w:w="1892"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14:paraId="56D45D3C" w14:textId="77777777" w:rsidR="007C5FE4" w:rsidRPr="003726BE" w:rsidRDefault="007C5FE4" w:rsidP="00404839">
            <w:pPr>
              <w:spacing w:after="0"/>
              <w:jc w:val="left"/>
              <w:rPr>
                <w:b/>
                <w:color w:val="373737" w:themeColor="background1" w:themeShade="40"/>
                <w:szCs w:val="18"/>
              </w:rPr>
            </w:pPr>
          </w:p>
        </w:tc>
        <w:tc>
          <w:tcPr>
            <w:tcW w:w="1572"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14:paraId="2C09B7DD" w14:textId="77777777" w:rsidR="007C5FE4" w:rsidRPr="003726BE" w:rsidRDefault="007C5FE4" w:rsidP="00404839">
            <w:pPr>
              <w:pStyle w:val="ListParagraph"/>
              <w:spacing w:after="0" w:line="240" w:lineRule="auto"/>
              <w:ind w:left="2160"/>
              <w:rPr>
                <w:rFonts w:ascii="Arial" w:hAnsi="Arial" w:cs="Arial"/>
                <w:b/>
                <w:color w:val="373737" w:themeColor="background1" w:themeShade="40"/>
                <w:sz w:val="18"/>
                <w:szCs w:val="18"/>
              </w:rPr>
            </w:pPr>
          </w:p>
        </w:tc>
        <w:tc>
          <w:tcPr>
            <w:tcW w:w="1255"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14:paraId="0BDF76CD" w14:textId="77777777" w:rsidR="007C5FE4" w:rsidRPr="003726BE" w:rsidRDefault="007C5FE4" w:rsidP="00591D69">
            <w:pPr>
              <w:pStyle w:val="ListParagraph"/>
              <w:spacing w:after="0" w:line="240" w:lineRule="auto"/>
              <w:ind w:left="2160"/>
              <w:rPr>
                <w:rFonts w:ascii="Arial" w:hAnsi="Arial" w:cs="Arial"/>
                <w:b/>
                <w:color w:val="262626" w:themeColor="text2" w:themeTint="D9"/>
                <w:sz w:val="18"/>
                <w:szCs w:val="18"/>
              </w:rPr>
            </w:pPr>
          </w:p>
        </w:tc>
        <w:tc>
          <w:tcPr>
            <w:tcW w:w="1628"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14:paraId="16DD3DF6" w14:textId="77777777" w:rsidR="007C5FE4" w:rsidRPr="003726BE" w:rsidRDefault="007C5FE4" w:rsidP="00591D69">
            <w:pPr>
              <w:pStyle w:val="ListParagraph"/>
              <w:spacing w:after="0" w:line="240" w:lineRule="auto"/>
              <w:ind w:left="2160"/>
              <w:rPr>
                <w:rFonts w:ascii="Arial" w:hAnsi="Arial" w:cs="Arial"/>
                <w:b/>
                <w:color w:val="262626" w:themeColor="text2" w:themeTint="D9"/>
                <w:sz w:val="18"/>
                <w:szCs w:val="18"/>
              </w:rPr>
            </w:pPr>
          </w:p>
        </w:tc>
        <w:tc>
          <w:tcPr>
            <w:tcW w:w="1918"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14:paraId="409ED5A4" w14:textId="77777777" w:rsidR="007C5FE4" w:rsidRPr="003726BE" w:rsidRDefault="007C5FE4" w:rsidP="00591D69">
            <w:pPr>
              <w:pStyle w:val="ListParagraph"/>
              <w:spacing w:after="0" w:line="240" w:lineRule="auto"/>
              <w:ind w:left="2160"/>
              <w:rPr>
                <w:rFonts w:ascii="Arial" w:hAnsi="Arial" w:cs="Arial"/>
                <w:b/>
                <w:color w:val="262626" w:themeColor="text2" w:themeTint="D9"/>
                <w:sz w:val="18"/>
                <w:szCs w:val="18"/>
              </w:rPr>
            </w:pPr>
          </w:p>
        </w:tc>
        <w:tc>
          <w:tcPr>
            <w:tcW w:w="1417"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14:paraId="2876D52A" w14:textId="77777777" w:rsidR="007C5FE4" w:rsidRPr="003726BE" w:rsidRDefault="007C5FE4" w:rsidP="00591D69">
            <w:pPr>
              <w:pStyle w:val="ListParagraph"/>
              <w:spacing w:after="0" w:line="240" w:lineRule="auto"/>
              <w:ind w:left="2160"/>
              <w:rPr>
                <w:rFonts w:ascii="Arial" w:hAnsi="Arial" w:cs="Arial"/>
                <w:b/>
                <w:color w:val="262626" w:themeColor="text2" w:themeTint="D9"/>
                <w:sz w:val="18"/>
                <w:szCs w:val="18"/>
              </w:rPr>
            </w:pPr>
          </w:p>
        </w:tc>
        <w:tc>
          <w:tcPr>
            <w:tcW w:w="1527"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14:paraId="71DC64E7" w14:textId="77777777" w:rsidR="007C5FE4" w:rsidRPr="003726BE" w:rsidRDefault="007C5FE4" w:rsidP="00591D69">
            <w:pPr>
              <w:pStyle w:val="ListParagraph"/>
              <w:spacing w:after="0" w:line="240" w:lineRule="auto"/>
              <w:ind w:left="2160"/>
              <w:rPr>
                <w:rFonts w:ascii="Arial" w:hAnsi="Arial" w:cs="Arial"/>
                <w:b/>
                <w:color w:val="262626" w:themeColor="text2" w:themeTint="D9"/>
                <w:sz w:val="18"/>
                <w:szCs w:val="18"/>
              </w:rPr>
            </w:pPr>
          </w:p>
        </w:tc>
        <w:tc>
          <w:tcPr>
            <w:tcW w:w="1839"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14:paraId="2F17D80C" w14:textId="77777777" w:rsidR="007C5FE4" w:rsidRPr="003726BE" w:rsidRDefault="007C5FE4" w:rsidP="00591D69">
            <w:pPr>
              <w:pStyle w:val="ListParagraph"/>
              <w:spacing w:after="0" w:line="240" w:lineRule="auto"/>
              <w:ind w:left="2160"/>
              <w:rPr>
                <w:rFonts w:ascii="Arial" w:hAnsi="Arial" w:cs="Arial"/>
                <w:b/>
                <w:color w:val="262626" w:themeColor="text2" w:themeTint="D9"/>
                <w:sz w:val="18"/>
                <w:szCs w:val="18"/>
              </w:rPr>
            </w:pPr>
          </w:p>
        </w:tc>
      </w:tr>
      <w:tr w:rsidR="007C5FE4" w:rsidRPr="003726BE" w14:paraId="7BBD4055" w14:textId="77777777" w:rsidTr="007C5FE4">
        <w:trPr>
          <w:trHeight w:val="180"/>
          <w:jc w:val="center"/>
        </w:trPr>
        <w:tc>
          <w:tcPr>
            <w:tcW w:w="1210" w:type="dxa"/>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14:paraId="55CE7822" w14:textId="77777777" w:rsidR="007C5FE4" w:rsidRPr="003726BE" w:rsidRDefault="007C5FE4" w:rsidP="00591D69">
            <w:pPr>
              <w:rPr>
                <w:b/>
                <w:color w:val="262626" w:themeColor="text2" w:themeTint="D9"/>
                <w:szCs w:val="18"/>
              </w:rPr>
            </w:pPr>
            <w:r w:rsidRPr="003726BE">
              <w:rPr>
                <w:b/>
                <w:color w:val="262626" w:themeColor="text2" w:themeTint="D9"/>
              </w:rPr>
              <w:t>Common Context indicators</w:t>
            </w:r>
            <w:r w:rsidRPr="003726BE">
              <w:rPr>
                <w:rStyle w:val="FootnoteReference"/>
              </w:rPr>
              <w:footnoteReference w:id="99"/>
            </w:r>
            <w:r w:rsidRPr="003726BE">
              <w:rPr>
                <w:b/>
                <w:color w:val="262626" w:themeColor="text2" w:themeTint="D9"/>
              </w:rPr>
              <w:t xml:space="preserve"> </w:t>
            </w:r>
          </w:p>
        </w:tc>
        <w:tc>
          <w:tcPr>
            <w:tcW w:w="1892"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14:paraId="6CE39188" w14:textId="77777777" w:rsidR="007C5FE4" w:rsidRPr="003726BE" w:rsidRDefault="007C5FE4" w:rsidP="00591D69">
            <w:pPr>
              <w:spacing w:after="0"/>
              <w:rPr>
                <w:b/>
                <w:color w:val="262626" w:themeColor="text2" w:themeTint="D9"/>
                <w:szCs w:val="18"/>
              </w:rPr>
            </w:pPr>
          </w:p>
        </w:tc>
        <w:tc>
          <w:tcPr>
            <w:tcW w:w="1572"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14:paraId="7152FECC" w14:textId="77777777" w:rsidR="007C5FE4" w:rsidRPr="003726BE" w:rsidRDefault="007C5FE4" w:rsidP="00591D69">
            <w:pPr>
              <w:pStyle w:val="ListParagraph"/>
              <w:spacing w:after="0" w:line="240" w:lineRule="auto"/>
              <w:ind w:left="2160"/>
              <w:rPr>
                <w:rFonts w:ascii="Arial" w:hAnsi="Arial" w:cs="Arial"/>
                <w:b/>
                <w:color w:val="262626" w:themeColor="text2" w:themeTint="D9"/>
                <w:sz w:val="18"/>
                <w:szCs w:val="18"/>
              </w:rPr>
            </w:pPr>
          </w:p>
        </w:tc>
        <w:tc>
          <w:tcPr>
            <w:tcW w:w="1255"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14:paraId="1805C3A2" w14:textId="77777777" w:rsidR="007C5FE4" w:rsidRPr="003726BE" w:rsidRDefault="007C5FE4" w:rsidP="00591D69">
            <w:pPr>
              <w:pStyle w:val="ListParagraph"/>
              <w:spacing w:after="0" w:line="240" w:lineRule="auto"/>
              <w:ind w:left="2160"/>
              <w:rPr>
                <w:rFonts w:ascii="Arial" w:hAnsi="Arial" w:cs="Arial"/>
                <w:b/>
                <w:color w:val="262626" w:themeColor="text2" w:themeTint="D9"/>
                <w:sz w:val="18"/>
                <w:szCs w:val="18"/>
              </w:rPr>
            </w:pPr>
          </w:p>
        </w:tc>
        <w:tc>
          <w:tcPr>
            <w:tcW w:w="1628"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14:paraId="302EEA81" w14:textId="77777777" w:rsidR="007C5FE4" w:rsidRPr="003726BE" w:rsidRDefault="007C5FE4" w:rsidP="00591D69">
            <w:pPr>
              <w:pStyle w:val="ListParagraph"/>
              <w:spacing w:after="0" w:line="240" w:lineRule="auto"/>
              <w:ind w:left="2160"/>
              <w:rPr>
                <w:rFonts w:ascii="Arial" w:hAnsi="Arial" w:cs="Arial"/>
                <w:b/>
                <w:color w:val="262626" w:themeColor="text2" w:themeTint="D9"/>
                <w:sz w:val="18"/>
                <w:szCs w:val="18"/>
              </w:rPr>
            </w:pPr>
          </w:p>
        </w:tc>
        <w:tc>
          <w:tcPr>
            <w:tcW w:w="1918"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14:paraId="12E729BD" w14:textId="77777777" w:rsidR="007C5FE4" w:rsidRPr="003726BE" w:rsidRDefault="007C5FE4" w:rsidP="00591D69">
            <w:pPr>
              <w:pStyle w:val="ListParagraph"/>
              <w:spacing w:after="0" w:line="240" w:lineRule="auto"/>
              <w:ind w:left="2160"/>
              <w:rPr>
                <w:rFonts w:ascii="Arial" w:hAnsi="Arial" w:cs="Arial"/>
                <w:b/>
                <w:color w:val="262626" w:themeColor="text2" w:themeTint="D9"/>
                <w:sz w:val="18"/>
                <w:szCs w:val="18"/>
              </w:rPr>
            </w:pPr>
          </w:p>
        </w:tc>
        <w:tc>
          <w:tcPr>
            <w:tcW w:w="1417"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14:paraId="4938E717" w14:textId="77777777" w:rsidR="007C5FE4" w:rsidRPr="003726BE" w:rsidRDefault="007C5FE4" w:rsidP="00591D69">
            <w:pPr>
              <w:pStyle w:val="ListParagraph"/>
              <w:spacing w:after="0" w:line="240" w:lineRule="auto"/>
              <w:ind w:left="2160"/>
              <w:rPr>
                <w:rFonts w:ascii="Arial" w:hAnsi="Arial" w:cs="Arial"/>
                <w:b/>
                <w:color w:val="262626" w:themeColor="text2" w:themeTint="D9"/>
                <w:sz w:val="18"/>
                <w:szCs w:val="18"/>
              </w:rPr>
            </w:pPr>
          </w:p>
        </w:tc>
        <w:tc>
          <w:tcPr>
            <w:tcW w:w="1527"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14:paraId="2706365F" w14:textId="77777777" w:rsidR="007C5FE4" w:rsidRPr="003726BE" w:rsidRDefault="007C5FE4" w:rsidP="00591D69">
            <w:pPr>
              <w:pStyle w:val="ListParagraph"/>
              <w:spacing w:after="0" w:line="240" w:lineRule="auto"/>
              <w:ind w:left="2160"/>
              <w:rPr>
                <w:rFonts w:ascii="Arial" w:hAnsi="Arial" w:cs="Arial"/>
                <w:b/>
                <w:color w:val="262626" w:themeColor="text2" w:themeTint="D9"/>
                <w:sz w:val="18"/>
                <w:szCs w:val="18"/>
              </w:rPr>
            </w:pPr>
          </w:p>
        </w:tc>
        <w:tc>
          <w:tcPr>
            <w:tcW w:w="1839"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14:paraId="3460AC42" w14:textId="77777777" w:rsidR="007C5FE4" w:rsidRPr="003726BE" w:rsidRDefault="007C5FE4" w:rsidP="00591D69">
            <w:pPr>
              <w:pStyle w:val="ListParagraph"/>
              <w:spacing w:after="0" w:line="240" w:lineRule="auto"/>
              <w:ind w:left="2160"/>
              <w:rPr>
                <w:rFonts w:ascii="Arial" w:hAnsi="Arial" w:cs="Arial"/>
                <w:b/>
                <w:color w:val="262626" w:themeColor="text2" w:themeTint="D9"/>
                <w:sz w:val="18"/>
                <w:szCs w:val="18"/>
              </w:rPr>
            </w:pPr>
          </w:p>
        </w:tc>
      </w:tr>
    </w:tbl>
    <w:p w14:paraId="2659ED59" w14:textId="77777777" w:rsidR="00F7131C" w:rsidRPr="003726BE" w:rsidRDefault="00F7131C" w:rsidP="002B2ED6">
      <w:pPr>
        <w:jc w:val="center"/>
        <w:rPr>
          <w:sz w:val="28"/>
          <w:szCs w:val="28"/>
        </w:rPr>
        <w:sectPr w:rsidR="00F7131C" w:rsidRPr="003726BE" w:rsidSect="00FE5DEE">
          <w:pgSz w:w="16840" w:h="11907" w:orient="landscape" w:code="9"/>
          <w:pgMar w:top="1418" w:right="1418" w:bottom="1418" w:left="1418" w:header="737" w:footer="709" w:gutter="0"/>
          <w:cols w:space="708"/>
          <w:titlePg/>
          <w:docGrid w:linePitch="435"/>
        </w:sectPr>
      </w:pPr>
    </w:p>
    <w:tbl>
      <w:tblPr>
        <w:tblW w:w="10149" w:type="dxa"/>
        <w:jc w:val="center"/>
        <w:tblLayout w:type="fixed"/>
        <w:tblCellMar>
          <w:left w:w="10" w:type="dxa"/>
          <w:right w:w="10" w:type="dxa"/>
        </w:tblCellMar>
        <w:tblLook w:val="0000" w:firstRow="0" w:lastRow="0" w:firstColumn="0" w:lastColumn="0" w:noHBand="0" w:noVBand="0"/>
      </w:tblPr>
      <w:tblGrid>
        <w:gridCol w:w="5074"/>
        <w:gridCol w:w="5075"/>
      </w:tblGrid>
      <w:tr w:rsidR="00F7131C" w:rsidRPr="003726BE" w14:paraId="708AA276" w14:textId="77777777" w:rsidTr="0091196A">
        <w:trPr>
          <w:trHeight w:val="122"/>
          <w:jc w:val="center"/>
        </w:trPr>
        <w:tc>
          <w:tcPr>
            <w:tcW w:w="10149" w:type="dxa"/>
            <w:gridSpan w:val="2"/>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14:paraId="62F33B88" w14:textId="77777777" w:rsidR="00F7131C" w:rsidRPr="00CB34A3" w:rsidRDefault="00F7131C" w:rsidP="001A31FB">
            <w:pPr>
              <w:pStyle w:val="ListParagraph"/>
              <w:numPr>
                <w:ilvl w:val="0"/>
                <w:numId w:val="28"/>
              </w:numPr>
              <w:suppressAutoHyphens/>
              <w:autoSpaceDN w:val="0"/>
              <w:spacing w:after="0" w:line="240" w:lineRule="auto"/>
              <w:textAlignment w:val="baseline"/>
              <w:rPr>
                <w:rFonts w:ascii="Arial" w:hAnsi="Arial"/>
                <w:color w:val="ED7D31"/>
                <w:sz w:val="18"/>
                <w:szCs w:val="18"/>
                <w:lang w:val="en-GB"/>
              </w:rPr>
            </w:pPr>
            <w:r w:rsidRPr="00CB34A3">
              <w:rPr>
                <w:rFonts w:ascii="Arial" w:hAnsi="Arial"/>
                <w:b/>
                <w:color w:val="ED7D31"/>
                <w:sz w:val="18"/>
                <w:lang w:val="en-GB"/>
              </w:rPr>
              <w:lastRenderedPageBreak/>
              <w:t>Problems encountered influencing the validity and reliability of evaluation findings</w:t>
            </w:r>
            <w:r w:rsidRPr="003726BE">
              <w:rPr>
                <w:rStyle w:val="FootnoteReference"/>
                <w:color w:val="ED7D31"/>
                <w:vertAlign w:val="superscript"/>
              </w:rPr>
              <w:footnoteReference w:id="100"/>
            </w:r>
            <w:r w:rsidRPr="00CB34A3">
              <w:rPr>
                <w:rFonts w:ascii="Arial" w:hAnsi="Arial"/>
                <w:color w:val="ED7D31"/>
                <w:sz w:val="18"/>
                <w:lang w:val="en-GB"/>
              </w:rPr>
              <w:t xml:space="preserve"> </w:t>
            </w:r>
          </w:p>
          <w:p w14:paraId="283FC632" w14:textId="77777777" w:rsidR="00F7131C" w:rsidRPr="00CB34A3" w:rsidRDefault="00F7131C" w:rsidP="0091196A">
            <w:pPr>
              <w:spacing w:after="0" w:line="240" w:lineRule="auto"/>
              <w:rPr>
                <w:szCs w:val="18"/>
                <w:lang w:val="en-GB"/>
              </w:rPr>
            </w:pPr>
          </w:p>
          <w:p w14:paraId="31A33452" w14:textId="77777777" w:rsidR="00F7131C" w:rsidRPr="003726BE" w:rsidRDefault="00F7131C" w:rsidP="0091196A">
            <w:pPr>
              <w:spacing w:after="0" w:line="240" w:lineRule="auto"/>
              <w:rPr>
                <w:i/>
                <w:color w:val="F7A833" w:themeColor="accent5"/>
                <w:szCs w:val="18"/>
              </w:rPr>
            </w:pPr>
            <w:r w:rsidRPr="00CB34A3">
              <w:rPr>
                <w:i/>
                <w:color w:val="F7A833" w:themeColor="accent5"/>
                <w:lang w:val="en-GB"/>
              </w:rPr>
              <w:t xml:space="preserve">[A maximum of 1,750 characters = approx. </w:t>
            </w:r>
            <w:r w:rsidRPr="003726BE">
              <w:rPr>
                <w:i/>
                <w:color w:val="F7A833" w:themeColor="accent5"/>
              </w:rPr>
              <w:t>½ page – Non-mandatory]</w:t>
            </w:r>
          </w:p>
          <w:p w14:paraId="5D1B048E" w14:textId="77777777" w:rsidR="00F7131C" w:rsidRPr="003726BE" w:rsidRDefault="00F7131C" w:rsidP="0091196A">
            <w:pPr>
              <w:spacing w:after="0" w:line="240" w:lineRule="auto"/>
              <w:rPr>
                <w:szCs w:val="18"/>
              </w:rPr>
            </w:pPr>
          </w:p>
        </w:tc>
      </w:tr>
      <w:tr w:rsidR="00F7131C" w:rsidRPr="003726BE" w14:paraId="45FBD0A3" w14:textId="77777777" w:rsidTr="0091196A">
        <w:trPr>
          <w:trHeight w:val="203"/>
          <w:jc w:val="center"/>
        </w:trPr>
        <w:tc>
          <w:tcPr>
            <w:tcW w:w="10149" w:type="dxa"/>
            <w:gridSpan w:val="2"/>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14:paraId="118771C5" w14:textId="77777777" w:rsidR="00F7131C" w:rsidRPr="003726BE" w:rsidRDefault="00F7131C" w:rsidP="001A31FB">
            <w:pPr>
              <w:pStyle w:val="ListParagraph"/>
              <w:numPr>
                <w:ilvl w:val="0"/>
                <w:numId w:val="28"/>
              </w:numPr>
              <w:suppressAutoHyphens/>
              <w:autoSpaceDN w:val="0"/>
              <w:spacing w:after="0" w:line="240" w:lineRule="auto"/>
              <w:textAlignment w:val="baseline"/>
              <w:rPr>
                <w:rFonts w:ascii="Arial" w:hAnsi="Arial"/>
                <w:b/>
                <w:color w:val="ED7D31"/>
                <w:sz w:val="18"/>
                <w:szCs w:val="18"/>
              </w:rPr>
            </w:pPr>
            <w:r w:rsidRPr="003726BE">
              <w:rPr>
                <w:rFonts w:ascii="Arial" w:hAnsi="Arial"/>
                <w:b/>
                <w:color w:val="ED7D31"/>
                <w:sz w:val="18"/>
              </w:rPr>
              <w:t>Answer to evaluation question</w:t>
            </w:r>
            <w:r w:rsidRPr="003726BE">
              <w:rPr>
                <w:rStyle w:val="FootnoteReference"/>
                <w:b/>
                <w:color w:val="ED7D31"/>
                <w:vertAlign w:val="superscript"/>
              </w:rPr>
              <w:footnoteReference w:id="101"/>
            </w:r>
            <w:r w:rsidRPr="003726BE">
              <w:rPr>
                <w:rFonts w:ascii="Arial" w:hAnsi="Arial"/>
                <w:b/>
                <w:color w:val="ED7D31"/>
                <w:sz w:val="18"/>
              </w:rPr>
              <w:t xml:space="preserve"> </w:t>
            </w:r>
          </w:p>
          <w:p w14:paraId="1424516F" w14:textId="77777777" w:rsidR="00F7131C" w:rsidRPr="003726BE" w:rsidRDefault="00F7131C" w:rsidP="0091196A">
            <w:pPr>
              <w:spacing w:after="0" w:line="240" w:lineRule="auto"/>
              <w:rPr>
                <w:b/>
                <w:color w:val="ED7D31"/>
                <w:szCs w:val="18"/>
              </w:rPr>
            </w:pPr>
          </w:p>
          <w:p w14:paraId="5054D202" w14:textId="77777777" w:rsidR="00F7131C" w:rsidRPr="003726BE" w:rsidRDefault="00F7131C" w:rsidP="0091196A">
            <w:pPr>
              <w:spacing w:after="0" w:line="240" w:lineRule="auto"/>
              <w:rPr>
                <w:i/>
                <w:color w:val="F7A833" w:themeColor="accent5"/>
                <w:szCs w:val="18"/>
              </w:rPr>
            </w:pPr>
            <w:r w:rsidRPr="00CB34A3">
              <w:rPr>
                <w:i/>
                <w:color w:val="F7A833" w:themeColor="accent5"/>
                <w:lang w:val="en-GB"/>
              </w:rPr>
              <w:t xml:space="preserve">[A maximum of 10,500 characters = approx. </w:t>
            </w:r>
            <w:r w:rsidRPr="003726BE">
              <w:rPr>
                <w:i/>
                <w:color w:val="F7A833" w:themeColor="accent5"/>
              </w:rPr>
              <w:t>3 pages – Mandatory]</w:t>
            </w:r>
          </w:p>
          <w:p w14:paraId="610989E4" w14:textId="77777777" w:rsidR="00F7131C" w:rsidRPr="003726BE" w:rsidRDefault="00F7131C" w:rsidP="0091196A">
            <w:pPr>
              <w:spacing w:after="0" w:line="240" w:lineRule="auto"/>
              <w:rPr>
                <w:szCs w:val="18"/>
              </w:rPr>
            </w:pPr>
          </w:p>
        </w:tc>
      </w:tr>
      <w:tr w:rsidR="00F7131C" w:rsidRPr="003726BE" w14:paraId="584FE6CC" w14:textId="77777777" w:rsidTr="0091196A">
        <w:trPr>
          <w:trHeight w:val="153"/>
          <w:jc w:val="center"/>
        </w:trPr>
        <w:tc>
          <w:tcPr>
            <w:tcW w:w="10149" w:type="dxa"/>
            <w:gridSpan w:val="2"/>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14:paraId="687FCAC3" w14:textId="77777777" w:rsidR="00F7131C" w:rsidRPr="003726BE" w:rsidRDefault="00F7131C" w:rsidP="001A31FB">
            <w:pPr>
              <w:pStyle w:val="ListParagraph"/>
              <w:numPr>
                <w:ilvl w:val="0"/>
                <w:numId w:val="28"/>
              </w:numPr>
              <w:suppressAutoHyphens/>
              <w:autoSpaceDN w:val="0"/>
              <w:spacing w:after="0" w:line="240" w:lineRule="auto"/>
              <w:textAlignment w:val="baseline"/>
              <w:rPr>
                <w:rFonts w:ascii="Arial" w:hAnsi="Arial"/>
                <w:b/>
                <w:color w:val="ED7D31"/>
                <w:sz w:val="18"/>
                <w:szCs w:val="18"/>
              </w:rPr>
            </w:pPr>
            <w:r w:rsidRPr="003726BE">
              <w:rPr>
                <w:rFonts w:ascii="Arial" w:hAnsi="Arial"/>
                <w:b/>
                <w:color w:val="ED7D31"/>
                <w:sz w:val="18"/>
              </w:rPr>
              <w:t>Conclusions and recommendations</w:t>
            </w:r>
            <w:r w:rsidRPr="003726BE">
              <w:rPr>
                <w:rStyle w:val="FootnoteReference"/>
                <w:b/>
                <w:color w:val="ED7D31"/>
                <w:vertAlign w:val="superscript"/>
              </w:rPr>
              <w:footnoteReference w:id="102"/>
            </w:r>
          </w:p>
          <w:p w14:paraId="09929AF9" w14:textId="77777777" w:rsidR="00F7131C" w:rsidRPr="003726BE" w:rsidRDefault="00F7131C" w:rsidP="00A43ED6">
            <w:pPr>
              <w:spacing w:after="0" w:line="240" w:lineRule="auto"/>
              <w:rPr>
                <w:b/>
                <w:szCs w:val="18"/>
              </w:rPr>
            </w:pPr>
          </w:p>
        </w:tc>
      </w:tr>
      <w:tr w:rsidR="00F7131C" w:rsidRPr="003726BE" w14:paraId="279FC493" w14:textId="77777777" w:rsidTr="00A43ED6">
        <w:trPr>
          <w:trHeight w:val="1133"/>
          <w:jc w:val="center"/>
        </w:trPr>
        <w:tc>
          <w:tcPr>
            <w:tcW w:w="5074" w:type="dxa"/>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14:paraId="0C55FDA0" w14:textId="77777777" w:rsidR="00F7131C" w:rsidRPr="003726BE" w:rsidRDefault="00F7131C" w:rsidP="0091196A">
            <w:pPr>
              <w:spacing w:after="0" w:line="240" w:lineRule="auto"/>
              <w:rPr>
                <w:b/>
                <w:color w:val="373737" w:themeColor="background1" w:themeShade="40"/>
                <w:szCs w:val="18"/>
              </w:rPr>
            </w:pPr>
            <w:r w:rsidRPr="003726BE">
              <w:rPr>
                <w:b/>
                <w:color w:val="373737" w:themeColor="background1" w:themeShade="40"/>
              </w:rPr>
              <w:t>Conclusion</w:t>
            </w:r>
          </w:p>
          <w:p w14:paraId="59EF8A9C" w14:textId="77777777" w:rsidR="00F7131C" w:rsidRPr="003726BE" w:rsidRDefault="00F7131C" w:rsidP="0091196A">
            <w:pPr>
              <w:spacing w:after="0" w:line="240" w:lineRule="auto"/>
              <w:rPr>
                <w:b/>
                <w:color w:val="262626" w:themeColor="text2" w:themeTint="D9"/>
                <w:szCs w:val="18"/>
              </w:rPr>
            </w:pPr>
          </w:p>
          <w:p w14:paraId="55A5784F" w14:textId="77777777" w:rsidR="00F7131C" w:rsidRPr="003726BE" w:rsidRDefault="00F7131C" w:rsidP="0091196A">
            <w:pPr>
              <w:spacing w:after="0" w:line="240" w:lineRule="auto"/>
              <w:rPr>
                <w:i/>
                <w:color w:val="F7A833" w:themeColor="accent5"/>
                <w:szCs w:val="18"/>
              </w:rPr>
            </w:pPr>
            <w:r w:rsidRPr="003726BE">
              <w:rPr>
                <w:i/>
                <w:color w:val="F7A833" w:themeColor="accent5"/>
              </w:rPr>
              <w:t>[Approx. 1,000 characters - Mandatory]</w:t>
            </w:r>
          </w:p>
        </w:tc>
        <w:tc>
          <w:tcPr>
            <w:tcW w:w="5075"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14:paraId="48054F48" w14:textId="77777777" w:rsidR="00F7131C" w:rsidRPr="003726BE" w:rsidRDefault="00F7131C" w:rsidP="0091196A">
            <w:pPr>
              <w:spacing w:after="0" w:line="240" w:lineRule="auto"/>
              <w:rPr>
                <w:b/>
                <w:color w:val="373737" w:themeColor="background1" w:themeShade="40"/>
                <w:szCs w:val="18"/>
              </w:rPr>
            </w:pPr>
            <w:r w:rsidRPr="003726BE">
              <w:rPr>
                <w:b/>
                <w:color w:val="373737" w:themeColor="background1" w:themeShade="40"/>
              </w:rPr>
              <w:t>Recommendation</w:t>
            </w:r>
          </w:p>
          <w:p w14:paraId="0EBF5C2B" w14:textId="77777777" w:rsidR="00F7131C" w:rsidRPr="003726BE" w:rsidRDefault="00F7131C" w:rsidP="0091196A">
            <w:pPr>
              <w:spacing w:after="0" w:line="240" w:lineRule="auto"/>
              <w:rPr>
                <w:b/>
                <w:szCs w:val="18"/>
              </w:rPr>
            </w:pPr>
          </w:p>
          <w:p w14:paraId="5E3F9D62" w14:textId="77777777" w:rsidR="00F7131C" w:rsidRPr="003726BE" w:rsidRDefault="00F7131C" w:rsidP="0091196A">
            <w:pPr>
              <w:spacing w:after="0" w:line="240" w:lineRule="auto"/>
              <w:rPr>
                <w:i/>
                <w:color w:val="F7A833" w:themeColor="accent5"/>
                <w:szCs w:val="18"/>
              </w:rPr>
            </w:pPr>
            <w:r w:rsidRPr="003726BE">
              <w:rPr>
                <w:i/>
                <w:color w:val="F7A833" w:themeColor="accent5"/>
              </w:rPr>
              <w:t>[Approx. 1,000 characters – Non-mandatory]</w:t>
            </w:r>
          </w:p>
          <w:p w14:paraId="4985A88B" w14:textId="77777777" w:rsidR="00F7131C" w:rsidRPr="003726BE" w:rsidRDefault="00F7131C" w:rsidP="0091196A">
            <w:pPr>
              <w:spacing w:after="0" w:line="240" w:lineRule="auto"/>
              <w:rPr>
                <w:b/>
                <w:szCs w:val="18"/>
              </w:rPr>
            </w:pPr>
          </w:p>
        </w:tc>
      </w:tr>
      <w:tr w:rsidR="00F7131C" w:rsidRPr="003726BE" w14:paraId="264481CF" w14:textId="77777777" w:rsidTr="00F11846">
        <w:trPr>
          <w:trHeight w:val="534"/>
          <w:jc w:val="center"/>
        </w:trPr>
        <w:tc>
          <w:tcPr>
            <w:tcW w:w="5074" w:type="dxa"/>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14:paraId="3744FA58" w14:textId="77777777" w:rsidR="00F7131C" w:rsidRPr="003726BE" w:rsidRDefault="00F7131C" w:rsidP="0091196A">
            <w:pPr>
              <w:spacing w:after="0" w:line="240" w:lineRule="auto"/>
              <w:rPr>
                <w:b/>
                <w:color w:val="373737" w:themeColor="background1" w:themeShade="40"/>
                <w:szCs w:val="18"/>
              </w:rPr>
            </w:pPr>
            <w:r w:rsidRPr="003726BE">
              <w:rPr>
                <w:b/>
                <w:color w:val="373737" w:themeColor="background1" w:themeShade="40"/>
              </w:rPr>
              <w:t>C.1</w:t>
            </w:r>
          </w:p>
        </w:tc>
        <w:tc>
          <w:tcPr>
            <w:tcW w:w="5075"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14:paraId="6C44CB9F" w14:textId="77777777" w:rsidR="00F7131C" w:rsidRPr="003726BE" w:rsidRDefault="00F7131C" w:rsidP="0091196A">
            <w:pPr>
              <w:spacing w:after="0" w:line="240" w:lineRule="auto"/>
              <w:rPr>
                <w:b/>
                <w:color w:val="373737" w:themeColor="background1" w:themeShade="40"/>
                <w:szCs w:val="18"/>
              </w:rPr>
            </w:pPr>
            <w:r w:rsidRPr="003726BE">
              <w:rPr>
                <w:b/>
                <w:color w:val="373737" w:themeColor="background1" w:themeShade="40"/>
              </w:rPr>
              <w:t>R.1</w:t>
            </w:r>
          </w:p>
        </w:tc>
      </w:tr>
      <w:tr w:rsidR="00F7131C" w:rsidRPr="003726BE" w14:paraId="473327C6" w14:textId="77777777" w:rsidTr="00F11846">
        <w:trPr>
          <w:trHeight w:val="528"/>
          <w:jc w:val="center"/>
        </w:trPr>
        <w:tc>
          <w:tcPr>
            <w:tcW w:w="5074" w:type="dxa"/>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14:paraId="2D349D2B" w14:textId="77777777" w:rsidR="00F7131C" w:rsidRPr="003726BE" w:rsidRDefault="00F7131C" w:rsidP="0091196A">
            <w:pPr>
              <w:spacing w:after="0" w:line="240" w:lineRule="auto"/>
              <w:rPr>
                <w:b/>
                <w:color w:val="373737" w:themeColor="background1" w:themeShade="40"/>
                <w:szCs w:val="18"/>
              </w:rPr>
            </w:pPr>
            <w:r w:rsidRPr="003726BE">
              <w:rPr>
                <w:b/>
                <w:color w:val="373737" w:themeColor="background1" w:themeShade="40"/>
              </w:rPr>
              <w:t>C.2</w:t>
            </w:r>
          </w:p>
        </w:tc>
        <w:tc>
          <w:tcPr>
            <w:tcW w:w="5075"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14:paraId="567E5296" w14:textId="77777777" w:rsidR="00F7131C" w:rsidRPr="003726BE" w:rsidRDefault="00F7131C" w:rsidP="0091196A">
            <w:pPr>
              <w:spacing w:after="0" w:line="240" w:lineRule="auto"/>
              <w:rPr>
                <w:b/>
                <w:color w:val="373737" w:themeColor="background1" w:themeShade="40"/>
                <w:szCs w:val="18"/>
              </w:rPr>
            </w:pPr>
            <w:r w:rsidRPr="003726BE">
              <w:rPr>
                <w:b/>
                <w:color w:val="373737" w:themeColor="background1" w:themeShade="40"/>
              </w:rPr>
              <w:t>R.2</w:t>
            </w:r>
          </w:p>
        </w:tc>
      </w:tr>
      <w:tr w:rsidR="00F7131C" w:rsidRPr="003726BE" w14:paraId="457DB4CF" w14:textId="77777777" w:rsidTr="00F11846">
        <w:trPr>
          <w:trHeight w:val="551"/>
          <w:jc w:val="center"/>
        </w:trPr>
        <w:tc>
          <w:tcPr>
            <w:tcW w:w="5074" w:type="dxa"/>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14:paraId="1089A442" w14:textId="77777777" w:rsidR="00F7131C" w:rsidRPr="003726BE" w:rsidRDefault="00F7131C" w:rsidP="0091196A">
            <w:pPr>
              <w:spacing w:after="0" w:line="240" w:lineRule="auto"/>
              <w:rPr>
                <w:b/>
                <w:color w:val="373737" w:themeColor="background1" w:themeShade="40"/>
                <w:szCs w:val="18"/>
              </w:rPr>
            </w:pPr>
            <w:r w:rsidRPr="003726BE">
              <w:rPr>
                <w:b/>
                <w:color w:val="373737" w:themeColor="background1" w:themeShade="40"/>
              </w:rPr>
              <w:t>C.3</w:t>
            </w:r>
          </w:p>
        </w:tc>
        <w:tc>
          <w:tcPr>
            <w:tcW w:w="5075"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14:paraId="0B6F3CD7" w14:textId="77777777" w:rsidR="00F7131C" w:rsidRPr="003726BE" w:rsidRDefault="00F7131C" w:rsidP="0091196A">
            <w:pPr>
              <w:spacing w:after="0" w:line="240" w:lineRule="auto"/>
              <w:rPr>
                <w:b/>
                <w:color w:val="373737" w:themeColor="background1" w:themeShade="40"/>
                <w:szCs w:val="18"/>
              </w:rPr>
            </w:pPr>
            <w:r w:rsidRPr="003726BE">
              <w:rPr>
                <w:b/>
                <w:color w:val="373737" w:themeColor="background1" w:themeShade="40"/>
              </w:rPr>
              <w:t>R.3</w:t>
            </w:r>
          </w:p>
        </w:tc>
      </w:tr>
    </w:tbl>
    <w:p w14:paraId="028E4597" w14:textId="77777777" w:rsidR="002B2ED6" w:rsidRPr="003726BE" w:rsidRDefault="002B2ED6" w:rsidP="002B2ED6">
      <w:pPr>
        <w:jc w:val="center"/>
        <w:rPr>
          <w:sz w:val="28"/>
          <w:szCs w:val="28"/>
        </w:rPr>
      </w:pPr>
    </w:p>
    <w:p w14:paraId="271063E9" w14:textId="77777777" w:rsidR="009E3BE3" w:rsidRPr="003726BE" w:rsidRDefault="006337B8" w:rsidP="009E3BE3">
      <w:pPr>
        <w:pStyle w:val="HHeadingtables"/>
        <w:rPr>
          <w:rFonts w:cs="Arial"/>
          <w:highlight w:val="yellow"/>
        </w:rPr>
      </w:pPr>
      <w:r w:rsidRPr="003726BE">
        <w:br w:type="column"/>
      </w:r>
      <w:bookmarkStart w:id="132" w:name="_Toc460936143"/>
      <w:bookmarkStart w:id="133" w:name="_Toc474132631"/>
      <w:r w:rsidRPr="003726BE">
        <w:rPr>
          <w:highlight w:val="yellow"/>
        </w:rPr>
        <w:lastRenderedPageBreak/>
        <w:t>Modello SFC per il punto 7 riguardante la domanda n. 4 del QVC (esempio compilato)</w:t>
      </w:r>
      <w:bookmarkEnd w:id="132"/>
      <w:bookmarkEnd w:id="133"/>
    </w:p>
    <w:p w14:paraId="3AD5A203" w14:textId="77777777" w:rsidR="00A8083B" w:rsidRPr="003726BE" w:rsidRDefault="000958C6" w:rsidP="00976C04">
      <w:pPr>
        <w:pStyle w:val="HStandard"/>
        <w:rPr>
          <w:sz w:val="24"/>
          <w:highlight w:val="yellow"/>
        </w:rPr>
      </w:pPr>
      <w:r w:rsidRPr="003726BE">
        <w:rPr>
          <w:highlight w:val="yellow"/>
        </w:rPr>
        <w:t xml:space="preserve">La tabella che segue mostra un esempio </w:t>
      </w:r>
      <w:r w:rsidRPr="003726BE">
        <w:rPr>
          <w:highlight w:val="yellow"/>
          <w:u w:val="single"/>
        </w:rPr>
        <w:t>compilato</w:t>
      </w:r>
      <w:r w:rsidRPr="003726BE">
        <w:rPr>
          <w:highlight w:val="yellow"/>
        </w:rPr>
        <w:t xml:space="preserve"> del punto 7 del modello SFC per rispondere</w:t>
      </w:r>
      <w:r w:rsidR="00E7404C">
        <w:rPr>
          <w:highlight w:val="yellow"/>
        </w:rPr>
        <w:t xml:space="preserve"> alla domanda numero 4 del QVC.</w:t>
      </w:r>
    </w:p>
    <w:tbl>
      <w:tblPr>
        <w:tblW w:w="8887" w:type="dxa"/>
        <w:jc w:val="center"/>
        <w:tblLayout w:type="fixed"/>
        <w:tblCellMar>
          <w:left w:w="10" w:type="dxa"/>
          <w:right w:w="10" w:type="dxa"/>
        </w:tblCellMar>
        <w:tblLook w:val="0000" w:firstRow="0" w:lastRow="0" w:firstColumn="0" w:lastColumn="0" w:noHBand="0" w:noVBand="0"/>
      </w:tblPr>
      <w:tblGrid>
        <w:gridCol w:w="8887"/>
      </w:tblGrid>
      <w:tr w:rsidR="00A8083B" w:rsidRPr="003726BE" w14:paraId="2E8122B5" w14:textId="77777777" w:rsidTr="00404839">
        <w:trPr>
          <w:trHeight w:val="1215"/>
          <w:jc w:val="center"/>
        </w:trPr>
        <w:tc>
          <w:tcPr>
            <w:tcW w:w="8887" w:type="dxa"/>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14:paraId="30B518B2" w14:textId="77777777" w:rsidR="00A8083B" w:rsidRPr="003726BE" w:rsidRDefault="00A8083B" w:rsidP="00A8083B">
            <w:pPr>
              <w:pStyle w:val="H-Heading2"/>
              <w:spacing w:line="240" w:lineRule="auto"/>
              <w:ind w:left="0" w:firstLine="0"/>
              <w:rPr>
                <w:rFonts w:ascii="Arial" w:hAnsi="Arial" w:cs="Arial"/>
                <w:sz w:val="18"/>
                <w:szCs w:val="18"/>
                <w:highlight w:val="yellow"/>
              </w:rPr>
            </w:pPr>
            <w:r w:rsidRPr="003726BE">
              <w:rPr>
                <w:rFonts w:ascii="Arial" w:hAnsi="Arial"/>
                <w:color w:val="F07E31"/>
                <w:sz w:val="18"/>
                <w:highlight w:val="yellow"/>
              </w:rPr>
              <w:t xml:space="preserve">DOMANDA DEL QVC </w:t>
            </w:r>
            <w:r w:rsidRPr="003726BE">
              <w:rPr>
                <w:rFonts w:ascii="Arial" w:hAnsi="Arial"/>
                <w:color w:val="373737" w:themeColor="background1" w:themeShade="40"/>
                <w:sz w:val="18"/>
                <w:highlight w:val="yellow"/>
              </w:rPr>
              <w:t>N. 4: "in che misura gli interventi del PSR hanno contribuito a migliorare i risultati economici, la ristrutturazione e l'ammodernamento delle aziende agricole sovvenzionate, in particolare aumentandone la partecipazione al mercato e la diversificazione agricola?</w:t>
            </w:r>
            <w:r w:rsidRPr="003726BE">
              <w:rPr>
                <w:rFonts w:ascii="Arial" w:hAnsi="Arial"/>
                <w:color w:val="000000"/>
                <w:sz w:val="18"/>
                <w:highlight w:val="yellow"/>
              </w:rPr>
              <w:t>"</w:t>
            </w:r>
          </w:p>
        </w:tc>
      </w:tr>
      <w:tr w:rsidR="00A8083B" w:rsidRPr="003726BE" w14:paraId="4D0F2443" w14:textId="77777777" w:rsidTr="00404839">
        <w:trPr>
          <w:trHeight w:val="315"/>
          <w:jc w:val="center"/>
        </w:trPr>
        <w:tc>
          <w:tcPr>
            <w:tcW w:w="8887" w:type="dxa"/>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14:paraId="2B1D3C84" w14:textId="77777777" w:rsidR="00A8083B" w:rsidRPr="003726BE" w:rsidRDefault="00A8083B" w:rsidP="00A8083B">
            <w:pPr>
              <w:suppressAutoHyphens/>
              <w:autoSpaceDN w:val="0"/>
              <w:spacing w:after="0" w:line="240" w:lineRule="auto"/>
              <w:textAlignment w:val="baseline"/>
              <w:rPr>
                <w:rFonts w:cs="Arial"/>
                <w:b/>
                <w:color w:val="ED7D31"/>
                <w:szCs w:val="18"/>
                <w:highlight w:val="yellow"/>
              </w:rPr>
            </w:pPr>
            <w:r w:rsidRPr="003726BE">
              <w:rPr>
                <w:b/>
                <w:color w:val="ED7D31"/>
                <w:highlight w:val="yellow"/>
              </w:rPr>
              <w:t>1</w:t>
            </w:r>
            <w:r w:rsidRPr="003726BE">
              <w:rPr>
                <w:highlight w:val="yellow"/>
              </w:rPr>
              <w:t xml:space="preserve">. </w:t>
            </w:r>
            <w:r w:rsidRPr="003726BE">
              <w:rPr>
                <w:b/>
                <w:color w:val="ED7D31"/>
                <w:highlight w:val="yellow"/>
              </w:rPr>
              <w:t>Elenco delle misure che contribuiscono al FA 2A</w:t>
            </w:r>
          </w:p>
          <w:p w14:paraId="1BA767BA" w14:textId="77777777" w:rsidR="00A8083B" w:rsidRPr="003726BE" w:rsidRDefault="00A8083B" w:rsidP="00A8083B">
            <w:pPr>
              <w:spacing w:after="0"/>
              <w:rPr>
                <w:rFonts w:cs="Arial"/>
                <w:b/>
                <w:color w:val="373737" w:themeColor="background1" w:themeShade="40"/>
                <w:szCs w:val="18"/>
                <w:highlight w:val="yellow"/>
              </w:rPr>
            </w:pPr>
          </w:p>
          <w:p w14:paraId="004300E6" w14:textId="77777777" w:rsidR="00A8083B" w:rsidRPr="003726BE" w:rsidRDefault="00A8083B" w:rsidP="00A8083B">
            <w:pPr>
              <w:spacing w:after="0"/>
              <w:jc w:val="left"/>
              <w:rPr>
                <w:rFonts w:cs="Arial"/>
                <w:b/>
                <w:color w:val="546393" w:themeColor="accent3"/>
                <w:szCs w:val="18"/>
                <w:highlight w:val="yellow"/>
              </w:rPr>
            </w:pPr>
            <w:r w:rsidRPr="003726BE">
              <w:rPr>
                <w:b/>
                <w:color w:val="373737" w:themeColor="background1" w:themeShade="40"/>
                <w:highlight w:val="yellow"/>
              </w:rPr>
              <w:t xml:space="preserve">Misure/sottomisure programmate in via primaria: </w:t>
            </w:r>
            <w:r w:rsidRPr="003726BE">
              <w:rPr>
                <w:rFonts w:cs="Arial"/>
                <w:b/>
                <w:color w:val="373737" w:themeColor="background1" w:themeShade="40"/>
                <w:szCs w:val="18"/>
                <w:highlight w:val="yellow"/>
              </w:rPr>
              <w:br/>
            </w:r>
            <w:r w:rsidRPr="003726BE">
              <w:rPr>
                <w:b/>
                <w:color w:val="546393" w:themeColor="accent3"/>
                <w:highlight w:val="yellow"/>
              </w:rPr>
              <w:t>M4.1, M4.3, M6.3, M1.1, M2.1, M16.2</w:t>
            </w:r>
          </w:p>
          <w:p w14:paraId="25861F1E" w14:textId="77777777" w:rsidR="00A8083B" w:rsidRPr="003726BE" w:rsidRDefault="00404839" w:rsidP="00A8083B">
            <w:pPr>
              <w:spacing w:after="0"/>
              <w:rPr>
                <w:rFonts w:cs="Arial"/>
                <w:color w:val="546393" w:themeColor="accent3"/>
                <w:szCs w:val="18"/>
                <w:highlight w:val="yellow"/>
              </w:rPr>
            </w:pPr>
            <w:r w:rsidRPr="003726BE">
              <w:rPr>
                <w:color w:val="546393" w:themeColor="accent3"/>
                <w:highlight w:val="yellow"/>
              </w:rPr>
              <w:t>Tabella 1: Livello di utilizzo delle misure programmate in via primaria (fino alla fine del 2016)</w:t>
            </w:r>
          </w:p>
          <w:tbl>
            <w:tblPr>
              <w:tblW w:w="0" w:type="auto"/>
              <w:tblBorders>
                <w:top w:val="single" w:sz="4" w:space="0" w:color="546393" w:themeColor="accent3"/>
                <w:left w:val="single" w:sz="4" w:space="0" w:color="546393" w:themeColor="accent3"/>
                <w:bottom w:val="single" w:sz="4" w:space="0" w:color="546393" w:themeColor="accent3"/>
                <w:right w:val="single" w:sz="4" w:space="0" w:color="546393" w:themeColor="accent3"/>
                <w:insideH w:val="single" w:sz="4" w:space="0" w:color="546393" w:themeColor="accent3"/>
                <w:insideV w:val="single" w:sz="4" w:space="0" w:color="546393" w:themeColor="accent3"/>
              </w:tblBorders>
              <w:tblLayout w:type="fixed"/>
              <w:tblLook w:val="04A0" w:firstRow="1" w:lastRow="0" w:firstColumn="1" w:lastColumn="0" w:noHBand="0" w:noVBand="1"/>
            </w:tblPr>
            <w:tblGrid>
              <w:gridCol w:w="1641"/>
              <w:gridCol w:w="1324"/>
            </w:tblGrid>
            <w:tr w:rsidR="00E97B0C" w:rsidRPr="003726BE" w14:paraId="30C469B0" w14:textId="77777777" w:rsidTr="00404839">
              <w:tc>
                <w:tcPr>
                  <w:tcW w:w="1641" w:type="dxa"/>
                  <w:shd w:val="clear" w:color="auto" w:fill="auto"/>
                </w:tcPr>
                <w:p w14:paraId="25649825" w14:textId="77777777" w:rsidR="00E97B0C" w:rsidRPr="003726BE" w:rsidRDefault="00E97B0C" w:rsidP="00A8083B">
                  <w:pPr>
                    <w:spacing w:after="0"/>
                    <w:rPr>
                      <w:rFonts w:eastAsia="Calibri" w:cs="Arial"/>
                      <w:color w:val="546393" w:themeColor="accent3"/>
                      <w:szCs w:val="18"/>
                      <w:highlight w:val="yellow"/>
                    </w:rPr>
                  </w:pPr>
                  <w:r w:rsidRPr="003726BE">
                    <w:rPr>
                      <w:color w:val="546393" w:themeColor="accent3"/>
                      <w:highlight w:val="yellow"/>
                    </w:rPr>
                    <w:t>Misura</w:t>
                  </w:r>
                </w:p>
              </w:tc>
              <w:tc>
                <w:tcPr>
                  <w:tcW w:w="1324" w:type="dxa"/>
                  <w:shd w:val="clear" w:color="auto" w:fill="auto"/>
                </w:tcPr>
                <w:p w14:paraId="1F2D87EE" w14:textId="77777777" w:rsidR="00E97B0C" w:rsidRPr="003726BE" w:rsidRDefault="00E97B0C" w:rsidP="00A8083B">
                  <w:pPr>
                    <w:spacing w:after="0"/>
                    <w:jc w:val="center"/>
                    <w:rPr>
                      <w:rFonts w:eastAsia="Calibri" w:cs="Arial"/>
                      <w:color w:val="546393" w:themeColor="accent3"/>
                      <w:szCs w:val="18"/>
                      <w:highlight w:val="yellow"/>
                    </w:rPr>
                  </w:pPr>
                  <w:r w:rsidRPr="003726BE">
                    <w:rPr>
                      <w:color w:val="546393" w:themeColor="accent3"/>
                      <w:highlight w:val="yellow"/>
                    </w:rPr>
                    <w:t>N. totale di operazioni</w:t>
                  </w:r>
                </w:p>
              </w:tc>
            </w:tr>
            <w:tr w:rsidR="00E97B0C" w:rsidRPr="003726BE" w14:paraId="1AC9EA65" w14:textId="77777777" w:rsidTr="00404839">
              <w:tc>
                <w:tcPr>
                  <w:tcW w:w="1641" w:type="dxa"/>
                  <w:shd w:val="clear" w:color="auto" w:fill="auto"/>
                </w:tcPr>
                <w:p w14:paraId="7A174F90" w14:textId="77777777" w:rsidR="00E97B0C" w:rsidRPr="003726BE" w:rsidRDefault="00E97B0C" w:rsidP="00A8083B">
                  <w:pPr>
                    <w:spacing w:after="0"/>
                    <w:rPr>
                      <w:rFonts w:eastAsia="Calibri" w:cs="Arial"/>
                      <w:color w:val="546393" w:themeColor="accent3"/>
                      <w:szCs w:val="18"/>
                      <w:highlight w:val="yellow"/>
                    </w:rPr>
                  </w:pPr>
                  <w:r w:rsidRPr="003726BE">
                    <w:rPr>
                      <w:color w:val="546393" w:themeColor="accent3"/>
                      <w:highlight w:val="yellow"/>
                    </w:rPr>
                    <w:t>M 4.1</w:t>
                  </w:r>
                </w:p>
              </w:tc>
              <w:tc>
                <w:tcPr>
                  <w:tcW w:w="1324" w:type="dxa"/>
                  <w:shd w:val="clear" w:color="auto" w:fill="auto"/>
                </w:tcPr>
                <w:p w14:paraId="6B544437" w14:textId="77777777" w:rsidR="00E97B0C" w:rsidRPr="003726BE" w:rsidRDefault="00E97B0C" w:rsidP="00A8083B">
                  <w:pPr>
                    <w:spacing w:after="0"/>
                    <w:jc w:val="center"/>
                    <w:rPr>
                      <w:rFonts w:eastAsia="Calibri" w:cs="Arial"/>
                      <w:color w:val="546393" w:themeColor="accent3"/>
                      <w:szCs w:val="18"/>
                      <w:highlight w:val="yellow"/>
                    </w:rPr>
                  </w:pPr>
                  <w:r w:rsidRPr="003726BE">
                    <w:rPr>
                      <w:color w:val="546393" w:themeColor="accent3"/>
                      <w:highlight w:val="yellow"/>
                    </w:rPr>
                    <w:t>295</w:t>
                  </w:r>
                </w:p>
              </w:tc>
            </w:tr>
            <w:tr w:rsidR="00E97B0C" w:rsidRPr="003726BE" w14:paraId="09568353" w14:textId="77777777" w:rsidTr="00404839">
              <w:tc>
                <w:tcPr>
                  <w:tcW w:w="1641" w:type="dxa"/>
                  <w:shd w:val="clear" w:color="auto" w:fill="auto"/>
                </w:tcPr>
                <w:p w14:paraId="4F31D445" w14:textId="77777777" w:rsidR="00E97B0C" w:rsidRPr="003726BE" w:rsidRDefault="00E97B0C" w:rsidP="00A8083B">
                  <w:pPr>
                    <w:spacing w:after="0"/>
                    <w:rPr>
                      <w:rFonts w:eastAsia="Calibri" w:cs="Arial"/>
                      <w:color w:val="546393" w:themeColor="accent3"/>
                      <w:szCs w:val="18"/>
                      <w:highlight w:val="yellow"/>
                    </w:rPr>
                  </w:pPr>
                  <w:r w:rsidRPr="003726BE">
                    <w:rPr>
                      <w:color w:val="546393" w:themeColor="accent3"/>
                      <w:highlight w:val="yellow"/>
                    </w:rPr>
                    <w:t>M 4.3</w:t>
                  </w:r>
                </w:p>
              </w:tc>
              <w:tc>
                <w:tcPr>
                  <w:tcW w:w="1324" w:type="dxa"/>
                  <w:shd w:val="clear" w:color="auto" w:fill="auto"/>
                </w:tcPr>
                <w:p w14:paraId="45A94205" w14:textId="77777777" w:rsidR="00E97B0C" w:rsidRPr="003726BE" w:rsidRDefault="00E97B0C" w:rsidP="00A8083B">
                  <w:pPr>
                    <w:spacing w:after="0"/>
                    <w:jc w:val="center"/>
                    <w:rPr>
                      <w:rFonts w:eastAsia="Calibri" w:cs="Arial"/>
                      <w:color w:val="546393" w:themeColor="accent3"/>
                      <w:szCs w:val="18"/>
                      <w:highlight w:val="yellow"/>
                    </w:rPr>
                  </w:pPr>
                  <w:r w:rsidRPr="003726BE">
                    <w:rPr>
                      <w:color w:val="546393" w:themeColor="accent3"/>
                      <w:highlight w:val="yellow"/>
                    </w:rPr>
                    <w:t>50</w:t>
                  </w:r>
                </w:p>
              </w:tc>
            </w:tr>
            <w:tr w:rsidR="00E97B0C" w:rsidRPr="003726BE" w14:paraId="6CB511AD" w14:textId="77777777" w:rsidTr="00404839">
              <w:tc>
                <w:tcPr>
                  <w:tcW w:w="1641" w:type="dxa"/>
                  <w:shd w:val="clear" w:color="auto" w:fill="auto"/>
                </w:tcPr>
                <w:p w14:paraId="56F8C1E5" w14:textId="77777777" w:rsidR="00E97B0C" w:rsidRPr="003726BE" w:rsidRDefault="00E97B0C" w:rsidP="00A8083B">
                  <w:pPr>
                    <w:spacing w:after="0"/>
                    <w:rPr>
                      <w:rFonts w:eastAsia="Calibri" w:cs="Arial"/>
                      <w:color w:val="546393" w:themeColor="accent3"/>
                      <w:szCs w:val="18"/>
                      <w:highlight w:val="yellow"/>
                    </w:rPr>
                  </w:pPr>
                  <w:r w:rsidRPr="003726BE">
                    <w:rPr>
                      <w:color w:val="546393" w:themeColor="accent3"/>
                      <w:highlight w:val="yellow"/>
                    </w:rPr>
                    <w:t>M 6.3</w:t>
                  </w:r>
                </w:p>
              </w:tc>
              <w:tc>
                <w:tcPr>
                  <w:tcW w:w="1324" w:type="dxa"/>
                  <w:shd w:val="clear" w:color="auto" w:fill="auto"/>
                </w:tcPr>
                <w:p w14:paraId="2033579E" w14:textId="77777777" w:rsidR="00E97B0C" w:rsidRPr="003726BE" w:rsidRDefault="00E97B0C" w:rsidP="00A8083B">
                  <w:pPr>
                    <w:spacing w:after="0"/>
                    <w:jc w:val="center"/>
                    <w:rPr>
                      <w:rFonts w:eastAsia="Calibri" w:cs="Arial"/>
                      <w:color w:val="546393" w:themeColor="accent3"/>
                      <w:szCs w:val="18"/>
                      <w:highlight w:val="yellow"/>
                    </w:rPr>
                  </w:pPr>
                  <w:r w:rsidRPr="003726BE">
                    <w:rPr>
                      <w:color w:val="546393" w:themeColor="accent3"/>
                      <w:highlight w:val="yellow"/>
                    </w:rPr>
                    <w:t>68</w:t>
                  </w:r>
                </w:p>
              </w:tc>
            </w:tr>
            <w:tr w:rsidR="00E97B0C" w:rsidRPr="003726BE" w14:paraId="33DF31ED" w14:textId="77777777" w:rsidTr="00404839">
              <w:tc>
                <w:tcPr>
                  <w:tcW w:w="1641" w:type="dxa"/>
                  <w:shd w:val="clear" w:color="auto" w:fill="auto"/>
                </w:tcPr>
                <w:p w14:paraId="79740C69" w14:textId="77777777" w:rsidR="00E97B0C" w:rsidRPr="003726BE" w:rsidRDefault="00E97B0C" w:rsidP="00A8083B">
                  <w:pPr>
                    <w:spacing w:after="0"/>
                    <w:rPr>
                      <w:rFonts w:eastAsia="Calibri" w:cs="Arial"/>
                      <w:color w:val="546393" w:themeColor="accent3"/>
                      <w:szCs w:val="18"/>
                      <w:highlight w:val="yellow"/>
                    </w:rPr>
                  </w:pPr>
                  <w:r w:rsidRPr="003726BE">
                    <w:rPr>
                      <w:color w:val="546393" w:themeColor="accent3"/>
                      <w:highlight w:val="yellow"/>
                    </w:rPr>
                    <w:t xml:space="preserve">M 1.1 </w:t>
                  </w:r>
                </w:p>
              </w:tc>
              <w:tc>
                <w:tcPr>
                  <w:tcW w:w="1324" w:type="dxa"/>
                  <w:shd w:val="clear" w:color="auto" w:fill="auto"/>
                </w:tcPr>
                <w:p w14:paraId="740D0E01" w14:textId="77777777" w:rsidR="00E97B0C" w:rsidRPr="003726BE" w:rsidRDefault="00E97B0C" w:rsidP="00A8083B">
                  <w:pPr>
                    <w:spacing w:after="0"/>
                    <w:jc w:val="center"/>
                    <w:rPr>
                      <w:rFonts w:eastAsia="Calibri" w:cs="Arial"/>
                      <w:color w:val="546393" w:themeColor="accent3"/>
                      <w:szCs w:val="18"/>
                      <w:highlight w:val="yellow"/>
                    </w:rPr>
                  </w:pPr>
                  <w:r w:rsidRPr="003726BE">
                    <w:rPr>
                      <w:color w:val="546393" w:themeColor="accent3"/>
                      <w:highlight w:val="yellow"/>
                    </w:rPr>
                    <w:t>25</w:t>
                  </w:r>
                </w:p>
              </w:tc>
            </w:tr>
            <w:tr w:rsidR="00E97B0C" w:rsidRPr="003726BE" w14:paraId="124F9F88" w14:textId="77777777" w:rsidTr="00404839">
              <w:tc>
                <w:tcPr>
                  <w:tcW w:w="1641" w:type="dxa"/>
                  <w:shd w:val="clear" w:color="auto" w:fill="auto"/>
                </w:tcPr>
                <w:p w14:paraId="148B2ACA" w14:textId="77777777" w:rsidR="00E97B0C" w:rsidRPr="003726BE" w:rsidRDefault="00E97B0C" w:rsidP="00A8083B">
                  <w:pPr>
                    <w:spacing w:after="0"/>
                    <w:rPr>
                      <w:rFonts w:eastAsia="Calibri" w:cs="Arial"/>
                      <w:color w:val="546393" w:themeColor="accent3"/>
                      <w:szCs w:val="18"/>
                      <w:highlight w:val="yellow"/>
                    </w:rPr>
                  </w:pPr>
                  <w:r w:rsidRPr="003726BE">
                    <w:rPr>
                      <w:color w:val="546393" w:themeColor="accent3"/>
                      <w:highlight w:val="yellow"/>
                    </w:rPr>
                    <w:t>M 2.1</w:t>
                  </w:r>
                </w:p>
              </w:tc>
              <w:tc>
                <w:tcPr>
                  <w:tcW w:w="1324" w:type="dxa"/>
                  <w:shd w:val="clear" w:color="auto" w:fill="auto"/>
                </w:tcPr>
                <w:p w14:paraId="39F54B1E" w14:textId="77777777" w:rsidR="00E97B0C" w:rsidRPr="003726BE" w:rsidRDefault="00E97B0C" w:rsidP="00A8083B">
                  <w:pPr>
                    <w:spacing w:after="0"/>
                    <w:jc w:val="center"/>
                    <w:rPr>
                      <w:rFonts w:eastAsia="Calibri" w:cs="Arial"/>
                      <w:color w:val="546393" w:themeColor="accent3"/>
                      <w:szCs w:val="18"/>
                      <w:highlight w:val="yellow"/>
                    </w:rPr>
                  </w:pPr>
                  <w:r w:rsidRPr="003726BE">
                    <w:rPr>
                      <w:color w:val="546393" w:themeColor="accent3"/>
                      <w:highlight w:val="yellow"/>
                    </w:rPr>
                    <w:t>480</w:t>
                  </w:r>
                </w:p>
              </w:tc>
            </w:tr>
            <w:tr w:rsidR="00E97B0C" w:rsidRPr="003726BE" w14:paraId="240E6F62" w14:textId="77777777" w:rsidTr="00404839">
              <w:tc>
                <w:tcPr>
                  <w:tcW w:w="1641" w:type="dxa"/>
                  <w:shd w:val="clear" w:color="auto" w:fill="auto"/>
                </w:tcPr>
                <w:p w14:paraId="13A7F1E3" w14:textId="77777777" w:rsidR="00E97B0C" w:rsidRPr="003726BE" w:rsidRDefault="00E97B0C" w:rsidP="00A8083B">
                  <w:pPr>
                    <w:spacing w:after="0"/>
                    <w:rPr>
                      <w:rFonts w:eastAsia="Calibri" w:cs="Arial"/>
                      <w:color w:val="546393" w:themeColor="accent3"/>
                      <w:szCs w:val="18"/>
                      <w:highlight w:val="yellow"/>
                    </w:rPr>
                  </w:pPr>
                  <w:r w:rsidRPr="003726BE">
                    <w:rPr>
                      <w:color w:val="546393" w:themeColor="accent3"/>
                      <w:highlight w:val="yellow"/>
                    </w:rPr>
                    <w:t>M 16.2</w:t>
                  </w:r>
                </w:p>
              </w:tc>
              <w:tc>
                <w:tcPr>
                  <w:tcW w:w="1324" w:type="dxa"/>
                  <w:shd w:val="clear" w:color="auto" w:fill="auto"/>
                </w:tcPr>
                <w:p w14:paraId="2CF73DE6" w14:textId="77777777" w:rsidR="00E97B0C" w:rsidRPr="003726BE" w:rsidRDefault="00E97B0C" w:rsidP="00A8083B">
                  <w:pPr>
                    <w:spacing w:after="0"/>
                    <w:jc w:val="center"/>
                    <w:rPr>
                      <w:rFonts w:eastAsia="Calibri" w:cs="Arial"/>
                      <w:color w:val="546393" w:themeColor="accent3"/>
                      <w:szCs w:val="18"/>
                      <w:highlight w:val="yellow"/>
                    </w:rPr>
                  </w:pPr>
                  <w:r w:rsidRPr="003726BE">
                    <w:rPr>
                      <w:color w:val="546393" w:themeColor="accent3"/>
                      <w:highlight w:val="yellow"/>
                    </w:rPr>
                    <w:t>0</w:t>
                  </w:r>
                </w:p>
              </w:tc>
            </w:tr>
            <w:tr w:rsidR="00E97B0C" w:rsidRPr="003726BE" w14:paraId="128179C5" w14:textId="77777777" w:rsidTr="00404839">
              <w:tc>
                <w:tcPr>
                  <w:tcW w:w="1641" w:type="dxa"/>
                  <w:shd w:val="clear" w:color="auto" w:fill="auto"/>
                </w:tcPr>
                <w:p w14:paraId="58D3B95F" w14:textId="77777777" w:rsidR="00E97B0C" w:rsidRPr="003726BE" w:rsidRDefault="00E97B0C" w:rsidP="00A8083B">
                  <w:pPr>
                    <w:spacing w:after="0"/>
                    <w:jc w:val="right"/>
                    <w:rPr>
                      <w:rFonts w:eastAsia="Calibri" w:cs="Arial"/>
                      <w:color w:val="546393" w:themeColor="accent3"/>
                      <w:szCs w:val="18"/>
                      <w:highlight w:val="yellow"/>
                    </w:rPr>
                  </w:pPr>
                  <w:r w:rsidRPr="003726BE">
                    <w:rPr>
                      <w:color w:val="546393" w:themeColor="accent3"/>
                      <w:highlight w:val="yellow"/>
                    </w:rPr>
                    <w:t>Totale</w:t>
                  </w:r>
                </w:p>
              </w:tc>
              <w:tc>
                <w:tcPr>
                  <w:tcW w:w="1324" w:type="dxa"/>
                  <w:shd w:val="clear" w:color="auto" w:fill="auto"/>
                </w:tcPr>
                <w:p w14:paraId="4D7B693F" w14:textId="77777777" w:rsidR="00E97B0C" w:rsidRPr="003726BE" w:rsidRDefault="00E97B0C" w:rsidP="00A8083B">
                  <w:pPr>
                    <w:spacing w:after="0"/>
                    <w:jc w:val="center"/>
                    <w:rPr>
                      <w:rFonts w:eastAsia="Calibri" w:cs="Arial"/>
                      <w:color w:val="546393" w:themeColor="accent3"/>
                      <w:szCs w:val="18"/>
                      <w:highlight w:val="yellow"/>
                    </w:rPr>
                  </w:pPr>
                  <w:r w:rsidRPr="003726BE">
                    <w:rPr>
                      <w:rFonts w:eastAsia="Calibri" w:cs="Arial"/>
                      <w:color w:val="546393" w:themeColor="accent3"/>
                      <w:szCs w:val="18"/>
                      <w:highlight w:val="yellow"/>
                    </w:rPr>
                    <w:fldChar w:fldCharType="begin"/>
                  </w:r>
                  <w:r w:rsidRPr="003726BE">
                    <w:rPr>
                      <w:rFonts w:eastAsia="Calibri" w:cs="Arial"/>
                      <w:color w:val="546393" w:themeColor="accent3"/>
                      <w:szCs w:val="18"/>
                      <w:highlight w:val="yellow"/>
                    </w:rPr>
                    <w:instrText xml:space="preserve"> =SUM(ABOVE) </w:instrText>
                  </w:r>
                  <w:r w:rsidRPr="003726BE">
                    <w:rPr>
                      <w:rFonts w:eastAsia="Calibri" w:cs="Arial"/>
                      <w:color w:val="546393" w:themeColor="accent3"/>
                      <w:szCs w:val="18"/>
                      <w:highlight w:val="yellow"/>
                    </w:rPr>
                    <w:fldChar w:fldCharType="separate"/>
                  </w:r>
                  <w:r w:rsidRPr="003726BE">
                    <w:rPr>
                      <w:rFonts w:eastAsia="Calibri" w:cs="Arial"/>
                      <w:noProof/>
                      <w:color w:val="546393" w:themeColor="accent3"/>
                      <w:szCs w:val="18"/>
                      <w:highlight w:val="yellow"/>
                    </w:rPr>
                    <w:t>918</w:t>
                  </w:r>
                  <w:r w:rsidRPr="003726BE">
                    <w:rPr>
                      <w:rFonts w:eastAsia="Calibri" w:cs="Arial"/>
                      <w:color w:val="546393" w:themeColor="accent3"/>
                      <w:szCs w:val="18"/>
                      <w:highlight w:val="yellow"/>
                    </w:rPr>
                    <w:fldChar w:fldCharType="end"/>
                  </w:r>
                </w:p>
              </w:tc>
            </w:tr>
          </w:tbl>
          <w:p w14:paraId="0C2932EA" w14:textId="77777777" w:rsidR="00A8083B" w:rsidRPr="003726BE" w:rsidRDefault="00A8083B" w:rsidP="00A8083B">
            <w:pPr>
              <w:tabs>
                <w:tab w:val="left" w:pos="1530"/>
              </w:tabs>
              <w:rPr>
                <w:rFonts w:cs="Arial"/>
                <w:b/>
                <w:szCs w:val="18"/>
                <w:highlight w:val="yellow"/>
              </w:rPr>
            </w:pPr>
            <w:r w:rsidRPr="003726BE">
              <w:rPr>
                <w:b/>
                <w:color w:val="373737" w:themeColor="background1" w:themeShade="40"/>
                <w:highlight w:val="yellow"/>
              </w:rPr>
              <w:t>Misure programmate ai sensi di altri FA che mostrano contributi secondari al FA 2A</w:t>
            </w:r>
            <w:r w:rsidRPr="003726BE">
              <w:rPr>
                <w:rStyle w:val="FootnoteReference"/>
                <w:highlight w:val="yellow"/>
              </w:rPr>
              <w:footnoteReference w:id="103"/>
            </w:r>
            <w:r w:rsidRPr="003726BE">
              <w:rPr>
                <w:b/>
                <w:color w:val="373737" w:themeColor="background1" w:themeShade="40"/>
                <w:highlight w:val="yellow"/>
              </w:rPr>
              <w:t>:</w:t>
            </w:r>
            <w:r w:rsidRPr="003726BE">
              <w:rPr>
                <w:b/>
                <w:highlight w:val="yellow"/>
              </w:rPr>
              <w:t xml:space="preserve"> </w:t>
            </w:r>
          </w:p>
          <w:p w14:paraId="23930544" w14:textId="77777777" w:rsidR="00A8083B" w:rsidRPr="003726BE" w:rsidRDefault="00A8083B" w:rsidP="00A8083B">
            <w:pPr>
              <w:tabs>
                <w:tab w:val="left" w:pos="1530"/>
              </w:tabs>
              <w:spacing w:after="60"/>
              <w:rPr>
                <w:rFonts w:cs="Arial"/>
                <w:b/>
                <w:color w:val="546393" w:themeColor="accent3"/>
                <w:szCs w:val="18"/>
                <w:highlight w:val="yellow"/>
              </w:rPr>
            </w:pPr>
            <w:r w:rsidRPr="003726BE">
              <w:rPr>
                <w:b/>
                <w:color w:val="546393" w:themeColor="accent3"/>
                <w:highlight w:val="yellow"/>
              </w:rPr>
              <w:t>FA 3A: M4.2, M9</w:t>
            </w:r>
          </w:p>
          <w:p w14:paraId="5A3DB567" w14:textId="77777777" w:rsidR="00A8083B" w:rsidRPr="003726BE" w:rsidRDefault="00A8083B" w:rsidP="00A8083B">
            <w:pPr>
              <w:tabs>
                <w:tab w:val="left" w:pos="1530"/>
              </w:tabs>
              <w:spacing w:after="60"/>
              <w:rPr>
                <w:rFonts w:cs="Arial"/>
                <w:b/>
                <w:color w:val="546393" w:themeColor="accent3"/>
                <w:szCs w:val="18"/>
                <w:highlight w:val="yellow"/>
              </w:rPr>
            </w:pPr>
            <w:r w:rsidRPr="003726BE">
              <w:rPr>
                <w:b/>
                <w:color w:val="546393" w:themeColor="accent3"/>
                <w:highlight w:val="yellow"/>
              </w:rPr>
              <w:t>FA P4: M9, M10, M11, M13</w:t>
            </w:r>
          </w:p>
          <w:p w14:paraId="0C651700" w14:textId="77777777" w:rsidR="00A8083B" w:rsidRPr="003726BE" w:rsidRDefault="00A8083B" w:rsidP="00A8083B">
            <w:pPr>
              <w:tabs>
                <w:tab w:val="left" w:pos="1530"/>
              </w:tabs>
              <w:spacing w:after="60"/>
              <w:rPr>
                <w:rFonts w:cs="Arial"/>
                <w:b/>
                <w:color w:val="546393" w:themeColor="accent3"/>
                <w:szCs w:val="18"/>
                <w:highlight w:val="yellow"/>
              </w:rPr>
            </w:pPr>
            <w:r w:rsidRPr="003726BE">
              <w:rPr>
                <w:b/>
                <w:color w:val="546393" w:themeColor="accent3"/>
                <w:highlight w:val="yellow"/>
              </w:rPr>
              <w:t>FA 5B: M4.1</w:t>
            </w:r>
          </w:p>
          <w:p w14:paraId="1D3001AA" w14:textId="77777777" w:rsidR="00A8083B" w:rsidRPr="003726BE" w:rsidRDefault="00A8083B" w:rsidP="00A8083B">
            <w:pPr>
              <w:tabs>
                <w:tab w:val="left" w:pos="1530"/>
              </w:tabs>
              <w:spacing w:after="60"/>
              <w:rPr>
                <w:rFonts w:cs="Arial"/>
                <w:b/>
                <w:color w:val="546393" w:themeColor="accent3"/>
                <w:szCs w:val="18"/>
                <w:highlight w:val="yellow"/>
              </w:rPr>
            </w:pPr>
            <w:r w:rsidRPr="003726BE">
              <w:rPr>
                <w:b/>
                <w:color w:val="546393" w:themeColor="accent3"/>
                <w:highlight w:val="yellow"/>
              </w:rPr>
              <w:t>FA 5C: M4.1</w:t>
            </w:r>
          </w:p>
          <w:p w14:paraId="55BCA61B" w14:textId="77777777" w:rsidR="00A8083B" w:rsidRPr="003726BE" w:rsidRDefault="00404839" w:rsidP="00A8083B">
            <w:pPr>
              <w:spacing w:after="0"/>
              <w:rPr>
                <w:rFonts w:cs="Arial"/>
                <w:color w:val="546393" w:themeColor="accent3"/>
                <w:szCs w:val="18"/>
                <w:highlight w:val="yellow"/>
              </w:rPr>
            </w:pPr>
            <w:r w:rsidRPr="003726BE">
              <w:rPr>
                <w:color w:val="546393" w:themeColor="accent3"/>
                <w:highlight w:val="yellow"/>
              </w:rPr>
              <w:t>Tabella 2: Livello di utilizzo delle misure con contributi secondari al FA 2A (fino alla fine del 2016)</w:t>
            </w:r>
          </w:p>
          <w:tbl>
            <w:tblPr>
              <w:tblW w:w="0" w:type="auto"/>
              <w:tblBorders>
                <w:top w:val="single" w:sz="4" w:space="0" w:color="546393" w:themeColor="accent3"/>
                <w:left w:val="single" w:sz="4" w:space="0" w:color="546393" w:themeColor="accent3"/>
                <w:bottom w:val="single" w:sz="4" w:space="0" w:color="546393" w:themeColor="accent3"/>
                <w:right w:val="single" w:sz="4" w:space="0" w:color="546393" w:themeColor="accent3"/>
                <w:insideH w:val="single" w:sz="4" w:space="0" w:color="546393" w:themeColor="accent3"/>
                <w:insideV w:val="single" w:sz="4" w:space="0" w:color="546393" w:themeColor="accent3"/>
              </w:tblBorders>
              <w:tblLayout w:type="fixed"/>
              <w:tblLook w:val="04A0" w:firstRow="1" w:lastRow="0" w:firstColumn="1" w:lastColumn="0" w:noHBand="0" w:noVBand="1"/>
            </w:tblPr>
            <w:tblGrid>
              <w:gridCol w:w="1641"/>
              <w:gridCol w:w="1324"/>
            </w:tblGrid>
            <w:tr w:rsidR="00CD60CF" w:rsidRPr="003726BE" w14:paraId="36E08190" w14:textId="77777777" w:rsidTr="00404839">
              <w:tc>
                <w:tcPr>
                  <w:tcW w:w="1641" w:type="dxa"/>
                  <w:shd w:val="clear" w:color="auto" w:fill="auto"/>
                </w:tcPr>
                <w:p w14:paraId="413D415C" w14:textId="77777777" w:rsidR="00CD60CF" w:rsidRPr="003726BE" w:rsidRDefault="00CD60CF" w:rsidP="00A8083B">
                  <w:pPr>
                    <w:spacing w:after="0"/>
                    <w:rPr>
                      <w:rFonts w:eastAsia="Calibri" w:cs="Arial"/>
                      <w:color w:val="546393" w:themeColor="accent3"/>
                      <w:szCs w:val="18"/>
                      <w:highlight w:val="yellow"/>
                    </w:rPr>
                  </w:pPr>
                  <w:r w:rsidRPr="003726BE">
                    <w:rPr>
                      <w:color w:val="546393" w:themeColor="accent3"/>
                      <w:highlight w:val="yellow"/>
                    </w:rPr>
                    <w:t xml:space="preserve">Misura </w:t>
                  </w:r>
                </w:p>
              </w:tc>
              <w:tc>
                <w:tcPr>
                  <w:tcW w:w="1324" w:type="dxa"/>
                  <w:shd w:val="clear" w:color="auto" w:fill="auto"/>
                </w:tcPr>
                <w:p w14:paraId="17CD37C0" w14:textId="77777777" w:rsidR="00CD60CF" w:rsidRPr="003726BE" w:rsidRDefault="00CD60CF" w:rsidP="00A8083B">
                  <w:pPr>
                    <w:spacing w:after="0"/>
                    <w:jc w:val="center"/>
                    <w:rPr>
                      <w:rFonts w:eastAsia="Calibri" w:cs="Arial"/>
                      <w:color w:val="546393" w:themeColor="accent3"/>
                      <w:szCs w:val="18"/>
                      <w:highlight w:val="yellow"/>
                    </w:rPr>
                  </w:pPr>
                  <w:r w:rsidRPr="003726BE">
                    <w:rPr>
                      <w:color w:val="546393" w:themeColor="accent3"/>
                      <w:highlight w:val="yellow"/>
                    </w:rPr>
                    <w:t>N. totale di operazioni</w:t>
                  </w:r>
                </w:p>
              </w:tc>
            </w:tr>
            <w:tr w:rsidR="00CD60CF" w:rsidRPr="003726BE" w14:paraId="14BD1D68" w14:textId="77777777" w:rsidTr="00404839">
              <w:tc>
                <w:tcPr>
                  <w:tcW w:w="1641" w:type="dxa"/>
                  <w:shd w:val="clear" w:color="auto" w:fill="auto"/>
                </w:tcPr>
                <w:p w14:paraId="5DD74FB8" w14:textId="77777777" w:rsidR="00CD60CF" w:rsidRPr="003726BE" w:rsidRDefault="00CD60CF" w:rsidP="00A8083B">
                  <w:pPr>
                    <w:spacing w:after="0"/>
                    <w:rPr>
                      <w:rFonts w:eastAsia="Calibri" w:cs="Arial"/>
                      <w:color w:val="546393" w:themeColor="accent3"/>
                      <w:szCs w:val="18"/>
                      <w:highlight w:val="yellow"/>
                    </w:rPr>
                  </w:pPr>
                  <w:r w:rsidRPr="003726BE">
                    <w:rPr>
                      <w:color w:val="546393" w:themeColor="accent3"/>
                      <w:highlight w:val="yellow"/>
                    </w:rPr>
                    <w:t>M 4.1 (5B)</w:t>
                  </w:r>
                </w:p>
              </w:tc>
              <w:tc>
                <w:tcPr>
                  <w:tcW w:w="1324" w:type="dxa"/>
                  <w:shd w:val="clear" w:color="auto" w:fill="auto"/>
                </w:tcPr>
                <w:p w14:paraId="1108AC0D" w14:textId="77777777" w:rsidR="00CD60CF" w:rsidRPr="003726BE" w:rsidRDefault="00CD60CF" w:rsidP="00A8083B">
                  <w:pPr>
                    <w:spacing w:after="0"/>
                    <w:jc w:val="center"/>
                    <w:rPr>
                      <w:rFonts w:eastAsia="Calibri" w:cs="Arial"/>
                      <w:color w:val="546393" w:themeColor="accent3"/>
                      <w:szCs w:val="18"/>
                      <w:highlight w:val="yellow"/>
                    </w:rPr>
                  </w:pPr>
                  <w:r w:rsidRPr="003726BE">
                    <w:rPr>
                      <w:color w:val="546393" w:themeColor="accent3"/>
                      <w:highlight w:val="yellow"/>
                    </w:rPr>
                    <w:t>75</w:t>
                  </w:r>
                </w:p>
              </w:tc>
            </w:tr>
            <w:tr w:rsidR="00CD60CF" w:rsidRPr="003726BE" w14:paraId="0163C558" w14:textId="77777777" w:rsidTr="00404839">
              <w:tc>
                <w:tcPr>
                  <w:tcW w:w="1641" w:type="dxa"/>
                  <w:shd w:val="clear" w:color="auto" w:fill="auto"/>
                </w:tcPr>
                <w:p w14:paraId="361DD87A" w14:textId="77777777" w:rsidR="00CD60CF" w:rsidRPr="003726BE" w:rsidRDefault="00CD60CF" w:rsidP="00A8083B">
                  <w:pPr>
                    <w:spacing w:after="0"/>
                    <w:rPr>
                      <w:rFonts w:eastAsia="Calibri" w:cs="Arial"/>
                      <w:color w:val="546393" w:themeColor="accent3"/>
                      <w:szCs w:val="18"/>
                      <w:highlight w:val="yellow"/>
                    </w:rPr>
                  </w:pPr>
                  <w:r w:rsidRPr="003726BE">
                    <w:rPr>
                      <w:color w:val="546393" w:themeColor="accent3"/>
                      <w:highlight w:val="yellow"/>
                    </w:rPr>
                    <w:t>M 4.1 (5C)</w:t>
                  </w:r>
                </w:p>
              </w:tc>
              <w:tc>
                <w:tcPr>
                  <w:tcW w:w="1324" w:type="dxa"/>
                  <w:shd w:val="clear" w:color="auto" w:fill="auto"/>
                </w:tcPr>
                <w:p w14:paraId="0DAB5836" w14:textId="77777777" w:rsidR="00CD60CF" w:rsidRPr="003726BE" w:rsidRDefault="00CD60CF" w:rsidP="00A8083B">
                  <w:pPr>
                    <w:spacing w:after="0"/>
                    <w:jc w:val="center"/>
                    <w:rPr>
                      <w:rFonts w:eastAsia="Calibri" w:cs="Arial"/>
                      <w:color w:val="546393" w:themeColor="accent3"/>
                      <w:szCs w:val="18"/>
                      <w:highlight w:val="yellow"/>
                    </w:rPr>
                  </w:pPr>
                  <w:r w:rsidRPr="003726BE">
                    <w:rPr>
                      <w:color w:val="546393" w:themeColor="accent3"/>
                      <w:highlight w:val="yellow"/>
                    </w:rPr>
                    <w:t>51</w:t>
                  </w:r>
                </w:p>
              </w:tc>
            </w:tr>
            <w:tr w:rsidR="00CD60CF" w:rsidRPr="003726BE" w14:paraId="442FA9A7" w14:textId="77777777" w:rsidTr="00404839">
              <w:tc>
                <w:tcPr>
                  <w:tcW w:w="1641" w:type="dxa"/>
                  <w:shd w:val="clear" w:color="auto" w:fill="auto"/>
                </w:tcPr>
                <w:p w14:paraId="6B967D82" w14:textId="77777777" w:rsidR="00CD60CF" w:rsidRPr="003726BE" w:rsidRDefault="00CD60CF" w:rsidP="00A8083B">
                  <w:pPr>
                    <w:spacing w:after="0"/>
                    <w:rPr>
                      <w:rFonts w:eastAsia="Calibri" w:cs="Arial"/>
                      <w:color w:val="546393" w:themeColor="accent3"/>
                      <w:szCs w:val="18"/>
                      <w:highlight w:val="yellow"/>
                    </w:rPr>
                  </w:pPr>
                  <w:r w:rsidRPr="003726BE">
                    <w:rPr>
                      <w:color w:val="546393" w:themeColor="accent3"/>
                      <w:highlight w:val="yellow"/>
                    </w:rPr>
                    <w:t>M 4.2 (3A)</w:t>
                  </w:r>
                </w:p>
              </w:tc>
              <w:tc>
                <w:tcPr>
                  <w:tcW w:w="1324" w:type="dxa"/>
                  <w:shd w:val="clear" w:color="auto" w:fill="auto"/>
                </w:tcPr>
                <w:p w14:paraId="5CEB2678" w14:textId="77777777" w:rsidR="00CD60CF" w:rsidRPr="003726BE" w:rsidRDefault="00CD60CF" w:rsidP="00A8083B">
                  <w:pPr>
                    <w:spacing w:after="0"/>
                    <w:jc w:val="center"/>
                    <w:rPr>
                      <w:rFonts w:eastAsia="Calibri" w:cs="Arial"/>
                      <w:color w:val="546393" w:themeColor="accent3"/>
                      <w:szCs w:val="18"/>
                      <w:highlight w:val="yellow"/>
                    </w:rPr>
                  </w:pPr>
                  <w:r w:rsidRPr="003726BE">
                    <w:rPr>
                      <w:color w:val="546393" w:themeColor="accent3"/>
                      <w:highlight w:val="yellow"/>
                    </w:rPr>
                    <w:t>208</w:t>
                  </w:r>
                </w:p>
              </w:tc>
            </w:tr>
            <w:tr w:rsidR="00CD60CF" w:rsidRPr="003726BE" w14:paraId="4DA97AE8" w14:textId="77777777" w:rsidTr="00404839">
              <w:tc>
                <w:tcPr>
                  <w:tcW w:w="1641" w:type="dxa"/>
                  <w:shd w:val="clear" w:color="auto" w:fill="auto"/>
                </w:tcPr>
                <w:p w14:paraId="738C4042" w14:textId="77777777" w:rsidR="00CD60CF" w:rsidRPr="003726BE" w:rsidRDefault="00CD60CF" w:rsidP="00A8083B">
                  <w:pPr>
                    <w:spacing w:after="0"/>
                    <w:rPr>
                      <w:rFonts w:eastAsia="Calibri" w:cs="Arial"/>
                      <w:color w:val="546393" w:themeColor="accent3"/>
                      <w:szCs w:val="18"/>
                      <w:highlight w:val="yellow"/>
                    </w:rPr>
                  </w:pPr>
                  <w:r w:rsidRPr="003726BE">
                    <w:rPr>
                      <w:color w:val="546393" w:themeColor="accent3"/>
                      <w:highlight w:val="yellow"/>
                    </w:rPr>
                    <w:t>M 9    (3A)</w:t>
                  </w:r>
                </w:p>
              </w:tc>
              <w:tc>
                <w:tcPr>
                  <w:tcW w:w="1324" w:type="dxa"/>
                  <w:shd w:val="clear" w:color="auto" w:fill="auto"/>
                </w:tcPr>
                <w:p w14:paraId="37157800" w14:textId="77777777" w:rsidR="00CD60CF" w:rsidRPr="003726BE" w:rsidRDefault="00CD60CF" w:rsidP="00A8083B">
                  <w:pPr>
                    <w:spacing w:after="0"/>
                    <w:jc w:val="center"/>
                    <w:rPr>
                      <w:rFonts w:eastAsia="Calibri" w:cs="Arial"/>
                      <w:color w:val="546393" w:themeColor="accent3"/>
                      <w:szCs w:val="18"/>
                      <w:highlight w:val="yellow"/>
                    </w:rPr>
                  </w:pPr>
                  <w:r w:rsidRPr="003726BE">
                    <w:rPr>
                      <w:color w:val="546393" w:themeColor="accent3"/>
                      <w:highlight w:val="yellow"/>
                    </w:rPr>
                    <w:t>39</w:t>
                  </w:r>
                </w:p>
              </w:tc>
            </w:tr>
            <w:tr w:rsidR="00CD60CF" w:rsidRPr="003726BE" w14:paraId="19F84957" w14:textId="77777777" w:rsidTr="00404839">
              <w:tc>
                <w:tcPr>
                  <w:tcW w:w="1641" w:type="dxa"/>
                  <w:shd w:val="clear" w:color="auto" w:fill="F2F2F2"/>
                </w:tcPr>
                <w:p w14:paraId="79DCE720" w14:textId="77777777" w:rsidR="00CD60CF" w:rsidRPr="003726BE" w:rsidRDefault="00CD60CF" w:rsidP="00A8083B">
                  <w:pPr>
                    <w:spacing w:after="0"/>
                    <w:rPr>
                      <w:rFonts w:eastAsia="Calibri" w:cs="Arial"/>
                      <w:color w:val="546393" w:themeColor="accent3"/>
                      <w:szCs w:val="18"/>
                      <w:highlight w:val="yellow"/>
                    </w:rPr>
                  </w:pPr>
                  <w:r w:rsidRPr="003726BE">
                    <w:rPr>
                      <w:color w:val="546393" w:themeColor="accent3"/>
                      <w:highlight w:val="yellow"/>
                    </w:rPr>
                    <w:t>M 10  (P4)</w:t>
                  </w:r>
                </w:p>
              </w:tc>
              <w:tc>
                <w:tcPr>
                  <w:tcW w:w="1324" w:type="dxa"/>
                  <w:shd w:val="clear" w:color="auto" w:fill="F2F2F2"/>
                </w:tcPr>
                <w:p w14:paraId="3ED8B082" w14:textId="77777777" w:rsidR="00CD60CF" w:rsidRPr="003726BE" w:rsidRDefault="00CD60CF" w:rsidP="00A8083B">
                  <w:pPr>
                    <w:spacing w:after="0"/>
                    <w:jc w:val="center"/>
                    <w:rPr>
                      <w:rFonts w:eastAsia="Calibri" w:cs="Arial"/>
                      <w:color w:val="546393" w:themeColor="accent3"/>
                      <w:szCs w:val="18"/>
                      <w:highlight w:val="yellow"/>
                    </w:rPr>
                  </w:pPr>
                  <w:r w:rsidRPr="003726BE">
                    <w:rPr>
                      <w:color w:val="546393" w:themeColor="accent3"/>
                      <w:highlight w:val="yellow"/>
                    </w:rPr>
                    <w:t>300</w:t>
                  </w:r>
                </w:p>
              </w:tc>
            </w:tr>
            <w:tr w:rsidR="00CD60CF" w:rsidRPr="003726BE" w14:paraId="30E9C99A" w14:textId="77777777" w:rsidTr="00404839">
              <w:tc>
                <w:tcPr>
                  <w:tcW w:w="1641" w:type="dxa"/>
                  <w:shd w:val="clear" w:color="auto" w:fill="F2F2F2"/>
                </w:tcPr>
                <w:p w14:paraId="65224779" w14:textId="77777777" w:rsidR="00CD60CF" w:rsidRPr="003726BE" w:rsidRDefault="00CD60CF" w:rsidP="00A8083B">
                  <w:pPr>
                    <w:spacing w:after="0"/>
                    <w:rPr>
                      <w:rFonts w:eastAsia="Calibri" w:cs="Arial"/>
                      <w:color w:val="546393" w:themeColor="accent3"/>
                      <w:szCs w:val="18"/>
                      <w:highlight w:val="yellow"/>
                    </w:rPr>
                  </w:pPr>
                  <w:r w:rsidRPr="003726BE">
                    <w:rPr>
                      <w:color w:val="546393" w:themeColor="accent3"/>
                      <w:highlight w:val="yellow"/>
                    </w:rPr>
                    <w:t>M 11  (P4)</w:t>
                  </w:r>
                </w:p>
              </w:tc>
              <w:tc>
                <w:tcPr>
                  <w:tcW w:w="1324" w:type="dxa"/>
                  <w:shd w:val="clear" w:color="auto" w:fill="F2F2F2"/>
                </w:tcPr>
                <w:p w14:paraId="1C422749" w14:textId="77777777" w:rsidR="00CD60CF" w:rsidRPr="003726BE" w:rsidRDefault="00CD60CF" w:rsidP="00A8083B">
                  <w:pPr>
                    <w:spacing w:after="0"/>
                    <w:jc w:val="center"/>
                    <w:rPr>
                      <w:rFonts w:eastAsia="Calibri" w:cs="Arial"/>
                      <w:color w:val="546393" w:themeColor="accent3"/>
                      <w:szCs w:val="18"/>
                      <w:highlight w:val="yellow"/>
                    </w:rPr>
                  </w:pPr>
                  <w:r w:rsidRPr="003726BE">
                    <w:rPr>
                      <w:color w:val="546393" w:themeColor="accent3"/>
                      <w:highlight w:val="yellow"/>
                    </w:rPr>
                    <w:t>180</w:t>
                  </w:r>
                </w:p>
              </w:tc>
            </w:tr>
            <w:tr w:rsidR="00CD60CF" w:rsidRPr="003726BE" w14:paraId="0B7C6408" w14:textId="77777777" w:rsidTr="00404839">
              <w:tc>
                <w:tcPr>
                  <w:tcW w:w="1641" w:type="dxa"/>
                  <w:shd w:val="clear" w:color="auto" w:fill="F2F2F2"/>
                </w:tcPr>
                <w:p w14:paraId="13E7E79F" w14:textId="77777777" w:rsidR="00CD60CF" w:rsidRPr="003726BE" w:rsidRDefault="00CD60CF" w:rsidP="00A8083B">
                  <w:pPr>
                    <w:spacing w:after="0"/>
                    <w:rPr>
                      <w:rFonts w:eastAsia="Calibri" w:cs="Arial"/>
                      <w:color w:val="546393" w:themeColor="accent3"/>
                      <w:szCs w:val="18"/>
                      <w:highlight w:val="yellow"/>
                    </w:rPr>
                  </w:pPr>
                  <w:r w:rsidRPr="003726BE">
                    <w:rPr>
                      <w:color w:val="546393" w:themeColor="accent3"/>
                      <w:highlight w:val="yellow"/>
                    </w:rPr>
                    <w:t>M 13  (P4)</w:t>
                  </w:r>
                </w:p>
              </w:tc>
              <w:tc>
                <w:tcPr>
                  <w:tcW w:w="1324" w:type="dxa"/>
                  <w:shd w:val="clear" w:color="auto" w:fill="F2F2F2"/>
                </w:tcPr>
                <w:p w14:paraId="6D6309D0" w14:textId="77777777" w:rsidR="00CD60CF" w:rsidRPr="003726BE" w:rsidRDefault="00CD60CF" w:rsidP="00A8083B">
                  <w:pPr>
                    <w:spacing w:after="0"/>
                    <w:jc w:val="center"/>
                    <w:rPr>
                      <w:rFonts w:eastAsia="Calibri" w:cs="Arial"/>
                      <w:color w:val="546393" w:themeColor="accent3"/>
                      <w:szCs w:val="18"/>
                      <w:highlight w:val="yellow"/>
                    </w:rPr>
                  </w:pPr>
                  <w:r w:rsidRPr="003726BE">
                    <w:rPr>
                      <w:color w:val="546393" w:themeColor="accent3"/>
                      <w:highlight w:val="yellow"/>
                    </w:rPr>
                    <w:t>375</w:t>
                  </w:r>
                </w:p>
              </w:tc>
            </w:tr>
            <w:tr w:rsidR="00CD60CF" w:rsidRPr="003726BE" w14:paraId="27525DED" w14:textId="77777777" w:rsidTr="00404839">
              <w:tc>
                <w:tcPr>
                  <w:tcW w:w="1641" w:type="dxa"/>
                  <w:shd w:val="clear" w:color="auto" w:fill="F2F2F2"/>
                </w:tcPr>
                <w:p w14:paraId="3E1636F0" w14:textId="77777777" w:rsidR="00CD60CF" w:rsidRPr="003726BE" w:rsidRDefault="00CD60CF" w:rsidP="00A8083B">
                  <w:pPr>
                    <w:spacing w:after="0"/>
                    <w:jc w:val="right"/>
                    <w:rPr>
                      <w:rFonts w:eastAsia="Calibri" w:cs="Arial"/>
                      <w:color w:val="546393" w:themeColor="accent3"/>
                      <w:szCs w:val="18"/>
                      <w:highlight w:val="yellow"/>
                    </w:rPr>
                  </w:pPr>
                  <w:r w:rsidRPr="003726BE">
                    <w:rPr>
                      <w:color w:val="546393" w:themeColor="accent3"/>
                      <w:highlight w:val="yellow"/>
                    </w:rPr>
                    <w:t>Totale</w:t>
                  </w:r>
                </w:p>
              </w:tc>
              <w:tc>
                <w:tcPr>
                  <w:tcW w:w="1324" w:type="dxa"/>
                  <w:shd w:val="clear" w:color="auto" w:fill="F2F2F2"/>
                </w:tcPr>
                <w:p w14:paraId="3E53939A" w14:textId="77777777" w:rsidR="00CD60CF" w:rsidRPr="003726BE" w:rsidRDefault="00CD60CF" w:rsidP="00A8083B">
                  <w:pPr>
                    <w:spacing w:after="0"/>
                    <w:jc w:val="center"/>
                    <w:rPr>
                      <w:rFonts w:eastAsia="Calibri" w:cs="Arial"/>
                      <w:color w:val="546393" w:themeColor="accent3"/>
                      <w:szCs w:val="18"/>
                      <w:highlight w:val="yellow"/>
                    </w:rPr>
                  </w:pPr>
                  <w:r w:rsidRPr="003726BE">
                    <w:rPr>
                      <w:color w:val="546393" w:themeColor="accent3"/>
                      <w:highlight w:val="yellow"/>
                    </w:rPr>
                    <w:t>1 228</w:t>
                  </w:r>
                </w:p>
              </w:tc>
            </w:tr>
          </w:tbl>
          <w:p w14:paraId="1DEA24EB" w14:textId="77777777" w:rsidR="00A8083B" w:rsidRPr="00994A9F" w:rsidRDefault="00585BEE" w:rsidP="00A8083B">
            <w:pPr>
              <w:spacing w:after="0"/>
              <w:rPr>
                <w:rFonts w:cs="Arial"/>
                <w:i/>
                <w:color w:val="546393" w:themeColor="accent3"/>
                <w:szCs w:val="18"/>
                <w:highlight w:val="yellow"/>
              </w:rPr>
            </w:pPr>
            <w:r w:rsidRPr="00994A9F">
              <w:rPr>
                <w:i/>
                <w:color w:val="546393" w:themeColor="accent3"/>
                <w:highlight w:val="yellow"/>
              </w:rPr>
              <w:t xml:space="preserve">NB: </w:t>
            </w:r>
            <w:r w:rsidR="00A8083B" w:rsidRPr="00994A9F">
              <w:rPr>
                <w:i/>
                <w:color w:val="546393" w:themeColor="accent3"/>
                <w:highlight w:val="yellow"/>
              </w:rPr>
              <w:t>Nelle tabelle che precedono sono stati considerati solo progetti/operazioni finalizzati. Il livello di utilizzo e gli importi versati nel quadro di operazioni</w:t>
            </w:r>
            <w:r w:rsidRPr="00994A9F">
              <w:rPr>
                <w:i/>
                <w:color w:val="546393" w:themeColor="accent3"/>
                <w:highlight w:val="yellow"/>
              </w:rPr>
              <w:t xml:space="preserve"> non vanno menzionati qui</w:t>
            </w:r>
            <w:r w:rsidR="00A8083B" w:rsidRPr="00994A9F">
              <w:rPr>
                <w:i/>
                <w:color w:val="546393" w:themeColor="accent3"/>
                <w:highlight w:val="yellow"/>
              </w:rPr>
              <w:t>.</w:t>
            </w:r>
            <w:r w:rsidRPr="00994A9F">
              <w:rPr>
                <w:i/>
                <w:color w:val="546393" w:themeColor="accent3"/>
                <w:highlight w:val="yellow"/>
              </w:rPr>
              <w:t xml:space="preserve"> </w:t>
            </w:r>
            <w:r w:rsidR="008860BE" w:rsidRPr="00994A9F">
              <w:rPr>
                <w:i/>
                <w:color w:val="546393" w:themeColor="accent3"/>
                <w:highlight w:val="yellow"/>
              </w:rPr>
              <w:t>Tali</w:t>
            </w:r>
            <w:r w:rsidRPr="00994A9F">
              <w:rPr>
                <w:i/>
                <w:color w:val="546393" w:themeColor="accent3"/>
                <w:highlight w:val="yellow"/>
              </w:rPr>
              <w:t xml:space="preserve"> informazioni sono utili ai fini del calcolo degli indicatori sulla base delle operazioni eseguite nel quadro delle misure/sottomisure che contribuiscono</w:t>
            </w:r>
            <w:r w:rsidR="00781E88" w:rsidRPr="00994A9F">
              <w:rPr>
                <w:i/>
                <w:color w:val="546393" w:themeColor="accent3"/>
                <w:highlight w:val="yellow"/>
              </w:rPr>
              <w:t xml:space="preserve"> in via</w:t>
            </w:r>
            <w:r w:rsidRPr="00994A9F">
              <w:rPr>
                <w:i/>
                <w:color w:val="546393" w:themeColor="accent3"/>
                <w:highlight w:val="yellow"/>
              </w:rPr>
              <w:t xml:space="preserve"> primaria</w:t>
            </w:r>
            <w:r w:rsidR="00781E88" w:rsidRPr="00994A9F">
              <w:rPr>
                <w:i/>
                <w:color w:val="546393" w:themeColor="accent3"/>
                <w:highlight w:val="yellow"/>
              </w:rPr>
              <w:t xml:space="preserve"> </w:t>
            </w:r>
            <w:r w:rsidRPr="00994A9F">
              <w:rPr>
                <w:i/>
                <w:color w:val="546393" w:themeColor="accent3"/>
                <w:highlight w:val="yellow"/>
              </w:rPr>
              <w:t xml:space="preserve">o secondaria all’aspetto specifico e </w:t>
            </w:r>
            <w:r w:rsidR="008860BE" w:rsidRPr="00994A9F">
              <w:rPr>
                <w:i/>
                <w:color w:val="546393" w:themeColor="accent3"/>
                <w:highlight w:val="yellow"/>
              </w:rPr>
              <w:t>per l’</w:t>
            </w:r>
            <w:r w:rsidRPr="00994A9F">
              <w:rPr>
                <w:i/>
                <w:color w:val="546393" w:themeColor="accent3"/>
                <w:highlight w:val="yellow"/>
              </w:rPr>
              <w:t>utilizz</w:t>
            </w:r>
            <w:r w:rsidR="008860BE" w:rsidRPr="00994A9F">
              <w:rPr>
                <w:i/>
                <w:color w:val="546393" w:themeColor="accent3"/>
                <w:highlight w:val="yellow"/>
              </w:rPr>
              <w:t>azione</w:t>
            </w:r>
            <w:r w:rsidRPr="00994A9F">
              <w:rPr>
                <w:i/>
                <w:color w:val="546393" w:themeColor="accent3"/>
                <w:highlight w:val="yellow"/>
              </w:rPr>
              <w:t xml:space="preserve"> </w:t>
            </w:r>
            <w:r w:rsidR="008860BE" w:rsidRPr="00994A9F">
              <w:rPr>
                <w:i/>
                <w:color w:val="546393" w:themeColor="accent3"/>
                <w:highlight w:val="yellow"/>
              </w:rPr>
              <w:t>de</w:t>
            </w:r>
            <w:r w:rsidRPr="00994A9F">
              <w:rPr>
                <w:i/>
                <w:color w:val="546393" w:themeColor="accent3"/>
                <w:highlight w:val="yellow"/>
              </w:rPr>
              <w:t xml:space="preserve">i metodi di valutazione avanzati (cfr. punto 3 a) ii) riguardante le misure considerate ai fini del calcolo dell’indicatore R2 e degli indicatori </w:t>
            </w:r>
            <w:r w:rsidR="008860BE" w:rsidRPr="00994A9F">
              <w:rPr>
                <w:i/>
                <w:color w:val="546393" w:themeColor="accent3"/>
                <w:highlight w:val="yellow"/>
              </w:rPr>
              <w:t>aggiuntivi</w:t>
            </w:r>
            <w:r w:rsidRPr="00994A9F">
              <w:rPr>
                <w:i/>
                <w:color w:val="546393" w:themeColor="accent3"/>
                <w:highlight w:val="yellow"/>
              </w:rPr>
              <w:t>). L’unica informazione obbligatoria al punto 1 è l’indicazione delle misure che contribuiscono a</w:t>
            </w:r>
            <w:r w:rsidR="00781E88" w:rsidRPr="00994A9F">
              <w:rPr>
                <w:i/>
                <w:color w:val="546393" w:themeColor="accent3"/>
                <w:highlight w:val="yellow"/>
              </w:rPr>
              <w:t xml:space="preserve">gli </w:t>
            </w:r>
            <w:r w:rsidRPr="00994A9F">
              <w:rPr>
                <w:i/>
                <w:color w:val="546393" w:themeColor="accent3"/>
                <w:highlight w:val="yellow"/>
              </w:rPr>
              <w:t xml:space="preserve">FA (contributi programmati </w:t>
            </w:r>
            <w:r w:rsidR="008860BE" w:rsidRPr="00994A9F">
              <w:rPr>
                <w:i/>
                <w:color w:val="546393" w:themeColor="accent3"/>
                <w:highlight w:val="yellow"/>
              </w:rPr>
              <w:t xml:space="preserve">in via primaria </w:t>
            </w:r>
            <w:r w:rsidRPr="00994A9F">
              <w:rPr>
                <w:i/>
                <w:color w:val="546393" w:themeColor="accent3"/>
                <w:highlight w:val="yellow"/>
              </w:rPr>
              <w:t>e secondari</w:t>
            </w:r>
            <w:r w:rsidR="008860BE" w:rsidRPr="00994A9F">
              <w:rPr>
                <w:i/>
                <w:color w:val="546393" w:themeColor="accent3"/>
                <w:highlight w:val="yellow"/>
              </w:rPr>
              <w:t>a</w:t>
            </w:r>
            <w:r w:rsidRPr="00994A9F">
              <w:rPr>
                <w:i/>
                <w:color w:val="546393" w:themeColor="accent3"/>
                <w:highlight w:val="yellow"/>
              </w:rPr>
              <w:t>).</w:t>
            </w:r>
          </w:p>
          <w:p w14:paraId="3A96FA5A" w14:textId="77777777" w:rsidR="00A8083B" w:rsidRPr="003726BE" w:rsidRDefault="00A8083B" w:rsidP="00A8083B">
            <w:pPr>
              <w:spacing w:after="0"/>
              <w:rPr>
                <w:rFonts w:cs="Arial"/>
                <w:i/>
                <w:color w:val="4BACC6"/>
                <w:szCs w:val="18"/>
                <w:highlight w:val="yellow"/>
              </w:rPr>
            </w:pPr>
            <w:r w:rsidRPr="003726BE">
              <w:rPr>
                <w:i/>
                <w:color w:val="F7A833" w:themeColor="accent5"/>
                <w:highlight w:val="yellow"/>
              </w:rPr>
              <w:t>[Massimo 1 000 caratteri = circa ¼ di pagina – obbligatorio]</w:t>
            </w:r>
          </w:p>
        </w:tc>
      </w:tr>
    </w:tbl>
    <w:p w14:paraId="58EF08D0" w14:textId="77777777" w:rsidR="004C0D64" w:rsidRPr="003726BE" w:rsidRDefault="004C0D64">
      <w:pPr>
        <w:rPr>
          <w:highlight w:val="yellow"/>
        </w:rPr>
      </w:pPr>
      <w:r w:rsidRPr="003726BE">
        <w:lastRenderedPageBreak/>
        <w:br w:type="page"/>
      </w:r>
    </w:p>
    <w:tbl>
      <w:tblPr>
        <w:tblW w:w="8887" w:type="dxa"/>
        <w:jc w:val="center"/>
        <w:tblLayout w:type="fixed"/>
        <w:tblCellMar>
          <w:left w:w="10" w:type="dxa"/>
          <w:right w:w="10" w:type="dxa"/>
        </w:tblCellMar>
        <w:tblLook w:val="0000" w:firstRow="0" w:lastRow="0" w:firstColumn="0" w:lastColumn="0" w:noHBand="0" w:noVBand="0"/>
      </w:tblPr>
      <w:tblGrid>
        <w:gridCol w:w="2962"/>
        <w:gridCol w:w="2962"/>
        <w:gridCol w:w="2963"/>
      </w:tblGrid>
      <w:tr w:rsidR="00A8083B" w:rsidRPr="003726BE" w14:paraId="56D39183" w14:textId="77777777" w:rsidTr="00404839">
        <w:trPr>
          <w:trHeight w:val="312"/>
          <w:jc w:val="center"/>
        </w:trPr>
        <w:tc>
          <w:tcPr>
            <w:tcW w:w="8887" w:type="dxa"/>
            <w:gridSpan w:val="3"/>
            <w:tcBorders>
              <w:top w:val="single" w:sz="18" w:space="0" w:color="6F6F6F" w:themeColor="text1"/>
              <w:left w:val="single" w:sz="18" w:space="0" w:color="6E6E6E" w:themeColor="background1" w:themeShade="80"/>
              <w:bottom w:val="single" w:sz="18" w:space="0" w:color="6E6E6E" w:themeColor="background1" w:themeShade="80"/>
              <w:right w:val="single" w:sz="18" w:space="0" w:color="6E6E6E" w:themeColor="background1" w:themeShade="80"/>
            </w:tcBorders>
            <w:shd w:val="clear" w:color="auto" w:fill="auto"/>
            <w:tcMar>
              <w:top w:w="0" w:type="dxa"/>
              <w:left w:w="108" w:type="dxa"/>
              <w:bottom w:w="0" w:type="dxa"/>
              <w:right w:w="108" w:type="dxa"/>
            </w:tcMar>
          </w:tcPr>
          <w:p w14:paraId="6531F1AC" w14:textId="77777777" w:rsidR="00A8083B" w:rsidRPr="003726BE" w:rsidRDefault="00A8083B" w:rsidP="00A8083B">
            <w:pPr>
              <w:suppressAutoHyphens/>
              <w:autoSpaceDN w:val="0"/>
              <w:spacing w:after="0" w:line="240" w:lineRule="auto"/>
              <w:textAlignment w:val="baseline"/>
              <w:rPr>
                <w:rFonts w:cs="Arial"/>
                <w:b/>
                <w:szCs w:val="18"/>
                <w:highlight w:val="yellow"/>
              </w:rPr>
            </w:pPr>
            <w:r w:rsidRPr="003726BE">
              <w:rPr>
                <w:b/>
                <w:color w:val="ED7D31"/>
                <w:highlight w:val="yellow"/>
              </w:rPr>
              <w:lastRenderedPageBreak/>
              <w:t>2. Collegamento tra i criteri di giudizio e gli indicatori di risultato comuni e aggiuntivi</w:t>
            </w:r>
            <w:r w:rsidRPr="003726BE">
              <w:rPr>
                <w:rStyle w:val="FootnoteReference"/>
                <w:highlight w:val="yellow"/>
              </w:rPr>
              <w:footnoteReference w:id="104"/>
            </w:r>
            <w:r w:rsidRPr="003726BE">
              <w:rPr>
                <w:b/>
                <w:color w:val="ED7D31"/>
                <w:highlight w:val="yellow"/>
              </w:rPr>
              <w:t xml:space="preserve"> utilizzati per rispondere alla domanda del QVC</w:t>
            </w:r>
          </w:p>
          <w:p w14:paraId="481132B8" w14:textId="77777777" w:rsidR="00A8083B" w:rsidRPr="003726BE" w:rsidRDefault="00A8083B" w:rsidP="00A8083B">
            <w:pPr>
              <w:spacing w:after="0"/>
              <w:rPr>
                <w:rFonts w:cs="Arial"/>
                <w:i/>
                <w:color w:val="4BACC6"/>
                <w:szCs w:val="18"/>
                <w:highlight w:val="yellow"/>
              </w:rPr>
            </w:pPr>
            <w:r w:rsidRPr="003726BE">
              <w:rPr>
                <w:i/>
                <w:color w:val="F7A833" w:themeColor="accent5"/>
                <w:highlight w:val="yellow"/>
              </w:rPr>
              <w:t>[Obbligatorio].</w:t>
            </w:r>
          </w:p>
        </w:tc>
      </w:tr>
      <w:tr w:rsidR="00A8083B" w:rsidRPr="003726BE" w14:paraId="6814CF03" w14:textId="77777777" w:rsidTr="00404839">
        <w:trPr>
          <w:trHeight w:val="20"/>
          <w:jc w:val="center"/>
        </w:trPr>
        <w:tc>
          <w:tcPr>
            <w:tcW w:w="2962" w:type="dxa"/>
            <w:tcBorders>
              <w:top w:val="single" w:sz="18" w:space="0" w:color="6E6E6E" w:themeColor="background1" w:themeShade="80"/>
              <w:left w:val="single" w:sz="18" w:space="0" w:color="6E6E6E" w:themeColor="background1" w:themeShade="80"/>
              <w:bottom w:val="single" w:sz="18" w:space="0" w:color="6E6E6E" w:themeColor="background1" w:themeShade="80"/>
              <w:right w:val="single" w:sz="4" w:space="0" w:color="000000"/>
            </w:tcBorders>
            <w:shd w:val="clear" w:color="auto" w:fill="auto"/>
            <w:tcMar>
              <w:top w:w="0" w:type="dxa"/>
              <w:left w:w="108" w:type="dxa"/>
              <w:bottom w:w="0" w:type="dxa"/>
              <w:right w:w="108" w:type="dxa"/>
            </w:tcMar>
          </w:tcPr>
          <w:p w14:paraId="0D82322C" w14:textId="77777777" w:rsidR="00A8083B" w:rsidRPr="003726BE" w:rsidRDefault="00A8083B" w:rsidP="00A8083B">
            <w:pPr>
              <w:pStyle w:val="ListParagraph"/>
              <w:tabs>
                <w:tab w:val="clear" w:pos="709"/>
              </w:tabs>
              <w:spacing w:after="0"/>
              <w:ind w:left="152" w:firstLine="0"/>
              <w:jc w:val="center"/>
              <w:rPr>
                <w:rFonts w:ascii="Arial" w:hAnsi="Arial" w:cs="Arial"/>
                <w:b/>
                <w:sz w:val="18"/>
                <w:szCs w:val="18"/>
                <w:highlight w:val="yellow"/>
              </w:rPr>
            </w:pPr>
            <w:r w:rsidRPr="003726BE">
              <w:rPr>
                <w:rFonts w:ascii="Arial" w:hAnsi="Arial"/>
                <w:b/>
                <w:color w:val="373737" w:themeColor="background1" w:themeShade="40"/>
                <w:sz w:val="18"/>
                <w:highlight w:val="yellow"/>
              </w:rPr>
              <w:t>Criteri di giudizio</w:t>
            </w:r>
            <w:r w:rsidRPr="003726BE">
              <w:rPr>
                <w:rStyle w:val="FootnoteReference"/>
                <w:highlight w:val="yellow"/>
              </w:rPr>
              <w:footnoteReference w:id="105"/>
            </w:r>
          </w:p>
          <w:p w14:paraId="56CB84D2" w14:textId="77777777" w:rsidR="00A8083B" w:rsidRPr="003726BE" w:rsidRDefault="00A8083B" w:rsidP="00A8083B">
            <w:pPr>
              <w:pStyle w:val="ListParagraph"/>
              <w:spacing w:after="0"/>
              <w:jc w:val="center"/>
              <w:rPr>
                <w:rFonts w:ascii="Arial" w:hAnsi="Arial" w:cs="Arial"/>
                <w:i/>
                <w:sz w:val="18"/>
                <w:szCs w:val="18"/>
                <w:highlight w:val="yellow"/>
              </w:rPr>
            </w:pPr>
            <w:r w:rsidRPr="003726BE">
              <w:rPr>
                <w:rFonts w:ascii="Arial" w:hAnsi="Arial"/>
                <w:i/>
                <w:color w:val="F7A833" w:themeColor="accent5"/>
                <w:sz w:val="18"/>
                <w:highlight w:val="yellow"/>
              </w:rPr>
              <w:t>[Max. 255 caratteri]</w:t>
            </w:r>
          </w:p>
        </w:tc>
        <w:tc>
          <w:tcPr>
            <w:tcW w:w="2962" w:type="dxa"/>
            <w:tcBorders>
              <w:top w:val="single" w:sz="18" w:space="0" w:color="6E6E6E" w:themeColor="background1" w:themeShade="80"/>
              <w:left w:val="single" w:sz="4" w:space="0" w:color="000000"/>
              <w:bottom w:val="single" w:sz="18" w:space="0" w:color="6E6E6E" w:themeColor="background1" w:themeShade="80"/>
              <w:right w:val="single" w:sz="4" w:space="0" w:color="000000"/>
            </w:tcBorders>
            <w:shd w:val="clear" w:color="auto" w:fill="auto"/>
            <w:tcMar>
              <w:top w:w="0" w:type="dxa"/>
              <w:left w:w="108" w:type="dxa"/>
              <w:bottom w:w="0" w:type="dxa"/>
              <w:right w:w="108" w:type="dxa"/>
            </w:tcMar>
          </w:tcPr>
          <w:p w14:paraId="58B34707" w14:textId="77777777" w:rsidR="00A8083B" w:rsidRPr="003726BE" w:rsidRDefault="00A8083B" w:rsidP="00A8083B">
            <w:pPr>
              <w:pStyle w:val="ListParagraph"/>
              <w:tabs>
                <w:tab w:val="clear" w:pos="709"/>
              </w:tabs>
              <w:spacing w:after="0"/>
              <w:ind w:left="0" w:firstLine="0"/>
              <w:jc w:val="center"/>
              <w:rPr>
                <w:rFonts w:ascii="Arial" w:hAnsi="Arial" w:cs="Arial"/>
                <w:b/>
                <w:sz w:val="18"/>
                <w:szCs w:val="18"/>
                <w:highlight w:val="yellow"/>
              </w:rPr>
            </w:pPr>
            <w:r w:rsidRPr="003726BE">
              <w:rPr>
                <w:rFonts w:ascii="Arial" w:hAnsi="Arial"/>
                <w:b/>
                <w:color w:val="373737" w:themeColor="background1" w:themeShade="40"/>
                <w:sz w:val="18"/>
                <w:highlight w:val="yellow"/>
              </w:rPr>
              <w:t>Indicatori comuni di risultato</w:t>
            </w:r>
            <w:r w:rsidRPr="003726BE">
              <w:rPr>
                <w:rStyle w:val="FootnoteReference"/>
                <w:highlight w:val="yellow"/>
              </w:rPr>
              <w:footnoteReference w:id="106"/>
            </w:r>
          </w:p>
          <w:p w14:paraId="70B8B01B" w14:textId="77777777" w:rsidR="00A8083B" w:rsidRPr="003726BE" w:rsidRDefault="00A8083B" w:rsidP="00A8083B">
            <w:pPr>
              <w:pStyle w:val="ListParagraph"/>
              <w:tabs>
                <w:tab w:val="clear" w:pos="709"/>
              </w:tabs>
              <w:spacing w:after="0"/>
              <w:ind w:left="0" w:firstLine="0"/>
              <w:jc w:val="center"/>
              <w:rPr>
                <w:rFonts w:ascii="Arial" w:hAnsi="Arial" w:cs="Arial"/>
                <w:i/>
                <w:sz w:val="18"/>
                <w:szCs w:val="18"/>
                <w:highlight w:val="yellow"/>
              </w:rPr>
            </w:pPr>
            <w:r w:rsidRPr="003726BE">
              <w:rPr>
                <w:rFonts w:ascii="Arial" w:hAnsi="Arial"/>
                <w:i/>
                <w:color w:val="F7A833" w:themeColor="accent5"/>
                <w:sz w:val="18"/>
                <w:highlight w:val="yellow"/>
              </w:rPr>
              <w:t>[Max. 255 caratteri]</w:t>
            </w:r>
          </w:p>
        </w:tc>
        <w:tc>
          <w:tcPr>
            <w:tcW w:w="2963" w:type="dxa"/>
            <w:tcBorders>
              <w:top w:val="single" w:sz="18" w:space="0" w:color="6E6E6E" w:themeColor="background1" w:themeShade="80"/>
              <w:left w:val="single" w:sz="4" w:space="0" w:color="000000"/>
              <w:bottom w:val="single" w:sz="18" w:space="0" w:color="6E6E6E" w:themeColor="background1" w:themeShade="80"/>
              <w:right w:val="single" w:sz="18" w:space="0" w:color="6E6E6E" w:themeColor="background1" w:themeShade="80"/>
            </w:tcBorders>
            <w:shd w:val="clear" w:color="auto" w:fill="auto"/>
            <w:tcMar>
              <w:top w:w="0" w:type="dxa"/>
              <w:left w:w="108" w:type="dxa"/>
              <w:bottom w:w="0" w:type="dxa"/>
              <w:right w:w="108" w:type="dxa"/>
            </w:tcMar>
          </w:tcPr>
          <w:p w14:paraId="7848F078" w14:textId="77777777" w:rsidR="00A8083B" w:rsidRPr="003726BE" w:rsidRDefault="00A8083B" w:rsidP="00A8083B">
            <w:pPr>
              <w:pStyle w:val="ListParagraph"/>
              <w:tabs>
                <w:tab w:val="clear" w:pos="709"/>
              </w:tabs>
              <w:spacing w:after="0"/>
              <w:ind w:left="0" w:firstLine="0"/>
              <w:jc w:val="center"/>
              <w:rPr>
                <w:rFonts w:ascii="Arial" w:hAnsi="Arial" w:cs="Arial"/>
                <w:b/>
                <w:sz w:val="18"/>
                <w:szCs w:val="18"/>
                <w:highlight w:val="yellow"/>
                <w:vertAlign w:val="superscript"/>
              </w:rPr>
            </w:pPr>
            <w:r w:rsidRPr="003726BE">
              <w:rPr>
                <w:rFonts w:ascii="Arial" w:hAnsi="Arial"/>
                <w:b/>
                <w:sz w:val="18"/>
                <w:highlight w:val="yellow"/>
              </w:rPr>
              <w:t>Indicatori di risultato aggiuntivi</w:t>
            </w:r>
            <w:r w:rsidRPr="003726BE">
              <w:rPr>
                <w:rStyle w:val="FootnoteReference"/>
                <w:highlight w:val="yellow"/>
              </w:rPr>
              <w:footnoteReference w:id="107"/>
            </w:r>
          </w:p>
          <w:p w14:paraId="213E24C1" w14:textId="77777777" w:rsidR="00A8083B" w:rsidRPr="003726BE" w:rsidRDefault="00A8083B" w:rsidP="00A8083B">
            <w:pPr>
              <w:pStyle w:val="ListParagraph"/>
              <w:tabs>
                <w:tab w:val="clear" w:pos="709"/>
              </w:tabs>
              <w:spacing w:after="0"/>
              <w:ind w:left="39" w:hanging="39"/>
              <w:jc w:val="center"/>
              <w:rPr>
                <w:rFonts w:ascii="Arial" w:hAnsi="Arial" w:cs="Arial"/>
                <w:i/>
                <w:sz w:val="18"/>
                <w:szCs w:val="18"/>
                <w:highlight w:val="yellow"/>
              </w:rPr>
            </w:pPr>
            <w:r w:rsidRPr="003726BE">
              <w:rPr>
                <w:rFonts w:ascii="Arial" w:hAnsi="Arial"/>
                <w:i/>
                <w:color w:val="F7A833" w:themeColor="accent5"/>
                <w:sz w:val="18"/>
                <w:highlight w:val="yellow"/>
              </w:rPr>
              <w:t>[Max. 255 caratteri]</w:t>
            </w:r>
          </w:p>
        </w:tc>
      </w:tr>
      <w:tr w:rsidR="006E56C7" w:rsidRPr="003726BE" w14:paraId="4DD0A291" w14:textId="77777777" w:rsidTr="00404839">
        <w:trPr>
          <w:trHeight w:val="20"/>
          <w:jc w:val="center"/>
        </w:trPr>
        <w:tc>
          <w:tcPr>
            <w:tcW w:w="2962" w:type="dxa"/>
            <w:tcBorders>
              <w:top w:val="single" w:sz="18" w:space="0" w:color="6E6E6E" w:themeColor="background1" w:themeShade="80"/>
              <w:left w:val="single" w:sz="18" w:space="0" w:color="6E6E6E" w:themeColor="background1" w:themeShade="80"/>
              <w:bottom w:val="single" w:sz="18" w:space="0" w:color="6E6E6E" w:themeColor="background1" w:themeShade="80"/>
              <w:right w:val="single" w:sz="4" w:space="0" w:color="000000"/>
            </w:tcBorders>
            <w:shd w:val="clear" w:color="auto" w:fill="auto"/>
            <w:tcMar>
              <w:top w:w="0" w:type="dxa"/>
              <w:left w:w="108" w:type="dxa"/>
              <w:bottom w:w="0" w:type="dxa"/>
              <w:right w:w="108" w:type="dxa"/>
            </w:tcMar>
          </w:tcPr>
          <w:p w14:paraId="01568A33" w14:textId="77777777" w:rsidR="006E56C7" w:rsidRPr="003726BE" w:rsidRDefault="006E56C7" w:rsidP="006E56C7">
            <w:pPr>
              <w:pStyle w:val="ListParagraph"/>
              <w:spacing w:line="240" w:lineRule="auto"/>
              <w:ind w:left="0" w:firstLine="0"/>
              <w:rPr>
                <w:rFonts w:ascii="Arial" w:hAnsi="Arial" w:cs="Arial"/>
                <w:b/>
                <w:color w:val="373737" w:themeColor="background1" w:themeShade="40"/>
                <w:sz w:val="18"/>
                <w:szCs w:val="18"/>
                <w:highlight w:val="yellow"/>
              </w:rPr>
            </w:pPr>
            <w:r w:rsidRPr="003726BE">
              <w:rPr>
                <w:rFonts w:ascii="Arial" w:hAnsi="Arial"/>
                <w:b/>
                <w:color w:val="373737" w:themeColor="background1" w:themeShade="40"/>
                <w:sz w:val="18"/>
                <w:highlight w:val="yellow"/>
              </w:rPr>
              <w:t xml:space="preserve">La produzione agricola per ULA delle aziende agricole beneficiarie di un sostegno è aumentata </w:t>
            </w:r>
          </w:p>
        </w:tc>
        <w:tc>
          <w:tcPr>
            <w:tcW w:w="2962" w:type="dxa"/>
            <w:tcBorders>
              <w:top w:val="single" w:sz="18" w:space="0" w:color="6E6E6E" w:themeColor="background1" w:themeShade="80"/>
              <w:left w:val="single" w:sz="4" w:space="0" w:color="000000"/>
              <w:bottom w:val="single" w:sz="18" w:space="0" w:color="6E6E6E" w:themeColor="background1" w:themeShade="80"/>
              <w:right w:val="single" w:sz="4" w:space="0" w:color="000000"/>
            </w:tcBorders>
            <w:shd w:val="clear" w:color="auto" w:fill="auto"/>
            <w:tcMar>
              <w:top w:w="0" w:type="dxa"/>
              <w:left w:w="108" w:type="dxa"/>
              <w:bottom w:w="0" w:type="dxa"/>
              <w:right w:w="108" w:type="dxa"/>
            </w:tcMar>
          </w:tcPr>
          <w:p w14:paraId="70006D6A" w14:textId="77777777" w:rsidR="006E56C7" w:rsidRPr="003726BE" w:rsidRDefault="006E56C7" w:rsidP="006E56C7">
            <w:pPr>
              <w:pStyle w:val="ListParagraph"/>
              <w:spacing w:line="240" w:lineRule="auto"/>
              <w:ind w:left="11" w:firstLine="0"/>
              <w:rPr>
                <w:rFonts w:ascii="Arial" w:hAnsi="Arial" w:cs="Arial"/>
                <w:b/>
                <w:color w:val="373737" w:themeColor="background1" w:themeShade="40"/>
                <w:sz w:val="18"/>
                <w:szCs w:val="18"/>
                <w:highlight w:val="yellow"/>
              </w:rPr>
            </w:pPr>
            <w:r w:rsidRPr="003726BE">
              <w:rPr>
                <w:rFonts w:ascii="Arial" w:hAnsi="Arial"/>
                <w:b/>
                <w:color w:val="373737" w:themeColor="background1" w:themeShade="40"/>
                <w:sz w:val="18"/>
                <w:highlight w:val="yellow"/>
              </w:rPr>
              <w:t>CRI R2 - Cambiamento della produzione agricola/ULA nei progetti beneficiari di un sostegno ai sensi del PSR</w:t>
            </w:r>
          </w:p>
        </w:tc>
        <w:tc>
          <w:tcPr>
            <w:tcW w:w="2963" w:type="dxa"/>
            <w:tcBorders>
              <w:top w:val="single" w:sz="18" w:space="0" w:color="6E6E6E" w:themeColor="background1" w:themeShade="80"/>
              <w:left w:val="single" w:sz="4" w:space="0" w:color="000000"/>
              <w:bottom w:val="single" w:sz="18" w:space="0" w:color="6E6E6E" w:themeColor="background1" w:themeShade="80"/>
              <w:right w:val="single" w:sz="18" w:space="0" w:color="6E6E6E" w:themeColor="background1" w:themeShade="80"/>
            </w:tcBorders>
            <w:shd w:val="clear" w:color="auto" w:fill="auto"/>
            <w:tcMar>
              <w:top w:w="0" w:type="dxa"/>
              <w:left w:w="108" w:type="dxa"/>
              <w:bottom w:w="0" w:type="dxa"/>
              <w:right w:w="108" w:type="dxa"/>
            </w:tcMar>
          </w:tcPr>
          <w:p w14:paraId="5B725FC3" w14:textId="77777777" w:rsidR="006E56C7" w:rsidRPr="003726BE" w:rsidRDefault="006E56C7" w:rsidP="006E56C7">
            <w:pPr>
              <w:pStyle w:val="ListParagraph"/>
              <w:spacing w:line="240" w:lineRule="auto"/>
              <w:ind w:left="720"/>
              <w:rPr>
                <w:rFonts w:ascii="Arial" w:hAnsi="Arial" w:cs="Arial"/>
                <w:b/>
                <w:sz w:val="18"/>
                <w:szCs w:val="18"/>
                <w:highlight w:val="yellow"/>
              </w:rPr>
            </w:pPr>
          </w:p>
        </w:tc>
      </w:tr>
      <w:tr w:rsidR="006E56C7" w:rsidRPr="003726BE" w14:paraId="64A83738" w14:textId="77777777" w:rsidTr="00404839">
        <w:trPr>
          <w:trHeight w:val="20"/>
          <w:jc w:val="center"/>
        </w:trPr>
        <w:tc>
          <w:tcPr>
            <w:tcW w:w="2962" w:type="dxa"/>
            <w:tcBorders>
              <w:top w:val="single" w:sz="18" w:space="0" w:color="6E6E6E" w:themeColor="background1" w:themeShade="80"/>
              <w:left w:val="single" w:sz="18" w:space="0" w:color="6E6E6E" w:themeColor="background1" w:themeShade="80"/>
              <w:bottom w:val="single" w:sz="18" w:space="0" w:color="6E6E6E" w:themeColor="background1" w:themeShade="80"/>
              <w:right w:val="single" w:sz="4" w:space="0" w:color="000000"/>
            </w:tcBorders>
            <w:shd w:val="clear" w:color="auto" w:fill="auto"/>
            <w:tcMar>
              <w:top w:w="0" w:type="dxa"/>
              <w:left w:w="108" w:type="dxa"/>
              <w:bottom w:w="0" w:type="dxa"/>
              <w:right w:w="108" w:type="dxa"/>
            </w:tcMar>
          </w:tcPr>
          <w:p w14:paraId="57F96FA3" w14:textId="77777777" w:rsidR="006E56C7" w:rsidRPr="003726BE" w:rsidRDefault="006E56C7" w:rsidP="00916805">
            <w:pPr>
              <w:pStyle w:val="ListParagraph"/>
              <w:spacing w:line="240" w:lineRule="auto"/>
              <w:ind w:left="11" w:firstLine="0"/>
              <w:rPr>
                <w:rFonts w:ascii="Arial" w:hAnsi="Arial" w:cs="Arial"/>
                <w:b/>
                <w:color w:val="373737" w:themeColor="background1" w:themeShade="40"/>
                <w:sz w:val="18"/>
                <w:szCs w:val="18"/>
                <w:highlight w:val="yellow"/>
              </w:rPr>
            </w:pPr>
            <w:r w:rsidRPr="003726BE">
              <w:rPr>
                <w:rFonts w:ascii="Arial" w:hAnsi="Arial"/>
                <w:b/>
                <w:color w:val="373737" w:themeColor="background1" w:themeShade="40"/>
                <w:sz w:val="18"/>
                <w:highlight w:val="yellow"/>
              </w:rPr>
              <w:t>Le aziende agricole sono state ammodernate</w:t>
            </w:r>
            <w:r w:rsidRPr="003726BE">
              <w:rPr>
                <w:rFonts w:ascii="Arial" w:hAnsi="Arial" w:cs="Arial"/>
                <w:b/>
                <w:color w:val="373737" w:themeColor="background1" w:themeShade="40"/>
                <w:sz w:val="18"/>
                <w:szCs w:val="18"/>
                <w:highlight w:val="yellow"/>
              </w:rPr>
              <w:br/>
            </w:r>
            <w:r w:rsidRPr="003726BE">
              <w:rPr>
                <w:rFonts w:ascii="Arial" w:hAnsi="Arial"/>
                <w:b/>
                <w:color w:val="373737" w:themeColor="background1" w:themeShade="40"/>
                <w:sz w:val="18"/>
                <w:highlight w:val="yellow"/>
              </w:rPr>
              <w:t xml:space="preserve">Le aziende agricole sono state ristrutturate </w:t>
            </w:r>
          </w:p>
        </w:tc>
        <w:tc>
          <w:tcPr>
            <w:tcW w:w="2962" w:type="dxa"/>
            <w:tcBorders>
              <w:top w:val="single" w:sz="18" w:space="0" w:color="6E6E6E" w:themeColor="background1" w:themeShade="80"/>
              <w:left w:val="single" w:sz="4" w:space="0" w:color="000000"/>
              <w:bottom w:val="single" w:sz="18" w:space="0" w:color="6E6E6E" w:themeColor="background1" w:themeShade="80"/>
              <w:right w:val="single" w:sz="4" w:space="0" w:color="000000"/>
            </w:tcBorders>
            <w:shd w:val="clear" w:color="auto" w:fill="auto"/>
            <w:tcMar>
              <w:top w:w="0" w:type="dxa"/>
              <w:left w:w="108" w:type="dxa"/>
              <w:bottom w:w="0" w:type="dxa"/>
              <w:right w:w="108" w:type="dxa"/>
            </w:tcMar>
          </w:tcPr>
          <w:p w14:paraId="173CADB0" w14:textId="77777777" w:rsidR="006E56C7" w:rsidRPr="003726BE" w:rsidRDefault="006E56C7" w:rsidP="006E56C7">
            <w:pPr>
              <w:pStyle w:val="ListParagraph"/>
              <w:spacing w:line="240" w:lineRule="auto"/>
              <w:ind w:left="11" w:firstLine="0"/>
              <w:rPr>
                <w:rFonts w:ascii="Arial" w:hAnsi="Arial" w:cs="Arial"/>
                <w:b/>
                <w:color w:val="373737" w:themeColor="background1" w:themeShade="40"/>
                <w:sz w:val="18"/>
                <w:szCs w:val="18"/>
                <w:highlight w:val="yellow"/>
              </w:rPr>
            </w:pPr>
            <w:r w:rsidRPr="003726BE">
              <w:rPr>
                <w:rFonts w:ascii="Arial" w:hAnsi="Arial"/>
                <w:b/>
                <w:color w:val="373737" w:themeColor="background1" w:themeShade="40"/>
                <w:sz w:val="18"/>
                <w:highlight w:val="yellow"/>
              </w:rPr>
              <w:t>R1/T4 - % di aziende agricole che fruiscono del sostegno del PSR per investimenti di ristrutturazione e ammodernamento</w:t>
            </w:r>
          </w:p>
        </w:tc>
        <w:tc>
          <w:tcPr>
            <w:tcW w:w="2963" w:type="dxa"/>
            <w:tcBorders>
              <w:top w:val="single" w:sz="18" w:space="0" w:color="6E6E6E" w:themeColor="background1" w:themeShade="80"/>
              <w:left w:val="single" w:sz="4" w:space="0" w:color="000000"/>
              <w:bottom w:val="single" w:sz="18" w:space="0" w:color="6E6E6E" w:themeColor="background1" w:themeShade="80"/>
              <w:right w:val="single" w:sz="18" w:space="0" w:color="6E6E6E" w:themeColor="background1" w:themeShade="80"/>
            </w:tcBorders>
            <w:shd w:val="clear" w:color="auto" w:fill="auto"/>
            <w:tcMar>
              <w:top w:w="0" w:type="dxa"/>
              <w:left w:w="108" w:type="dxa"/>
              <w:bottom w:w="0" w:type="dxa"/>
              <w:right w:w="108" w:type="dxa"/>
            </w:tcMar>
          </w:tcPr>
          <w:p w14:paraId="0DDFFAE1" w14:textId="77777777" w:rsidR="006E56C7" w:rsidRPr="003726BE" w:rsidRDefault="00916805" w:rsidP="00916805">
            <w:pPr>
              <w:pStyle w:val="ListParagraph"/>
              <w:spacing w:line="240" w:lineRule="auto"/>
              <w:ind w:left="11" w:firstLine="0"/>
              <w:rPr>
                <w:rFonts w:ascii="Arial" w:hAnsi="Arial" w:cs="Arial"/>
                <w:b/>
                <w:sz w:val="18"/>
                <w:szCs w:val="18"/>
                <w:highlight w:val="yellow"/>
              </w:rPr>
            </w:pPr>
            <w:r w:rsidRPr="003726BE">
              <w:rPr>
                <w:rFonts w:ascii="Arial" w:hAnsi="Arial"/>
                <w:color w:val="373737" w:themeColor="background1" w:themeShade="40"/>
                <w:sz w:val="18"/>
                <w:highlight w:val="yellow"/>
              </w:rPr>
              <w:t>Percentuale di aziende agricole che fruiscono del sostegno del PSR per investimenti relativi all'ammodernamento</w:t>
            </w:r>
          </w:p>
        </w:tc>
      </w:tr>
      <w:tr w:rsidR="00916805" w:rsidRPr="003726BE" w14:paraId="566C1C14" w14:textId="77777777" w:rsidTr="00404839">
        <w:trPr>
          <w:trHeight w:val="20"/>
          <w:jc w:val="center"/>
        </w:trPr>
        <w:tc>
          <w:tcPr>
            <w:tcW w:w="2962" w:type="dxa"/>
            <w:tcBorders>
              <w:top w:val="single" w:sz="18" w:space="0" w:color="6E6E6E" w:themeColor="background1" w:themeShade="80"/>
              <w:left w:val="single" w:sz="18" w:space="0" w:color="6E6E6E" w:themeColor="background1" w:themeShade="80"/>
              <w:bottom w:val="single" w:sz="18" w:space="0" w:color="6E6E6E" w:themeColor="background1" w:themeShade="80"/>
              <w:right w:val="single" w:sz="4" w:space="0" w:color="auto"/>
            </w:tcBorders>
            <w:shd w:val="clear" w:color="auto" w:fill="auto"/>
            <w:tcMar>
              <w:top w:w="0" w:type="dxa"/>
              <w:left w:w="108" w:type="dxa"/>
              <w:bottom w:w="0" w:type="dxa"/>
              <w:right w:w="108" w:type="dxa"/>
            </w:tcMar>
          </w:tcPr>
          <w:p w14:paraId="245B4300" w14:textId="77777777" w:rsidR="00916805" w:rsidRPr="003726BE" w:rsidRDefault="00916805" w:rsidP="00916805">
            <w:pPr>
              <w:pStyle w:val="ListParagraph"/>
              <w:ind w:left="22" w:hanging="11"/>
              <w:rPr>
                <w:rFonts w:ascii="Arial" w:hAnsi="Arial" w:cs="Arial"/>
                <w:color w:val="546393" w:themeColor="accent3"/>
                <w:sz w:val="18"/>
                <w:szCs w:val="18"/>
                <w:highlight w:val="yellow"/>
              </w:rPr>
            </w:pPr>
            <w:r w:rsidRPr="003726BE">
              <w:rPr>
                <w:rFonts w:ascii="Arial" w:hAnsi="Arial"/>
                <w:color w:val="546393" w:themeColor="accent3"/>
                <w:sz w:val="18"/>
                <w:highlight w:val="yellow"/>
              </w:rPr>
              <w:t>I risultati economici delle aziende agricole sono migliorati grazie all'attuazione delle misure di sviluppo rurale di cui sopra (specificità del PSR)</w:t>
            </w:r>
          </w:p>
        </w:tc>
        <w:tc>
          <w:tcPr>
            <w:tcW w:w="2962" w:type="dxa"/>
            <w:tcBorders>
              <w:top w:val="single" w:sz="18" w:space="0" w:color="6E6E6E" w:themeColor="background1" w:themeShade="80"/>
              <w:left w:val="single" w:sz="4" w:space="0" w:color="auto"/>
              <w:bottom w:val="single" w:sz="18" w:space="0" w:color="6E6E6E" w:themeColor="background1" w:themeShade="80"/>
              <w:right w:val="single" w:sz="4" w:space="0" w:color="auto"/>
            </w:tcBorders>
            <w:shd w:val="thinReverseDiagStripe" w:color="auto" w:fill="DDDDDD"/>
            <w:tcMar>
              <w:top w:w="0" w:type="dxa"/>
              <w:left w:w="108" w:type="dxa"/>
              <w:bottom w:w="0" w:type="dxa"/>
              <w:right w:w="108" w:type="dxa"/>
            </w:tcMar>
          </w:tcPr>
          <w:p w14:paraId="5C2620CE" w14:textId="77777777" w:rsidR="00916805" w:rsidRPr="003726BE" w:rsidRDefault="00916805" w:rsidP="00916805">
            <w:pPr>
              <w:pStyle w:val="ListParagraph"/>
              <w:rPr>
                <w:rFonts w:ascii="Arial" w:hAnsi="Arial" w:cs="Arial"/>
                <w:color w:val="1F4E79"/>
                <w:sz w:val="18"/>
                <w:szCs w:val="18"/>
                <w:highlight w:val="yellow"/>
              </w:rPr>
            </w:pPr>
          </w:p>
        </w:tc>
        <w:tc>
          <w:tcPr>
            <w:tcW w:w="2963" w:type="dxa"/>
            <w:tcBorders>
              <w:top w:val="single" w:sz="18" w:space="0" w:color="6E6E6E" w:themeColor="background1" w:themeShade="80"/>
              <w:left w:val="single" w:sz="4" w:space="0" w:color="auto"/>
              <w:bottom w:val="single" w:sz="18" w:space="0" w:color="6E6E6E" w:themeColor="background1" w:themeShade="80"/>
              <w:right w:val="single" w:sz="18" w:space="0" w:color="6E6E6E" w:themeColor="background1" w:themeShade="80"/>
            </w:tcBorders>
            <w:shd w:val="clear" w:color="auto" w:fill="auto"/>
            <w:tcMar>
              <w:top w:w="0" w:type="dxa"/>
              <w:left w:w="108" w:type="dxa"/>
              <w:bottom w:w="0" w:type="dxa"/>
              <w:right w:w="108" w:type="dxa"/>
            </w:tcMar>
          </w:tcPr>
          <w:p w14:paraId="3DC55574" w14:textId="77777777" w:rsidR="00916805" w:rsidRPr="003726BE" w:rsidRDefault="00916805" w:rsidP="00916805">
            <w:pPr>
              <w:pStyle w:val="ListParagraph"/>
              <w:tabs>
                <w:tab w:val="left" w:pos="11"/>
              </w:tabs>
              <w:ind w:left="22" w:hanging="11"/>
              <w:rPr>
                <w:rFonts w:ascii="Arial" w:hAnsi="Arial" w:cs="Arial"/>
                <w:color w:val="546393" w:themeColor="accent3"/>
                <w:sz w:val="18"/>
                <w:szCs w:val="18"/>
                <w:highlight w:val="yellow"/>
              </w:rPr>
            </w:pPr>
            <w:r w:rsidRPr="003726BE">
              <w:rPr>
                <w:rFonts w:ascii="Arial" w:hAnsi="Arial"/>
                <w:color w:val="546393" w:themeColor="accent3"/>
                <w:sz w:val="18"/>
                <w:highlight w:val="yellow"/>
              </w:rPr>
              <w:t>Variazione netta del reddito lordo delle aziende agricole (specificità del PSR)</w:t>
            </w:r>
          </w:p>
        </w:tc>
      </w:tr>
      <w:tr w:rsidR="00916805" w:rsidRPr="003726BE" w14:paraId="0396DC31" w14:textId="77777777" w:rsidTr="00404839">
        <w:trPr>
          <w:trHeight w:val="20"/>
          <w:jc w:val="center"/>
        </w:trPr>
        <w:tc>
          <w:tcPr>
            <w:tcW w:w="2962" w:type="dxa"/>
            <w:tcBorders>
              <w:top w:val="single" w:sz="18" w:space="0" w:color="6E6E6E" w:themeColor="background1" w:themeShade="80"/>
              <w:left w:val="single" w:sz="18" w:space="0" w:color="6E6E6E" w:themeColor="background1" w:themeShade="80"/>
              <w:bottom w:val="single" w:sz="18" w:space="0" w:color="6E6E6E" w:themeColor="background1" w:themeShade="80"/>
              <w:right w:val="single" w:sz="4" w:space="0" w:color="auto"/>
            </w:tcBorders>
            <w:shd w:val="clear" w:color="auto" w:fill="auto"/>
            <w:tcMar>
              <w:top w:w="0" w:type="dxa"/>
              <w:left w:w="108" w:type="dxa"/>
              <w:bottom w:w="0" w:type="dxa"/>
              <w:right w:w="108" w:type="dxa"/>
            </w:tcMar>
          </w:tcPr>
          <w:p w14:paraId="0C7E1C69" w14:textId="77777777" w:rsidR="00916805" w:rsidRPr="003726BE" w:rsidRDefault="00916805" w:rsidP="00916805">
            <w:pPr>
              <w:pStyle w:val="ListParagraph"/>
              <w:ind w:left="22" w:hanging="11"/>
              <w:rPr>
                <w:rFonts w:ascii="Arial" w:hAnsi="Arial" w:cs="Arial"/>
                <w:color w:val="546393" w:themeColor="accent3"/>
                <w:sz w:val="18"/>
                <w:szCs w:val="18"/>
                <w:highlight w:val="yellow"/>
              </w:rPr>
            </w:pPr>
            <w:r w:rsidRPr="003726BE">
              <w:rPr>
                <w:rFonts w:ascii="Arial" w:hAnsi="Arial"/>
                <w:color w:val="546393" w:themeColor="accent3"/>
                <w:sz w:val="18"/>
                <w:highlight w:val="yellow"/>
              </w:rPr>
              <w:t>La partecipazione al mercato delle aziende agricole è aumentata grazie all'attuazione delle misure di sviluppo rurale di cui sopra (specificità del PSR)</w:t>
            </w:r>
          </w:p>
        </w:tc>
        <w:tc>
          <w:tcPr>
            <w:tcW w:w="2962" w:type="dxa"/>
            <w:tcBorders>
              <w:top w:val="single" w:sz="18" w:space="0" w:color="6E6E6E" w:themeColor="background1" w:themeShade="80"/>
              <w:left w:val="single" w:sz="4" w:space="0" w:color="auto"/>
              <w:bottom w:val="single" w:sz="18" w:space="0" w:color="6E6E6E" w:themeColor="background1" w:themeShade="80"/>
              <w:right w:val="single" w:sz="4" w:space="0" w:color="auto"/>
            </w:tcBorders>
            <w:shd w:val="thinReverseDiagStripe" w:color="auto" w:fill="DDDDDD"/>
            <w:tcMar>
              <w:top w:w="0" w:type="dxa"/>
              <w:left w:w="108" w:type="dxa"/>
              <w:bottom w:w="0" w:type="dxa"/>
              <w:right w:w="108" w:type="dxa"/>
            </w:tcMar>
          </w:tcPr>
          <w:p w14:paraId="5D14A642" w14:textId="77777777" w:rsidR="00916805" w:rsidRPr="003726BE" w:rsidRDefault="00916805" w:rsidP="00916805">
            <w:pPr>
              <w:pStyle w:val="ListParagraph"/>
              <w:rPr>
                <w:rFonts w:ascii="Arial" w:hAnsi="Arial" w:cs="Arial"/>
                <w:color w:val="1F4E79"/>
                <w:sz w:val="18"/>
                <w:szCs w:val="18"/>
                <w:highlight w:val="yellow"/>
              </w:rPr>
            </w:pPr>
          </w:p>
        </w:tc>
        <w:tc>
          <w:tcPr>
            <w:tcW w:w="2963" w:type="dxa"/>
            <w:tcBorders>
              <w:top w:val="single" w:sz="18" w:space="0" w:color="6E6E6E" w:themeColor="background1" w:themeShade="80"/>
              <w:left w:val="single" w:sz="4" w:space="0" w:color="auto"/>
              <w:bottom w:val="single" w:sz="18" w:space="0" w:color="6E6E6E" w:themeColor="background1" w:themeShade="80"/>
              <w:right w:val="single" w:sz="18" w:space="0" w:color="6E6E6E" w:themeColor="background1" w:themeShade="80"/>
            </w:tcBorders>
            <w:shd w:val="clear" w:color="auto" w:fill="auto"/>
            <w:tcMar>
              <w:top w:w="0" w:type="dxa"/>
              <w:left w:w="108" w:type="dxa"/>
              <w:bottom w:w="0" w:type="dxa"/>
              <w:right w:w="108" w:type="dxa"/>
            </w:tcMar>
          </w:tcPr>
          <w:p w14:paraId="7C3B2211" w14:textId="77777777" w:rsidR="00916805" w:rsidRPr="003726BE" w:rsidRDefault="00916805" w:rsidP="001F1284">
            <w:pPr>
              <w:pStyle w:val="ListParagraph"/>
              <w:tabs>
                <w:tab w:val="left" w:pos="11"/>
              </w:tabs>
              <w:ind w:left="22" w:hanging="11"/>
              <w:rPr>
                <w:rFonts w:ascii="Arial" w:hAnsi="Arial" w:cs="Arial"/>
                <w:color w:val="546393" w:themeColor="accent3"/>
                <w:sz w:val="18"/>
                <w:szCs w:val="18"/>
                <w:highlight w:val="yellow"/>
              </w:rPr>
            </w:pPr>
            <w:r w:rsidRPr="003726BE">
              <w:rPr>
                <w:rFonts w:ascii="Arial" w:hAnsi="Arial"/>
                <w:color w:val="546393" w:themeColor="accent3"/>
                <w:sz w:val="18"/>
                <w:highlight w:val="yellow"/>
              </w:rPr>
              <w:t>Variazione netta delle vendite/produzione totale (specificità del PSR)</w:t>
            </w:r>
          </w:p>
        </w:tc>
      </w:tr>
      <w:tr w:rsidR="00916805" w:rsidRPr="003726BE" w14:paraId="306C936F" w14:textId="77777777" w:rsidTr="00404839">
        <w:trPr>
          <w:trHeight w:val="35"/>
          <w:jc w:val="center"/>
        </w:trPr>
        <w:tc>
          <w:tcPr>
            <w:tcW w:w="8887" w:type="dxa"/>
            <w:gridSpan w:val="3"/>
            <w:tcBorders>
              <w:top w:val="single" w:sz="18" w:space="0" w:color="6E6E6E" w:themeColor="background1" w:themeShade="80"/>
              <w:left w:val="single" w:sz="18" w:space="0" w:color="6E6E6E" w:themeColor="background1" w:themeShade="80"/>
              <w:bottom w:val="single" w:sz="18" w:space="0" w:color="6E6E6E" w:themeColor="background1" w:themeShade="80"/>
              <w:right w:val="single" w:sz="18" w:space="0" w:color="6E6E6E" w:themeColor="background1" w:themeShade="80"/>
            </w:tcBorders>
            <w:shd w:val="clear" w:color="auto" w:fill="auto"/>
            <w:tcMar>
              <w:top w:w="0" w:type="dxa"/>
              <w:left w:w="108" w:type="dxa"/>
              <w:bottom w:w="0" w:type="dxa"/>
              <w:right w:w="108" w:type="dxa"/>
            </w:tcMar>
          </w:tcPr>
          <w:p w14:paraId="4D89FA93" w14:textId="77777777" w:rsidR="00916805" w:rsidRPr="003726BE" w:rsidRDefault="00916805" w:rsidP="00916805">
            <w:pPr>
              <w:suppressAutoHyphens/>
              <w:autoSpaceDN w:val="0"/>
              <w:spacing w:after="0" w:line="240" w:lineRule="auto"/>
              <w:textAlignment w:val="baseline"/>
              <w:rPr>
                <w:rStyle w:val="FootnoteReference"/>
                <w:highlight w:val="yellow"/>
              </w:rPr>
            </w:pPr>
            <w:r w:rsidRPr="003726BE">
              <w:rPr>
                <w:b/>
                <w:color w:val="ED7D31"/>
                <w:highlight w:val="yellow"/>
              </w:rPr>
              <w:t>3. Metodo applicato</w:t>
            </w:r>
            <w:r w:rsidRPr="003726BE">
              <w:rPr>
                <w:rStyle w:val="FootnoteReference"/>
                <w:highlight w:val="yellow"/>
              </w:rPr>
              <w:footnoteReference w:id="108"/>
            </w:r>
          </w:p>
          <w:p w14:paraId="415EAAC6" w14:textId="77777777" w:rsidR="00916805" w:rsidRPr="003726BE" w:rsidRDefault="00916805" w:rsidP="00916805">
            <w:pPr>
              <w:suppressAutoHyphens/>
              <w:autoSpaceDN w:val="0"/>
              <w:spacing w:after="0" w:line="240" w:lineRule="auto"/>
              <w:ind w:left="360"/>
              <w:textAlignment w:val="baseline"/>
              <w:rPr>
                <w:rFonts w:cs="Arial"/>
                <w:b/>
                <w:color w:val="373737" w:themeColor="background1" w:themeShade="40"/>
                <w:szCs w:val="18"/>
                <w:highlight w:val="yellow"/>
              </w:rPr>
            </w:pPr>
            <w:r w:rsidRPr="003726BE">
              <w:rPr>
                <w:b/>
                <w:color w:val="373737" w:themeColor="background1" w:themeShade="40"/>
                <w:highlight w:val="yellow"/>
              </w:rPr>
              <w:t>a) Metodi quantitativi</w:t>
            </w:r>
            <w:r w:rsidRPr="003726BE">
              <w:rPr>
                <w:rStyle w:val="FootnoteReference"/>
                <w:highlight w:val="yellow"/>
              </w:rPr>
              <w:footnoteReference w:id="109"/>
            </w:r>
            <w:r w:rsidRPr="003726BE">
              <w:rPr>
                <w:b/>
                <w:color w:val="373737" w:themeColor="background1" w:themeShade="40"/>
                <w:highlight w:val="yellow"/>
              </w:rPr>
              <w:t>: analisi controfattuale, PSM e DID combinati</w:t>
            </w:r>
          </w:p>
          <w:p w14:paraId="67CA51CF" w14:textId="77777777" w:rsidR="00916805" w:rsidRPr="003726BE" w:rsidRDefault="00916805" w:rsidP="001A31FB">
            <w:pPr>
              <w:pStyle w:val="ListParagraph"/>
              <w:numPr>
                <w:ilvl w:val="2"/>
                <w:numId w:val="31"/>
              </w:numPr>
              <w:suppressAutoHyphens/>
              <w:autoSpaceDN w:val="0"/>
              <w:spacing w:after="0" w:line="240" w:lineRule="auto"/>
              <w:textAlignment w:val="baseline"/>
              <w:outlineLvl w:val="9"/>
              <w:rPr>
                <w:rFonts w:ascii="Arial" w:hAnsi="Arial" w:cs="Arial"/>
                <w:b/>
                <w:color w:val="373737" w:themeColor="background1" w:themeShade="40"/>
                <w:sz w:val="18"/>
                <w:szCs w:val="18"/>
                <w:highlight w:val="yellow"/>
              </w:rPr>
            </w:pPr>
            <w:r w:rsidRPr="003726BE">
              <w:rPr>
                <w:rFonts w:ascii="Arial" w:hAnsi="Arial"/>
                <w:b/>
                <w:color w:val="373737" w:themeColor="background1" w:themeShade="40"/>
                <w:sz w:val="18"/>
                <w:highlight w:val="yellow"/>
              </w:rPr>
              <w:t>Motivazioni p</w:t>
            </w:r>
            <w:r w:rsidR="00E7404C">
              <w:rPr>
                <w:rFonts w:ascii="Arial" w:hAnsi="Arial"/>
                <w:b/>
                <w:color w:val="373737" w:themeColor="background1" w:themeShade="40"/>
                <w:sz w:val="18"/>
                <w:highlight w:val="yellow"/>
              </w:rPr>
              <w:t xml:space="preserve">er l'utilizzo di questo metodo </w:t>
            </w:r>
          </w:p>
          <w:p w14:paraId="57B150E8" w14:textId="77777777" w:rsidR="00916805" w:rsidRPr="003726BE" w:rsidRDefault="00916805" w:rsidP="001F1284">
            <w:pPr>
              <w:spacing w:after="60"/>
              <w:rPr>
                <w:rFonts w:cs="Arial"/>
                <w:color w:val="546393" w:themeColor="accent3"/>
                <w:szCs w:val="18"/>
                <w:highlight w:val="yellow"/>
              </w:rPr>
            </w:pPr>
            <w:r w:rsidRPr="003726BE">
              <w:rPr>
                <w:color w:val="546393" w:themeColor="accent3"/>
                <w:highlight w:val="yellow"/>
              </w:rPr>
              <w:t>La ragione principale è stata la sua flessibilità e la possibilità di attingere a dati secondari esistenti e utilizzarli per verificare la causalità dei contributi primari e secondari individuati delle operazioni che fruiscono di sostegno. L'analisi controfattuale utilizzando PSM+DID consente di scorporare gli effetti della misura e di calcolare la portata degli effetti indiretti chiave degli interventi a livello di beneficiari diretti (effetti leva e</w:t>
            </w:r>
            <w:r w:rsidR="000A5BD4">
              <w:rPr>
                <w:color w:val="546393" w:themeColor="accent3"/>
                <w:highlight w:val="yellow"/>
              </w:rPr>
              <w:t>d effetti inerziali</w:t>
            </w:r>
            <w:r w:rsidRPr="003726BE">
              <w:rPr>
                <w:color w:val="546393" w:themeColor="accent3"/>
                <w:highlight w:val="yellow"/>
              </w:rPr>
              <w:t>) che sono stati spesso dimostrati in associazione al sostegno all'investimento.</w:t>
            </w:r>
          </w:p>
          <w:p w14:paraId="4879C4E6" w14:textId="77777777" w:rsidR="00916805" w:rsidRPr="003726BE" w:rsidRDefault="00916805" w:rsidP="001A31FB">
            <w:pPr>
              <w:pStyle w:val="ListParagraph"/>
              <w:numPr>
                <w:ilvl w:val="2"/>
                <w:numId w:val="31"/>
              </w:numPr>
              <w:suppressAutoHyphens/>
              <w:autoSpaceDN w:val="0"/>
              <w:spacing w:after="0" w:line="240" w:lineRule="auto"/>
              <w:textAlignment w:val="baseline"/>
              <w:outlineLvl w:val="9"/>
              <w:rPr>
                <w:rFonts w:ascii="Arial" w:hAnsi="Arial" w:cs="Arial"/>
                <w:b/>
                <w:sz w:val="18"/>
                <w:szCs w:val="18"/>
                <w:highlight w:val="yellow"/>
              </w:rPr>
            </w:pPr>
            <w:r w:rsidRPr="003726BE">
              <w:rPr>
                <w:rFonts w:ascii="Arial" w:hAnsi="Arial"/>
                <w:b/>
                <w:color w:val="373737" w:themeColor="background1" w:themeShade="40"/>
                <w:sz w:val="18"/>
                <w:highlight w:val="yellow"/>
              </w:rPr>
              <w:t xml:space="preserve">Descrizione dei metodi per calcolare rapporti, valori lordi o netti (se applicabile) di indicatori di risultato comuni e aggiuntivi o di altri indicatori </w:t>
            </w:r>
            <w:r w:rsidRPr="003726BE">
              <w:rPr>
                <w:rFonts w:ascii="Arial" w:hAnsi="Arial"/>
                <w:b/>
                <w:color w:val="373737" w:themeColor="background1" w:themeShade="40"/>
                <w:sz w:val="18"/>
                <w:highlight w:val="yellow"/>
              </w:rPr>
              <w:lastRenderedPageBreak/>
              <w:t>utilizzati (indicatori di contesto comuni, di prodotto)</w:t>
            </w:r>
            <w:r w:rsidRPr="003726BE">
              <w:rPr>
                <w:rStyle w:val="FootnoteReference"/>
                <w:highlight w:val="yellow"/>
              </w:rPr>
              <w:footnoteReference w:id="110"/>
            </w:r>
          </w:p>
          <w:p w14:paraId="0283859F" w14:textId="77777777" w:rsidR="00916805" w:rsidRPr="003726BE" w:rsidRDefault="00916805" w:rsidP="00916805">
            <w:pPr>
              <w:spacing w:after="0"/>
              <w:rPr>
                <w:rFonts w:cs="Arial"/>
                <w:color w:val="546393" w:themeColor="accent3"/>
                <w:szCs w:val="18"/>
                <w:highlight w:val="yellow"/>
              </w:rPr>
            </w:pPr>
            <w:r w:rsidRPr="003726BE">
              <w:rPr>
                <w:color w:val="546393" w:themeColor="accent3"/>
                <w:highlight w:val="yellow"/>
              </w:rPr>
              <w:t>Nel caso dell'indicatore R1, il valore viene ricavato dalla banca dati delle operazioni dell'organismo pagatore (indicatore O4 cumulativo, dati comunicati quando l'operazione viene completata) e il rapporto (%) viene calcolato in base al numero totale di aziende agricole nell'anno base per la zona del PSR (Eurostat: FSS).</w:t>
            </w:r>
          </w:p>
          <w:p w14:paraId="0AA9E4FB" w14:textId="77777777" w:rsidR="00916805" w:rsidRPr="003726BE" w:rsidRDefault="00916805" w:rsidP="001F1284">
            <w:pPr>
              <w:spacing w:after="60"/>
              <w:rPr>
                <w:rFonts w:cs="Arial"/>
                <w:color w:val="546393" w:themeColor="accent3"/>
                <w:szCs w:val="18"/>
                <w:highlight w:val="yellow"/>
              </w:rPr>
            </w:pPr>
            <w:r w:rsidRPr="003726BE">
              <w:rPr>
                <w:color w:val="546393" w:themeColor="accent3"/>
                <w:highlight w:val="yellow"/>
              </w:rPr>
              <w:t xml:space="preserve">Il calcolo dell'indicatore R2 e degli indicatori aggiuntivi è stato basato sulle operazioni delle misure/sottomisure elencate che presentavano un utilizzo ragionevole - M2.1, M4.1, M4.3, M6.3. Il resto delle misure che presentavano un utilizzo esiguo o nessun utilizzo fino al 31.12.2016 non è stato preso in considerazione. Nel calcolo di R2 sono stati presi in considerazione anche le operazioni della sottomisura M4.1 programmate a sensi dei FA 5B e FA 5C, nonché le misure programmate ai sensi del 3A e P4, con contributi secondari al FA 2A. </w:t>
            </w:r>
          </w:p>
          <w:p w14:paraId="32C217DA" w14:textId="77777777" w:rsidR="00916805" w:rsidRPr="003726BE" w:rsidRDefault="00916805" w:rsidP="001F1284">
            <w:pPr>
              <w:spacing w:after="60"/>
              <w:rPr>
                <w:rFonts w:cs="Arial"/>
                <w:color w:val="546393" w:themeColor="accent3"/>
                <w:szCs w:val="18"/>
                <w:highlight w:val="yellow"/>
              </w:rPr>
            </w:pPr>
            <w:r w:rsidRPr="003726BE">
              <w:rPr>
                <w:color w:val="546393" w:themeColor="accent3"/>
                <w:highlight w:val="yellow"/>
              </w:rPr>
              <w:t>La valutazione è stata condotta in 2 fasi:</w:t>
            </w:r>
          </w:p>
          <w:p w14:paraId="5B19C62C" w14:textId="77777777" w:rsidR="00916805" w:rsidRPr="003726BE" w:rsidRDefault="00916805" w:rsidP="001F1284">
            <w:pPr>
              <w:spacing w:after="60"/>
              <w:rPr>
                <w:rFonts w:cs="Arial"/>
                <w:color w:val="546393" w:themeColor="accent3"/>
                <w:szCs w:val="18"/>
                <w:highlight w:val="yellow"/>
              </w:rPr>
            </w:pPr>
            <w:r w:rsidRPr="003726BE">
              <w:rPr>
                <w:color w:val="546393" w:themeColor="accent3"/>
                <w:highlight w:val="yellow"/>
                <w:u w:val="single"/>
              </w:rPr>
              <w:t>Fase 1:</w:t>
            </w:r>
            <w:r w:rsidRPr="003726BE">
              <w:rPr>
                <w:color w:val="546393" w:themeColor="accent3"/>
                <w:highlight w:val="yellow"/>
              </w:rPr>
              <w:t xml:space="preserve"> Stima dei contributi primari delle misure del PSR direttamente attribuibili al FA 2A (cfr. tabella 1, ad eccezione di M1.1 e M2.1).</w:t>
            </w:r>
          </w:p>
          <w:p w14:paraId="06D47B97" w14:textId="77777777" w:rsidR="00916805" w:rsidRPr="003726BE" w:rsidRDefault="00916805" w:rsidP="001F1284">
            <w:pPr>
              <w:spacing w:after="60"/>
              <w:rPr>
                <w:rFonts w:cs="Arial"/>
                <w:color w:val="546393" w:themeColor="accent3"/>
                <w:szCs w:val="18"/>
                <w:highlight w:val="yellow"/>
              </w:rPr>
            </w:pPr>
            <w:r w:rsidRPr="003726BE">
              <w:rPr>
                <w:color w:val="546393" w:themeColor="accent3"/>
                <w:highlight w:val="yellow"/>
              </w:rPr>
              <w:t>Tanto il campione di aziende agricole che ha fruito di sostegno in un determinato periodo (2014-2016) ai sensi delle misure elencate nella tabella 1 (partecipanti) quanto i campioni di aziende agricole che non hanno ricevuto sostegno da rispettive misure (non partecipanti) sono stati ricavati dalla banca dati nazionale/RICA per i valori relativi a produzione agricola, contributi della manodopera - ULA e altri indicatori di risultato di cui sopra. Per incrementare la validità del processo di selezione sono state utilizzate delle caratteristiche aggiuntive delle aziende agricole al fine di ottenere la migliore somiglianza possibile tra i due campioni. Il metodo PSM è stato applicato per individuare un idoneo "gruppo di controllo" dal campione dei non partecipanti.</w:t>
            </w:r>
          </w:p>
          <w:p w14:paraId="2095F360" w14:textId="77777777" w:rsidR="00916805" w:rsidRPr="003726BE" w:rsidRDefault="00916805" w:rsidP="001F1284">
            <w:pPr>
              <w:spacing w:after="60"/>
              <w:rPr>
                <w:rFonts w:cs="Arial"/>
                <w:color w:val="546393" w:themeColor="accent3"/>
                <w:szCs w:val="18"/>
                <w:highlight w:val="yellow"/>
              </w:rPr>
            </w:pPr>
            <w:r w:rsidRPr="003726BE">
              <w:rPr>
                <w:color w:val="546393" w:themeColor="accent3"/>
                <w:highlight w:val="yellow"/>
              </w:rPr>
              <w:t>Valori medi dell'indicatore R2 sono stati calcolati per il gruppo dei partecipanti e per il "gruppo di controllo" prima della fruizione del sostegno (anno 2013) e dopo tale fruizione (anno 2016). Calcolo degli effetti medi del trattamento sui trattati (ATT), utilizzando l'indicatore R2 e l'effetto netto su R2 (combinando gli ATT calcolati con il metodo DID). Infine, il valore aggregato dell'indicatore netto presso una zona interessata dal programma è stato calcolato moltiplicando i micro-risultati medi calcolati a livello di azienda agricola per il numero di aziende che hanno fruito di sostegno (estrapolazione).</w:t>
            </w:r>
          </w:p>
          <w:p w14:paraId="33A66119" w14:textId="77777777" w:rsidR="00916805" w:rsidRPr="003726BE" w:rsidRDefault="00916805" w:rsidP="001F1284">
            <w:pPr>
              <w:spacing w:after="60"/>
              <w:rPr>
                <w:rFonts w:cs="Arial"/>
                <w:color w:val="546393" w:themeColor="accent3"/>
                <w:szCs w:val="18"/>
                <w:highlight w:val="yellow"/>
              </w:rPr>
            </w:pPr>
            <w:r w:rsidRPr="003726BE">
              <w:rPr>
                <w:color w:val="546393" w:themeColor="accent3"/>
                <w:highlight w:val="yellow"/>
                <w:u w:val="single"/>
              </w:rPr>
              <w:t>Fase 2:</w:t>
            </w:r>
            <w:r w:rsidRPr="003726BE">
              <w:rPr>
                <w:color w:val="546393" w:themeColor="accent3"/>
                <w:highlight w:val="yellow"/>
              </w:rPr>
              <w:t xml:space="preserve"> Stima del contributo secondario di quelle misure il cui obiettivo principale è collegato a un altro FA (cfr. tabella 2, ad esempio, investimenti nelle infrastrutture delle aziende agricole, energie rinnovabili, efficienza energetica) ma che si prevede anche abbiano un effetto sulla ristrutturazione e sulla competitività delle aziende agricole e, di conseguenza, sulla produttività della manodopera agricola (R2). </w:t>
            </w:r>
          </w:p>
          <w:p w14:paraId="10E7D0E7" w14:textId="77777777" w:rsidR="00916805" w:rsidRPr="003726BE" w:rsidRDefault="00916805" w:rsidP="001F1284">
            <w:pPr>
              <w:spacing w:after="60"/>
              <w:rPr>
                <w:rFonts w:cs="Arial"/>
                <w:color w:val="546393" w:themeColor="accent3"/>
                <w:szCs w:val="18"/>
                <w:highlight w:val="yellow"/>
              </w:rPr>
            </w:pPr>
            <w:r w:rsidRPr="003726BE">
              <w:rPr>
                <w:color w:val="546393" w:themeColor="accent3"/>
                <w:highlight w:val="yellow"/>
              </w:rPr>
              <w:t xml:space="preserve">Le fasi per la preparazione dei campioni dei gruppi per l'abbinamento statistico e i metodi di calcolo sono le stesse di quelle descritti per la fase 1. Sono stati presi in considerazione anche i campioni di beneficiari che attuano operazioni </w:t>
            </w:r>
            <w:r w:rsidR="0042254D">
              <w:rPr>
                <w:color w:val="546393" w:themeColor="accent3"/>
                <w:highlight w:val="yellow"/>
              </w:rPr>
              <w:t>ai sensi</w:t>
            </w:r>
            <w:r w:rsidRPr="003726BE">
              <w:rPr>
                <w:color w:val="546393" w:themeColor="accent3"/>
                <w:highlight w:val="yellow"/>
              </w:rPr>
              <w:t xml:space="preserve"> della M4.1 programmat</w:t>
            </w:r>
            <w:r w:rsidR="0042254D">
              <w:rPr>
                <w:color w:val="546393" w:themeColor="accent3"/>
                <w:highlight w:val="yellow"/>
              </w:rPr>
              <w:t>e nell’ambito</w:t>
            </w:r>
            <w:r w:rsidRPr="003726BE">
              <w:rPr>
                <w:color w:val="546393" w:themeColor="accent3"/>
                <w:highlight w:val="yellow"/>
              </w:rPr>
              <w:t xml:space="preserve"> d</w:t>
            </w:r>
            <w:r w:rsidR="0042254D">
              <w:rPr>
                <w:color w:val="546393" w:themeColor="accent3"/>
                <w:highlight w:val="yellow"/>
              </w:rPr>
              <w:t>e</w:t>
            </w:r>
            <w:r w:rsidRPr="003726BE">
              <w:rPr>
                <w:color w:val="546393" w:themeColor="accent3"/>
                <w:highlight w:val="yellow"/>
              </w:rPr>
              <w:t xml:space="preserve">i FA 5B, FA 5C, e </w:t>
            </w:r>
            <w:r w:rsidR="0042254D">
              <w:rPr>
                <w:color w:val="546393" w:themeColor="accent3"/>
                <w:highlight w:val="yellow"/>
              </w:rPr>
              <w:t xml:space="preserve">ai sensi </w:t>
            </w:r>
            <w:r w:rsidRPr="003726BE">
              <w:rPr>
                <w:color w:val="546393" w:themeColor="accent3"/>
                <w:highlight w:val="yellow"/>
              </w:rPr>
              <w:t>delle M4.2 e M9 nel</w:t>
            </w:r>
            <w:r w:rsidR="0042254D">
              <w:rPr>
                <w:color w:val="546393" w:themeColor="accent3"/>
                <w:highlight w:val="yellow"/>
              </w:rPr>
              <w:t>l’ambito</w:t>
            </w:r>
            <w:r w:rsidRPr="003726BE">
              <w:rPr>
                <w:color w:val="546393" w:themeColor="accent3"/>
                <w:highlight w:val="yellow"/>
              </w:rPr>
              <w:t xml:space="preserve"> del FA 3A.</w:t>
            </w:r>
          </w:p>
          <w:p w14:paraId="2845F913" w14:textId="77777777" w:rsidR="00916805" w:rsidRPr="003726BE" w:rsidRDefault="00916805" w:rsidP="001F1284">
            <w:pPr>
              <w:spacing w:after="60"/>
              <w:rPr>
                <w:rFonts w:cs="Arial"/>
                <w:color w:val="546393" w:themeColor="accent3"/>
                <w:szCs w:val="18"/>
                <w:highlight w:val="yellow"/>
              </w:rPr>
            </w:pPr>
            <w:r w:rsidRPr="003726BE">
              <w:rPr>
                <w:color w:val="546393" w:themeColor="accent3"/>
                <w:highlight w:val="yellow"/>
                <w:u w:val="single"/>
              </w:rPr>
              <w:t>Fase 3:</w:t>
            </w:r>
            <w:r w:rsidRPr="003726BE">
              <w:rPr>
                <w:color w:val="546393" w:themeColor="accent3"/>
                <w:highlight w:val="yellow"/>
              </w:rPr>
              <w:t xml:space="preserve"> Stima degli effetti indiretti</w:t>
            </w:r>
          </w:p>
          <w:p w14:paraId="1F710880" w14:textId="77777777" w:rsidR="00916805" w:rsidRPr="003726BE" w:rsidRDefault="00916805" w:rsidP="001F1284">
            <w:pPr>
              <w:spacing w:after="60"/>
              <w:rPr>
                <w:rFonts w:cs="Arial"/>
                <w:color w:val="546393" w:themeColor="accent3"/>
                <w:szCs w:val="18"/>
                <w:highlight w:val="yellow"/>
              </w:rPr>
            </w:pPr>
            <w:r w:rsidRPr="003726BE">
              <w:rPr>
                <w:color w:val="546393" w:themeColor="accent3"/>
                <w:highlight w:val="yellow"/>
              </w:rPr>
              <w:t xml:space="preserve">Gli effetti leva e </w:t>
            </w:r>
            <w:r w:rsidR="000A5BD4">
              <w:rPr>
                <w:color w:val="546393" w:themeColor="accent3"/>
                <w:highlight w:val="yellow"/>
              </w:rPr>
              <w:t>gli effetti inerziali</w:t>
            </w:r>
            <w:r w:rsidRPr="003726BE">
              <w:rPr>
                <w:color w:val="546393" w:themeColor="accent3"/>
                <w:highlight w:val="yellow"/>
              </w:rPr>
              <w:t xml:space="preserve"> sono stati calcolati soltanto </w:t>
            </w:r>
            <w:r w:rsidR="0042254D">
              <w:rPr>
                <w:color w:val="546393" w:themeColor="accent3"/>
                <w:highlight w:val="yellow"/>
              </w:rPr>
              <w:t>nel quadro</w:t>
            </w:r>
            <w:r w:rsidRPr="003726BE">
              <w:rPr>
                <w:color w:val="546393" w:themeColor="accent3"/>
                <w:highlight w:val="yellow"/>
              </w:rPr>
              <w:t xml:space="preserve"> della M 4.1., utilizzando dati per aziende agricole comparabili identiche (ad esempio simili in termini di dimensioni, ubicazione, specializzazione, produzione agricola, occupazione, ecc.) e applicando un indicatore sostitutivo - valore degli investimenti per azienda agricola per i calcoli dell'ATT (= trattamento medio sui trattati) combinato con il metodo DiD</w:t>
            </w:r>
            <w:r w:rsidR="000A5BD4">
              <w:rPr>
                <w:color w:val="546393" w:themeColor="accent3"/>
                <w:highlight w:val="yellow"/>
              </w:rPr>
              <w:t xml:space="preserve"> per ottenere dati relativi all’effetto inerziale</w:t>
            </w:r>
            <w:r w:rsidRPr="003726BE">
              <w:rPr>
                <w:color w:val="546393" w:themeColor="accent3"/>
                <w:highlight w:val="yellow"/>
              </w:rPr>
              <w:t>. Le stesse fasi, ma applicando un indicatore sostitutivo - trasferimenti di denaro dall'azienda agricola ad altre spese connesse all'attività aziendale (ad esempio, acquisto di beni o terreni, nuovi edifici, ecc.) - sono state ripetute per il calcolo dell'effetto leva, misurato tra i beneficiari diretti (approccio di micro-livello).</w:t>
            </w:r>
          </w:p>
          <w:p w14:paraId="4E5FCBA0" w14:textId="77777777" w:rsidR="00916805" w:rsidRPr="003726BE" w:rsidRDefault="00916805" w:rsidP="001A31FB">
            <w:pPr>
              <w:pStyle w:val="ListParagraph"/>
              <w:numPr>
                <w:ilvl w:val="2"/>
                <w:numId w:val="31"/>
              </w:numPr>
              <w:suppressAutoHyphens/>
              <w:autoSpaceDN w:val="0"/>
              <w:spacing w:after="0" w:line="240" w:lineRule="auto"/>
              <w:textAlignment w:val="baseline"/>
              <w:outlineLvl w:val="9"/>
              <w:rPr>
                <w:rFonts w:ascii="Arial" w:hAnsi="Arial" w:cs="Arial"/>
                <w:b/>
                <w:color w:val="373737" w:themeColor="background1" w:themeShade="40"/>
                <w:sz w:val="18"/>
                <w:szCs w:val="18"/>
                <w:highlight w:val="yellow"/>
              </w:rPr>
            </w:pPr>
            <w:r w:rsidRPr="003726BE">
              <w:rPr>
                <w:rFonts w:ascii="Arial" w:hAnsi="Arial"/>
                <w:b/>
                <w:color w:val="373737" w:themeColor="background1" w:themeShade="40"/>
                <w:sz w:val="18"/>
                <w:highlight w:val="yellow"/>
              </w:rPr>
              <w:t>Sfide nell'applicazione dei metodi descritti e soluzioni trovate</w:t>
            </w:r>
          </w:p>
          <w:p w14:paraId="4C138AA6" w14:textId="77777777" w:rsidR="00916805" w:rsidRPr="003726BE" w:rsidRDefault="00916805" w:rsidP="001F1284">
            <w:pPr>
              <w:spacing w:after="60"/>
              <w:rPr>
                <w:rFonts w:cs="Arial"/>
                <w:color w:val="546393" w:themeColor="accent3"/>
                <w:szCs w:val="18"/>
                <w:highlight w:val="yellow"/>
              </w:rPr>
            </w:pPr>
            <w:r w:rsidRPr="003726BE">
              <w:rPr>
                <w:color w:val="546393" w:themeColor="accent3"/>
                <w:highlight w:val="yellow"/>
              </w:rPr>
              <w:t xml:space="preserve">La sfida principale è stata la preparazione dei campioni per il gruppo di non partecipanti che presentassero la più alta similarità possibile con il gruppo dei partecipanti, al fine di stabilire un gruppo di controllo incontaminato e credibile (eliminazione di distorsioni di selezione). Si tratta di un processo impegnativo in termini di classificazione e filtraggio dei dati a causa del fatto che il gruppo di controllo e quello che ha beneficiato del sostegno non possono essere esposti in modo differenziale ad altri interventi. </w:t>
            </w:r>
          </w:p>
          <w:p w14:paraId="24BACDC2" w14:textId="77777777" w:rsidR="00916805" w:rsidRPr="003726BE" w:rsidRDefault="00916805" w:rsidP="001F1284">
            <w:pPr>
              <w:spacing w:after="60"/>
              <w:rPr>
                <w:rFonts w:cs="Arial"/>
                <w:color w:val="546393" w:themeColor="accent3"/>
                <w:szCs w:val="18"/>
                <w:highlight w:val="yellow"/>
              </w:rPr>
            </w:pPr>
            <w:r w:rsidRPr="003726BE">
              <w:rPr>
                <w:color w:val="546393" w:themeColor="accent3"/>
                <w:highlight w:val="yellow"/>
              </w:rPr>
              <w:t xml:space="preserve">Il valutatore non è stato in grado di effettuare il calcolo dei valori dell'indicatore R2 per le misure basate sulla zona P4 (M9, M10, M11, M13), dove l'abbinamento appropriato dei campioni dei gruppi avrebbe richiesto dati aggiuntivi sulle caratteristiche ambientali e sui parametri dell'ubicazione (altitudine, profilo del paesaggio, struttura del suolo, qualità del suolo, erosione del suolo, uso di fertilizzanti e pesticidi, ecc.) che non erano disponibili. Nel caso di M13 vi è un problema in più nell'individuazione del campione dei non partecipanti, a causa del fatto che la grande maggioranza delle aziende agricole ubicate nella zona coperta dalla rete </w:t>
            </w:r>
            <w:r w:rsidRPr="003726BE">
              <w:rPr>
                <w:color w:val="546393" w:themeColor="accent3"/>
                <w:highlight w:val="yellow"/>
              </w:rPr>
              <w:lastRenderedPageBreak/>
              <w:t>appartengono ai partecipanti e confrontare queste aziende con altre aziende in pianura darebbe risultati non realistici. Incontrando un problema, all'autorità di gestione/organismo pagatore sarà indicato di espandere il SIPA mediante un modulo GIS con serie di dati da alimentare a partire da sistemi autonomi di diverse istituzioni statali.</w:t>
            </w:r>
          </w:p>
          <w:p w14:paraId="2D7461F2" w14:textId="77777777" w:rsidR="00916805" w:rsidRPr="003726BE" w:rsidRDefault="00916805" w:rsidP="001A31FB">
            <w:pPr>
              <w:pStyle w:val="ListParagraph"/>
              <w:numPr>
                <w:ilvl w:val="0"/>
                <w:numId w:val="31"/>
              </w:numPr>
              <w:suppressAutoHyphens/>
              <w:autoSpaceDN w:val="0"/>
              <w:spacing w:after="0" w:line="240" w:lineRule="auto"/>
              <w:textAlignment w:val="baseline"/>
              <w:outlineLvl w:val="9"/>
              <w:rPr>
                <w:rFonts w:ascii="Arial" w:hAnsi="Arial" w:cs="Arial"/>
                <w:b/>
                <w:color w:val="373737" w:themeColor="background1" w:themeShade="40"/>
                <w:sz w:val="18"/>
                <w:szCs w:val="18"/>
                <w:highlight w:val="yellow"/>
              </w:rPr>
            </w:pPr>
            <w:r w:rsidRPr="003726BE">
              <w:rPr>
                <w:rFonts w:ascii="Arial" w:hAnsi="Arial"/>
                <w:b/>
                <w:color w:val="373737" w:themeColor="background1" w:themeShade="40"/>
                <w:sz w:val="18"/>
                <w:highlight w:val="yellow"/>
              </w:rPr>
              <w:t xml:space="preserve">Metodi qualitativi: </w:t>
            </w:r>
          </w:p>
          <w:p w14:paraId="64DE4BEA" w14:textId="77777777" w:rsidR="00916805" w:rsidRPr="003726BE" w:rsidRDefault="00916805" w:rsidP="001A31FB">
            <w:pPr>
              <w:pStyle w:val="ListParagraph"/>
              <w:numPr>
                <w:ilvl w:val="2"/>
                <w:numId w:val="31"/>
              </w:numPr>
              <w:suppressAutoHyphens/>
              <w:autoSpaceDN w:val="0"/>
              <w:spacing w:after="0" w:line="240" w:lineRule="auto"/>
              <w:textAlignment w:val="baseline"/>
              <w:outlineLvl w:val="9"/>
              <w:rPr>
                <w:rFonts w:ascii="Arial" w:hAnsi="Arial" w:cs="Arial"/>
                <w:b/>
                <w:sz w:val="18"/>
                <w:szCs w:val="18"/>
                <w:highlight w:val="yellow"/>
              </w:rPr>
            </w:pPr>
            <w:r w:rsidRPr="003726BE">
              <w:rPr>
                <w:rFonts w:ascii="Arial" w:hAnsi="Arial"/>
                <w:b/>
                <w:color w:val="373737" w:themeColor="background1" w:themeShade="40"/>
                <w:sz w:val="18"/>
                <w:highlight w:val="yellow"/>
              </w:rPr>
              <w:t>Motivazioni per l'utilizzo di questo metodo</w:t>
            </w:r>
            <w:r w:rsidRPr="003726BE">
              <w:rPr>
                <w:rStyle w:val="FootnoteReference"/>
                <w:highlight w:val="yellow"/>
              </w:rPr>
              <w:footnoteReference w:id="111"/>
            </w:r>
          </w:p>
          <w:p w14:paraId="3F134964" w14:textId="77777777" w:rsidR="00916805" w:rsidRPr="003726BE" w:rsidRDefault="00916805" w:rsidP="001F1284">
            <w:pPr>
              <w:spacing w:after="60"/>
              <w:rPr>
                <w:rFonts w:cs="Arial"/>
                <w:color w:val="546393" w:themeColor="accent3"/>
                <w:szCs w:val="18"/>
                <w:highlight w:val="yellow"/>
              </w:rPr>
            </w:pPr>
            <w:r w:rsidRPr="003726BE">
              <w:rPr>
                <w:color w:val="546393" w:themeColor="accent3"/>
                <w:highlight w:val="yellow"/>
              </w:rPr>
              <w:t xml:space="preserve">La nostra scelta è stata quella di integrare la valutazione quasi sperimentale con le informazioni qualitative raccolte tramite indagini svolte presso le aziende agricole e discussioni nell'ambito di gruppi specifici di discussione delle parti interessate, e di utilizzare queste informazioni per sostenere i risultati ottenuti dall'analisi quantitativa, in modo da spiegare ragionevolmente </w:t>
            </w:r>
            <w:r w:rsidR="00BB2B06">
              <w:rPr>
                <w:color w:val="546393" w:themeColor="accent3"/>
                <w:highlight w:val="yellow"/>
              </w:rPr>
              <w:t>ciò</w:t>
            </w:r>
            <w:r w:rsidRPr="003726BE">
              <w:rPr>
                <w:color w:val="546393" w:themeColor="accent3"/>
                <w:highlight w:val="yellow"/>
              </w:rPr>
              <w:t xml:space="preserve"> che ha funzionato meglio, per</w:t>
            </w:r>
            <w:r w:rsidR="00BB2B06">
              <w:rPr>
                <w:color w:val="546393" w:themeColor="accent3"/>
                <w:highlight w:val="yellow"/>
              </w:rPr>
              <w:t xml:space="preserve"> quali motivi e in che modo</w:t>
            </w:r>
            <w:r w:rsidRPr="003726BE">
              <w:rPr>
                <w:color w:val="546393" w:themeColor="accent3"/>
                <w:highlight w:val="yellow"/>
              </w:rPr>
              <w:t xml:space="preserve">, </w:t>
            </w:r>
            <w:r w:rsidR="00BB2B06">
              <w:rPr>
                <w:color w:val="546393" w:themeColor="accent3"/>
                <w:highlight w:val="yellow"/>
              </w:rPr>
              <w:t>e</w:t>
            </w:r>
            <w:r w:rsidRPr="003726BE">
              <w:rPr>
                <w:color w:val="546393" w:themeColor="accent3"/>
                <w:highlight w:val="yellow"/>
              </w:rPr>
              <w:t xml:space="preserve"> fornire </w:t>
            </w:r>
            <w:r w:rsidR="00BB2B06">
              <w:rPr>
                <w:color w:val="546393" w:themeColor="accent3"/>
                <w:highlight w:val="yellow"/>
              </w:rPr>
              <w:t xml:space="preserve">anche </w:t>
            </w:r>
            <w:r w:rsidRPr="003726BE">
              <w:rPr>
                <w:color w:val="546393" w:themeColor="accent3"/>
                <w:highlight w:val="yellow"/>
              </w:rPr>
              <w:t>una comprensione dal basso verso l'alto dei modelli causali relativi agli interventi. Nella fase finale, i dati qualitativi hanno consentito una formulazione dei risultati più esaustiva e comunque di facile utilizzo per rispondere al QVC, nonché la possibilità di trarre conclusioni e raccomandazioni.</w:t>
            </w:r>
          </w:p>
          <w:p w14:paraId="61F3650E" w14:textId="77777777" w:rsidR="00916805" w:rsidRPr="003726BE" w:rsidRDefault="00916805" w:rsidP="001A31FB">
            <w:pPr>
              <w:pStyle w:val="ListParagraph"/>
              <w:numPr>
                <w:ilvl w:val="2"/>
                <w:numId w:val="31"/>
              </w:numPr>
              <w:suppressAutoHyphens/>
              <w:autoSpaceDN w:val="0"/>
              <w:spacing w:after="0" w:line="240" w:lineRule="auto"/>
              <w:textAlignment w:val="baseline"/>
              <w:outlineLvl w:val="9"/>
              <w:rPr>
                <w:rFonts w:ascii="Arial" w:hAnsi="Arial" w:cs="Arial"/>
                <w:b/>
                <w:sz w:val="18"/>
                <w:szCs w:val="18"/>
                <w:highlight w:val="yellow"/>
              </w:rPr>
            </w:pPr>
            <w:r w:rsidRPr="003726BE">
              <w:rPr>
                <w:rFonts w:ascii="Arial" w:hAnsi="Arial"/>
                <w:b/>
                <w:color w:val="373737" w:themeColor="background1" w:themeShade="40"/>
                <w:sz w:val="18"/>
                <w:highlight w:val="yellow"/>
              </w:rPr>
              <w:t>Descrizione dei metodi utilizzati</w:t>
            </w:r>
            <w:r w:rsidRPr="003726BE">
              <w:rPr>
                <w:rStyle w:val="FootnoteReference"/>
                <w:highlight w:val="yellow"/>
              </w:rPr>
              <w:footnoteReference w:id="112"/>
            </w:r>
          </w:p>
          <w:p w14:paraId="5178C139" w14:textId="77777777" w:rsidR="00916805" w:rsidRPr="003726BE" w:rsidRDefault="00916805" w:rsidP="001F1284">
            <w:pPr>
              <w:spacing w:after="60"/>
              <w:rPr>
                <w:rFonts w:cs="Arial"/>
                <w:color w:val="546393" w:themeColor="accent3"/>
                <w:szCs w:val="18"/>
                <w:highlight w:val="yellow"/>
              </w:rPr>
            </w:pPr>
            <w:r w:rsidRPr="003726BE">
              <w:rPr>
                <w:color w:val="546393" w:themeColor="accent3"/>
                <w:highlight w:val="yellow"/>
              </w:rPr>
              <w:t>Durante la fase iniziale della valutazione sono state utilizzate tecniche qualitative, per consentire all'analisi qualitativa introduttiva di sviluppare un'ipotesi in merito al funzionamento della logica degli interventi e di chiarire domande di ricerca alle quali si doveva rispondere con un'analisi quantitativa. Per questi motivi parti interessate e informatori qualificati dell'AG e dell'organismo pagatore sono stati intervistati.</w:t>
            </w:r>
          </w:p>
          <w:p w14:paraId="20997A35" w14:textId="77777777" w:rsidR="00916805" w:rsidRPr="003726BE" w:rsidRDefault="00916805" w:rsidP="001F1284">
            <w:pPr>
              <w:spacing w:after="60"/>
              <w:rPr>
                <w:rFonts w:cs="Arial"/>
                <w:color w:val="546393" w:themeColor="accent3"/>
                <w:szCs w:val="18"/>
                <w:highlight w:val="yellow"/>
              </w:rPr>
            </w:pPr>
            <w:r w:rsidRPr="003726BE">
              <w:rPr>
                <w:color w:val="546393" w:themeColor="accent3"/>
                <w:highlight w:val="yellow"/>
              </w:rPr>
              <w:t xml:space="preserve">I dati qualitativi sono stati utilizzati per valutare i contributi di M1.1 e M2.1 al FA 2A., a causa della mancanza di dati quantitativi che avrebbero fornito un nesso tangibile tra il trasferimento di conoscenze e il cambiamento della produzione agricola necessario per il calcolo di R2. Questi dati sono stati ottenuti nel corso di 3 sessioni di gruppi specifici di discussione specializzati costituiti da 9 partecipanti selezionati da vari partecipanti diretti e indiretti dei servizi di formazione (M1) e consulenza (M2), in rappresentanza dei clienti, oltre a fornitori di conoscenza. Rispetto alle indagini qualitative, il metodo dei gruppi specifici di discussione si è dimostrato essere un elemento fondamentale per ottenere informazioni qualitative (anche per altri FA), assicurando un dialogo costante, un processo di apprendimento per le parti interessate, stimolando la loro attivazione e le probabilità di fare scaturire nuove idee e innovazioni. </w:t>
            </w:r>
          </w:p>
          <w:p w14:paraId="3AF1F635" w14:textId="77777777" w:rsidR="00916805" w:rsidRPr="003726BE" w:rsidRDefault="00916805" w:rsidP="001F1284">
            <w:pPr>
              <w:spacing w:after="60"/>
              <w:rPr>
                <w:rFonts w:cs="Arial"/>
                <w:color w:val="546393" w:themeColor="accent3"/>
                <w:szCs w:val="18"/>
                <w:highlight w:val="yellow"/>
              </w:rPr>
            </w:pPr>
            <w:r w:rsidRPr="003726BE">
              <w:rPr>
                <w:color w:val="546393" w:themeColor="accent3"/>
                <w:highlight w:val="yellow"/>
              </w:rPr>
              <w:t xml:space="preserve">La ricerca qualitativa è stata utilizzata per verificare la teoria del cambiamento presunta in base alle logiche di intervento di varie misure, oltre che per spiegare perché l'intervento funziona per alcune aziende agricole o zone, ma meno per altre. </w:t>
            </w:r>
          </w:p>
          <w:p w14:paraId="6F7F1682" w14:textId="77777777" w:rsidR="00916805" w:rsidRPr="003726BE" w:rsidRDefault="00916805" w:rsidP="001F1284">
            <w:pPr>
              <w:spacing w:after="60"/>
              <w:rPr>
                <w:rFonts w:cs="Arial"/>
                <w:color w:val="546393" w:themeColor="accent3"/>
                <w:szCs w:val="18"/>
                <w:highlight w:val="yellow"/>
              </w:rPr>
            </w:pPr>
            <w:r w:rsidRPr="003726BE">
              <w:rPr>
                <w:color w:val="546393" w:themeColor="accent3"/>
                <w:highlight w:val="yellow"/>
              </w:rPr>
              <w:t xml:space="preserve">Dopo il calcolo di ATT e DiD per R2, i dati qualitativi hanno contribuito a migliorare la triangolazione dei risultati quantitativi e assicurato una formulazione più coerente dei risultati raggiunti. </w:t>
            </w:r>
          </w:p>
          <w:p w14:paraId="798F6F76" w14:textId="77777777" w:rsidR="00916805" w:rsidRPr="003726BE" w:rsidRDefault="00916805" w:rsidP="001A31FB">
            <w:pPr>
              <w:pStyle w:val="ListParagraph"/>
              <w:numPr>
                <w:ilvl w:val="2"/>
                <w:numId w:val="31"/>
              </w:numPr>
              <w:suppressAutoHyphens/>
              <w:autoSpaceDN w:val="0"/>
              <w:spacing w:after="0" w:line="240" w:lineRule="auto"/>
              <w:textAlignment w:val="baseline"/>
              <w:outlineLvl w:val="9"/>
              <w:rPr>
                <w:rFonts w:ascii="Arial" w:hAnsi="Arial" w:cs="Arial"/>
                <w:b/>
                <w:color w:val="373737" w:themeColor="background1" w:themeShade="40"/>
                <w:sz w:val="18"/>
                <w:szCs w:val="18"/>
                <w:highlight w:val="yellow"/>
              </w:rPr>
            </w:pPr>
            <w:r w:rsidRPr="003726BE">
              <w:rPr>
                <w:rFonts w:ascii="Arial" w:hAnsi="Arial"/>
                <w:b/>
                <w:color w:val="373737" w:themeColor="background1" w:themeShade="40"/>
                <w:sz w:val="18"/>
                <w:highlight w:val="yellow"/>
              </w:rPr>
              <w:t>Sfide nell'applicazione dei metodi descritti e soluzioni trovate</w:t>
            </w:r>
          </w:p>
          <w:p w14:paraId="0EB3F3FC" w14:textId="77777777" w:rsidR="00916805" w:rsidRPr="003726BE" w:rsidRDefault="00916805" w:rsidP="001F1284">
            <w:pPr>
              <w:spacing w:after="60"/>
              <w:rPr>
                <w:rFonts w:cs="Arial"/>
                <w:color w:val="1F4E79"/>
                <w:szCs w:val="18"/>
                <w:highlight w:val="yellow"/>
              </w:rPr>
            </w:pPr>
            <w:r w:rsidRPr="003726BE">
              <w:rPr>
                <w:color w:val="546393" w:themeColor="accent3"/>
                <w:highlight w:val="yellow"/>
              </w:rPr>
              <w:t>Le sfide dettate dall'utilizzo del metodo dei gruppi specifici di discussione possono essere ricondotte al limitato numero di scelte dei rappresentanti corretti delle parti interessate (pregiudizi personali, presupposto di una buona conoscenza teorica e pratica della logica di intervento del PSR e dell'uso di indicatori) e alla preparazione delle sessioni dei gruppi (domande, attività). Nelle indagini, la sfida principale è stata l'elaborazione di questionari ben progettati.</w:t>
            </w:r>
          </w:p>
          <w:p w14:paraId="28A3D69A" w14:textId="77777777" w:rsidR="00916805" w:rsidRPr="003726BE" w:rsidRDefault="00916805" w:rsidP="00916805">
            <w:pPr>
              <w:spacing w:after="0"/>
              <w:rPr>
                <w:rFonts w:cs="Arial"/>
                <w:szCs w:val="18"/>
                <w:highlight w:val="yellow"/>
              </w:rPr>
            </w:pPr>
            <w:r w:rsidRPr="003726BE">
              <w:rPr>
                <w:i/>
                <w:color w:val="F7A833" w:themeColor="accent5"/>
                <w:highlight w:val="yellow"/>
              </w:rPr>
              <w:t>[Massimo 7 000 caratteri = circa 2 pagine – obbligatorio]</w:t>
            </w:r>
          </w:p>
        </w:tc>
      </w:tr>
    </w:tbl>
    <w:p w14:paraId="5060D9B9" w14:textId="77777777" w:rsidR="00A8083B" w:rsidRPr="003726BE" w:rsidRDefault="00A8083B" w:rsidP="00E54F4F">
      <w:pPr>
        <w:spacing w:line="280" w:lineRule="atLeast"/>
        <w:rPr>
          <w:sz w:val="24"/>
          <w:highlight w:val="yellow"/>
        </w:rPr>
        <w:sectPr w:rsidR="00A8083B" w:rsidRPr="003726BE" w:rsidSect="00FE5DEE">
          <w:pgSz w:w="11907" w:h="16840" w:code="9"/>
          <w:pgMar w:top="1418" w:right="1418" w:bottom="1418" w:left="1418" w:header="737" w:footer="709" w:gutter="0"/>
          <w:cols w:space="708"/>
          <w:titlePg/>
          <w:docGrid w:linePitch="435"/>
        </w:sectPr>
      </w:pPr>
    </w:p>
    <w:tbl>
      <w:tblPr>
        <w:tblW w:w="14801" w:type="dxa"/>
        <w:tblLayout w:type="fixed"/>
        <w:tblCellMar>
          <w:left w:w="10" w:type="dxa"/>
          <w:right w:w="10" w:type="dxa"/>
        </w:tblCellMar>
        <w:tblLook w:val="0000" w:firstRow="0" w:lastRow="0" w:firstColumn="0" w:lastColumn="0" w:noHBand="0" w:noVBand="0"/>
      </w:tblPr>
      <w:tblGrid>
        <w:gridCol w:w="1211"/>
        <w:gridCol w:w="1318"/>
        <w:gridCol w:w="918"/>
        <w:gridCol w:w="1350"/>
        <w:gridCol w:w="2341"/>
        <w:gridCol w:w="2195"/>
        <w:gridCol w:w="1843"/>
        <w:gridCol w:w="1496"/>
        <w:gridCol w:w="2129"/>
      </w:tblGrid>
      <w:tr w:rsidR="00E556D7" w:rsidRPr="003726BE" w14:paraId="2D9901E0" w14:textId="77777777" w:rsidTr="00984473">
        <w:trPr>
          <w:trHeight w:val="563"/>
        </w:trPr>
        <w:tc>
          <w:tcPr>
            <w:tcW w:w="14801" w:type="dxa"/>
            <w:gridSpan w:val="9"/>
            <w:tcBorders>
              <w:top w:val="single" w:sz="18" w:space="0" w:color="6F6F6F" w:themeColor="text1"/>
              <w:left w:val="single" w:sz="18" w:space="0" w:color="6F6F6F" w:themeColor="text1"/>
              <w:right w:val="single" w:sz="18" w:space="0" w:color="6F6F6F" w:themeColor="text1"/>
            </w:tcBorders>
            <w:shd w:val="clear" w:color="auto" w:fill="auto"/>
            <w:tcMar>
              <w:top w:w="0" w:type="dxa"/>
              <w:left w:w="108" w:type="dxa"/>
              <w:bottom w:w="0" w:type="dxa"/>
              <w:right w:w="108" w:type="dxa"/>
            </w:tcMar>
          </w:tcPr>
          <w:p w14:paraId="2E8D643A" w14:textId="77777777" w:rsidR="002B007A" w:rsidRPr="003726BE" w:rsidRDefault="002B007A" w:rsidP="001A31FB">
            <w:pPr>
              <w:pStyle w:val="ListParagraph"/>
              <w:numPr>
                <w:ilvl w:val="0"/>
                <w:numId w:val="45"/>
              </w:numPr>
              <w:suppressAutoHyphens/>
              <w:autoSpaceDN w:val="0"/>
              <w:spacing w:after="0" w:line="240" w:lineRule="auto"/>
              <w:textAlignment w:val="baseline"/>
              <w:rPr>
                <w:rFonts w:ascii="Arial" w:hAnsi="Arial" w:cs="Arial"/>
                <w:b/>
                <w:snapToGrid/>
                <w:color w:val="ED7D31"/>
                <w:sz w:val="20"/>
                <w:szCs w:val="20"/>
                <w:highlight w:val="yellow"/>
              </w:rPr>
            </w:pPr>
            <w:r w:rsidRPr="003726BE">
              <w:rPr>
                <w:rFonts w:ascii="Arial" w:hAnsi="Arial"/>
                <w:b/>
                <w:snapToGrid/>
                <w:color w:val="ED7D31"/>
                <w:sz w:val="18"/>
                <w:highlight w:val="yellow"/>
              </w:rPr>
              <w:lastRenderedPageBreak/>
              <w:t>Valori quantitativi degli indicatori</w:t>
            </w:r>
            <w:r w:rsidRPr="003726BE">
              <w:rPr>
                <w:rStyle w:val="FootnoteReference"/>
                <w:highlight w:val="yellow"/>
              </w:rPr>
              <w:footnoteReference w:id="113"/>
            </w:r>
            <w:r w:rsidRPr="003726BE">
              <w:rPr>
                <w:rFonts w:ascii="Arial" w:hAnsi="Arial"/>
                <w:b/>
                <w:snapToGrid/>
                <w:color w:val="ED7D31"/>
                <w:sz w:val="18"/>
                <w:highlight w:val="yellow"/>
              </w:rPr>
              <w:t xml:space="preserve"> e fonti dei dati </w:t>
            </w:r>
          </w:p>
          <w:p w14:paraId="014ACCA2" w14:textId="77777777" w:rsidR="00E556D7" w:rsidRPr="003726BE" w:rsidRDefault="002B007A" w:rsidP="002B007A">
            <w:pPr>
              <w:jc w:val="left"/>
              <w:rPr>
                <w:rFonts w:cs="Arial"/>
                <w:b/>
                <w:color w:val="262626" w:themeColor="text2" w:themeTint="D9"/>
                <w:sz w:val="20"/>
                <w:szCs w:val="20"/>
                <w:highlight w:val="yellow"/>
              </w:rPr>
            </w:pPr>
            <w:r w:rsidRPr="003726BE">
              <w:rPr>
                <w:i/>
                <w:color w:val="F7A833" w:themeColor="accent5"/>
                <w:highlight w:val="yellow"/>
              </w:rPr>
              <w:t>[Obbligatorio].</w:t>
            </w:r>
          </w:p>
        </w:tc>
      </w:tr>
      <w:tr w:rsidR="00B6293F" w:rsidRPr="003726BE" w14:paraId="4DAC38BE" w14:textId="77777777" w:rsidTr="005E3A47">
        <w:trPr>
          <w:trHeight w:val="563"/>
        </w:trPr>
        <w:tc>
          <w:tcPr>
            <w:tcW w:w="2529" w:type="dxa"/>
            <w:gridSpan w:val="2"/>
            <w:vMerge w:val="restart"/>
            <w:tcBorders>
              <w:top w:val="single" w:sz="18" w:space="0" w:color="6F6F6F" w:themeColor="text1"/>
              <w:left w:val="single" w:sz="18" w:space="0" w:color="6F6F6F" w:themeColor="text1"/>
              <w:right w:val="single" w:sz="4" w:space="0" w:color="auto"/>
            </w:tcBorders>
            <w:shd w:val="clear" w:color="auto" w:fill="auto"/>
            <w:tcMar>
              <w:top w:w="0" w:type="dxa"/>
              <w:left w:w="108" w:type="dxa"/>
              <w:bottom w:w="0" w:type="dxa"/>
              <w:right w:w="108" w:type="dxa"/>
            </w:tcMar>
          </w:tcPr>
          <w:p w14:paraId="61E9A97E" w14:textId="77777777" w:rsidR="00B6293F" w:rsidRPr="003726BE" w:rsidRDefault="00B6293F" w:rsidP="001F1284">
            <w:pPr>
              <w:jc w:val="left"/>
              <w:rPr>
                <w:rFonts w:cs="Arial"/>
                <w:b/>
                <w:color w:val="373737" w:themeColor="background1" w:themeShade="40"/>
                <w:szCs w:val="18"/>
                <w:highlight w:val="yellow"/>
              </w:rPr>
            </w:pPr>
            <w:r w:rsidRPr="003726BE">
              <w:rPr>
                <w:b/>
                <w:color w:val="373737" w:themeColor="background1" w:themeShade="40"/>
                <w:highlight w:val="yellow"/>
              </w:rPr>
              <w:t xml:space="preserve">Indicatore </w:t>
            </w:r>
          </w:p>
        </w:tc>
        <w:tc>
          <w:tcPr>
            <w:tcW w:w="918" w:type="dxa"/>
            <w:vMerge w:val="restart"/>
            <w:tcBorders>
              <w:top w:val="single" w:sz="18" w:space="0" w:color="6F6F6F" w:themeColor="text1"/>
              <w:left w:val="single" w:sz="4" w:space="0" w:color="auto"/>
              <w:right w:val="single" w:sz="4" w:space="0" w:color="auto"/>
            </w:tcBorders>
            <w:shd w:val="clear" w:color="auto" w:fill="auto"/>
          </w:tcPr>
          <w:p w14:paraId="5C18382D" w14:textId="77777777" w:rsidR="00B6293F" w:rsidRPr="003726BE" w:rsidRDefault="00B6293F" w:rsidP="001F1284">
            <w:pPr>
              <w:spacing w:after="0" w:line="240" w:lineRule="auto"/>
              <w:jc w:val="left"/>
              <w:rPr>
                <w:rFonts w:cs="Arial"/>
                <w:b/>
                <w:color w:val="373737" w:themeColor="background1" w:themeShade="40"/>
                <w:sz w:val="20"/>
                <w:szCs w:val="20"/>
                <w:highlight w:val="yellow"/>
              </w:rPr>
            </w:pPr>
            <w:r w:rsidRPr="003726BE">
              <w:rPr>
                <w:b/>
                <w:color w:val="373737" w:themeColor="background1" w:themeShade="40"/>
                <w:highlight w:val="yellow"/>
              </w:rPr>
              <w:t>Valore assoluto</w:t>
            </w:r>
            <w:r w:rsidRPr="003726BE">
              <w:rPr>
                <w:rStyle w:val="FootnoteReference"/>
                <w:highlight w:val="yellow"/>
              </w:rPr>
              <w:footnoteReference w:id="114"/>
            </w:r>
          </w:p>
        </w:tc>
        <w:tc>
          <w:tcPr>
            <w:tcW w:w="1350" w:type="dxa"/>
            <w:vMerge w:val="restart"/>
            <w:tcBorders>
              <w:top w:val="single" w:sz="18" w:space="0" w:color="6F6F6F" w:themeColor="text1"/>
              <w:left w:val="single" w:sz="4" w:space="0" w:color="auto"/>
              <w:right w:val="single" w:sz="4" w:space="0" w:color="auto"/>
            </w:tcBorders>
            <w:shd w:val="clear" w:color="auto" w:fill="auto"/>
          </w:tcPr>
          <w:p w14:paraId="28300000" w14:textId="77777777" w:rsidR="00B6293F" w:rsidRPr="003726BE" w:rsidRDefault="00B6293F" w:rsidP="001F1284">
            <w:pPr>
              <w:spacing w:after="0" w:line="240" w:lineRule="auto"/>
              <w:jc w:val="left"/>
              <w:rPr>
                <w:rFonts w:cs="Arial"/>
                <w:b/>
                <w:color w:val="373737" w:themeColor="background1" w:themeShade="40"/>
                <w:sz w:val="20"/>
                <w:szCs w:val="20"/>
                <w:highlight w:val="yellow"/>
              </w:rPr>
            </w:pPr>
            <w:r w:rsidRPr="003726BE">
              <w:rPr>
                <w:b/>
                <w:color w:val="373737" w:themeColor="background1" w:themeShade="40"/>
                <w:highlight w:val="yellow"/>
              </w:rPr>
              <w:t>Valore di rapporto</w:t>
            </w:r>
            <w:r w:rsidRPr="003726BE">
              <w:rPr>
                <w:rStyle w:val="FootnoteReference"/>
                <w:highlight w:val="yellow"/>
              </w:rPr>
              <w:footnoteReference w:id="115"/>
            </w:r>
          </w:p>
        </w:tc>
        <w:tc>
          <w:tcPr>
            <w:tcW w:w="6379" w:type="dxa"/>
            <w:gridSpan w:val="3"/>
            <w:tcBorders>
              <w:top w:val="single" w:sz="18" w:space="0" w:color="6F6F6F" w:themeColor="text1"/>
              <w:left w:val="single" w:sz="4" w:space="0" w:color="auto"/>
              <w:bottom w:val="single" w:sz="4" w:space="0" w:color="auto"/>
              <w:right w:val="single" w:sz="4" w:space="0" w:color="auto"/>
            </w:tcBorders>
            <w:shd w:val="clear" w:color="auto" w:fill="auto"/>
          </w:tcPr>
          <w:p w14:paraId="547CB7D2" w14:textId="77777777" w:rsidR="00B6293F" w:rsidRPr="003726BE" w:rsidRDefault="00B6293F" w:rsidP="001F1284">
            <w:pPr>
              <w:spacing w:after="0" w:line="240" w:lineRule="auto"/>
              <w:jc w:val="left"/>
              <w:rPr>
                <w:rFonts w:cs="Arial"/>
                <w:b/>
                <w:color w:val="373737" w:themeColor="background1" w:themeShade="40"/>
                <w:sz w:val="20"/>
                <w:szCs w:val="20"/>
                <w:highlight w:val="yellow"/>
              </w:rPr>
            </w:pPr>
            <w:r w:rsidRPr="003726BE">
              <w:rPr>
                <w:b/>
                <w:color w:val="373737" w:themeColor="background1" w:themeShade="40"/>
                <w:highlight w:val="yellow"/>
              </w:rPr>
              <w:t>Valore lordo calcolato</w:t>
            </w:r>
            <w:r w:rsidRPr="003726BE">
              <w:rPr>
                <w:rStyle w:val="FootnoteReference"/>
                <w:highlight w:val="yellow"/>
              </w:rPr>
              <w:footnoteReference w:id="116"/>
            </w:r>
          </w:p>
        </w:tc>
        <w:tc>
          <w:tcPr>
            <w:tcW w:w="1496" w:type="dxa"/>
            <w:vMerge w:val="restart"/>
            <w:tcBorders>
              <w:top w:val="single" w:sz="18" w:space="0" w:color="6F6F6F" w:themeColor="text1"/>
              <w:left w:val="single" w:sz="4" w:space="0" w:color="auto"/>
              <w:right w:val="single" w:sz="4" w:space="0" w:color="auto"/>
            </w:tcBorders>
            <w:shd w:val="clear" w:color="auto" w:fill="auto"/>
          </w:tcPr>
          <w:p w14:paraId="4FA4D97E" w14:textId="77777777" w:rsidR="00B6293F" w:rsidRPr="003726BE" w:rsidRDefault="00B6293F" w:rsidP="001F1284">
            <w:pPr>
              <w:spacing w:after="0" w:line="240" w:lineRule="auto"/>
              <w:jc w:val="left"/>
              <w:rPr>
                <w:rFonts w:cs="Arial"/>
                <w:b/>
                <w:color w:val="373737" w:themeColor="background1" w:themeShade="40"/>
                <w:sz w:val="20"/>
                <w:szCs w:val="20"/>
                <w:highlight w:val="yellow"/>
              </w:rPr>
            </w:pPr>
            <w:r w:rsidRPr="003726BE">
              <w:rPr>
                <w:b/>
                <w:color w:val="373737" w:themeColor="background1" w:themeShade="40"/>
                <w:highlight w:val="yellow"/>
              </w:rPr>
              <w:t>Valore netto calcolato</w:t>
            </w:r>
            <w:r w:rsidRPr="003726BE">
              <w:rPr>
                <w:rStyle w:val="FootnoteReference"/>
                <w:highlight w:val="yellow"/>
              </w:rPr>
              <w:footnoteReference w:id="117"/>
            </w:r>
          </w:p>
        </w:tc>
        <w:tc>
          <w:tcPr>
            <w:tcW w:w="2129" w:type="dxa"/>
            <w:tcBorders>
              <w:top w:val="single" w:sz="18" w:space="0" w:color="6F6F6F" w:themeColor="text1"/>
              <w:left w:val="single" w:sz="4" w:space="0" w:color="auto"/>
              <w:right w:val="single" w:sz="18" w:space="0" w:color="6F6F6F" w:themeColor="text1"/>
            </w:tcBorders>
            <w:shd w:val="clear" w:color="auto" w:fill="auto"/>
          </w:tcPr>
          <w:p w14:paraId="02388753" w14:textId="77777777" w:rsidR="00B6293F" w:rsidRPr="003726BE" w:rsidRDefault="00B6293F" w:rsidP="001F1284">
            <w:pPr>
              <w:jc w:val="left"/>
              <w:rPr>
                <w:rFonts w:cs="Arial"/>
                <w:b/>
                <w:color w:val="373737" w:themeColor="background1" w:themeShade="40"/>
                <w:sz w:val="20"/>
                <w:szCs w:val="20"/>
                <w:highlight w:val="yellow"/>
              </w:rPr>
            </w:pPr>
            <w:r w:rsidRPr="003726BE">
              <w:rPr>
                <w:b/>
                <w:color w:val="373737" w:themeColor="background1" w:themeShade="40"/>
                <w:highlight w:val="yellow"/>
              </w:rPr>
              <w:t>Fonti di dati e informazioni</w:t>
            </w:r>
            <w:r w:rsidRPr="003726BE">
              <w:rPr>
                <w:rStyle w:val="FootnoteReference"/>
                <w:highlight w:val="yellow"/>
              </w:rPr>
              <w:footnoteReference w:id="118"/>
            </w:r>
          </w:p>
        </w:tc>
      </w:tr>
      <w:tr w:rsidR="00B6293F" w:rsidRPr="003726BE" w14:paraId="55E511D6" w14:textId="77777777" w:rsidTr="005E3A47">
        <w:trPr>
          <w:trHeight w:val="413"/>
        </w:trPr>
        <w:tc>
          <w:tcPr>
            <w:tcW w:w="2529" w:type="dxa"/>
            <w:gridSpan w:val="2"/>
            <w:vMerge/>
            <w:tcBorders>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14:paraId="6309B6B4" w14:textId="77777777" w:rsidR="00B6293F" w:rsidRPr="003726BE" w:rsidRDefault="00B6293F" w:rsidP="00DE4EB3">
            <w:pPr>
              <w:rPr>
                <w:rFonts w:cs="Arial"/>
                <w:b/>
                <w:color w:val="262626" w:themeColor="text2" w:themeTint="D9"/>
                <w:sz w:val="20"/>
                <w:szCs w:val="20"/>
                <w:highlight w:val="yellow"/>
              </w:rPr>
            </w:pPr>
          </w:p>
        </w:tc>
        <w:tc>
          <w:tcPr>
            <w:tcW w:w="918" w:type="dxa"/>
            <w:vMerge/>
            <w:tcBorders>
              <w:left w:val="single" w:sz="4" w:space="0" w:color="auto"/>
              <w:bottom w:val="single" w:sz="18" w:space="0" w:color="6F6F6F" w:themeColor="text1"/>
              <w:right w:val="single" w:sz="4" w:space="0" w:color="auto"/>
            </w:tcBorders>
            <w:shd w:val="clear" w:color="auto" w:fill="auto"/>
          </w:tcPr>
          <w:p w14:paraId="06B2F488" w14:textId="77777777" w:rsidR="00B6293F" w:rsidRPr="003726BE" w:rsidRDefault="00B6293F" w:rsidP="00DE4EB3">
            <w:pPr>
              <w:spacing w:after="0" w:line="240" w:lineRule="auto"/>
              <w:rPr>
                <w:rFonts w:cs="Arial"/>
                <w:b/>
                <w:color w:val="262626" w:themeColor="text2" w:themeTint="D9"/>
                <w:sz w:val="20"/>
                <w:szCs w:val="20"/>
                <w:highlight w:val="yellow"/>
              </w:rPr>
            </w:pPr>
          </w:p>
        </w:tc>
        <w:tc>
          <w:tcPr>
            <w:tcW w:w="1350" w:type="dxa"/>
            <w:vMerge/>
            <w:tcBorders>
              <w:left w:val="single" w:sz="4" w:space="0" w:color="auto"/>
              <w:bottom w:val="single" w:sz="18" w:space="0" w:color="6F6F6F" w:themeColor="text1"/>
              <w:right w:val="single" w:sz="4" w:space="0" w:color="auto"/>
            </w:tcBorders>
            <w:shd w:val="clear" w:color="auto" w:fill="auto"/>
          </w:tcPr>
          <w:p w14:paraId="1A5BB06B" w14:textId="77777777" w:rsidR="00B6293F" w:rsidRPr="003726BE" w:rsidRDefault="00B6293F" w:rsidP="00DE4EB3">
            <w:pPr>
              <w:spacing w:after="0" w:line="240" w:lineRule="auto"/>
              <w:rPr>
                <w:b/>
                <w:color w:val="373737" w:themeColor="background1" w:themeShade="40"/>
                <w:sz w:val="16"/>
                <w:szCs w:val="16"/>
                <w:highlight w:val="yellow"/>
              </w:rPr>
            </w:pPr>
          </w:p>
        </w:tc>
        <w:tc>
          <w:tcPr>
            <w:tcW w:w="2341" w:type="dxa"/>
            <w:tcBorders>
              <w:top w:val="single" w:sz="4" w:space="0" w:color="auto"/>
              <w:left w:val="single" w:sz="4" w:space="0" w:color="auto"/>
              <w:bottom w:val="single" w:sz="18" w:space="0" w:color="6F6F6F" w:themeColor="text1"/>
              <w:right w:val="single" w:sz="4" w:space="0" w:color="auto"/>
            </w:tcBorders>
            <w:shd w:val="clear" w:color="auto" w:fill="auto"/>
          </w:tcPr>
          <w:p w14:paraId="4A8BB663" w14:textId="77777777" w:rsidR="00B6293F" w:rsidRPr="003726BE" w:rsidRDefault="00B6293F" w:rsidP="001218B1">
            <w:pPr>
              <w:spacing w:after="0" w:line="240" w:lineRule="auto"/>
              <w:ind w:right="62"/>
              <w:rPr>
                <w:b/>
                <w:color w:val="373737" w:themeColor="background1" w:themeShade="40"/>
                <w:sz w:val="14"/>
                <w:szCs w:val="14"/>
                <w:highlight w:val="yellow"/>
              </w:rPr>
            </w:pPr>
            <w:r w:rsidRPr="003726BE">
              <w:rPr>
                <w:b/>
                <w:color w:val="373737" w:themeColor="background1" w:themeShade="40"/>
                <w:sz w:val="14"/>
                <w:highlight w:val="yellow"/>
              </w:rPr>
              <w:t xml:space="preserve">Contributi primari </w:t>
            </w:r>
          </w:p>
        </w:tc>
        <w:tc>
          <w:tcPr>
            <w:tcW w:w="2195" w:type="dxa"/>
            <w:tcBorders>
              <w:top w:val="single" w:sz="4" w:space="0" w:color="auto"/>
              <w:left w:val="single" w:sz="4" w:space="0" w:color="auto"/>
              <w:bottom w:val="single" w:sz="18" w:space="0" w:color="6F6F6F" w:themeColor="text1"/>
              <w:right w:val="single" w:sz="4" w:space="0" w:color="auto"/>
            </w:tcBorders>
            <w:shd w:val="clear" w:color="auto" w:fill="auto"/>
          </w:tcPr>
          <w:p w14:paraId="6CE0D2AC" w14:textId="77777777" w:rsidR="00B6293F" w:rsidRPr="003726BE" w:rsidRDefault="00B6293F" w:rsidP="005E3A47">
            <w:pPr>
              <w:spacing w:after="0" w:line="240" w:lineRule="auto"/>
              <w:jc w:val="left"/>
              <w:rPr>
                <w:b/>
                <w:color w:val="373737" w:themeColor="background1" w:themeShade="40"/>
                <w:sz w:val="14"/>
                <w:szCs w:val="14"/>
                <w:highlight w:val="yellow"/>
              </w:rPr>
            </w:pPr>
            <w:r w:rsidRPr="003726BE">
              <w:rPr>
                <w:b/>
                <w:color w:val="373737" w:themeColor="background1" w:themeShade="40"/>
                <w:sz w:val="14"/>
                <w:highlight w:val="yellow"/>
              </w:rPr>
              <w:t xml:space="preserve">Contributi secondari, tra cui </w:t>
            </w:r>
          </w:p>
          <w:p w14:paraId="07FF011B" w14:textId="77777777" w:rsidR="00B6293F" w:rsidRPr="003726BE" w:rsidRDefault="00B6293F" w:rsidP="00DE4EB3">
            <w:pPr>
              <w:spacing w:after="0" w:line="240" w:lineRule="auto"/>
              <w:rPr>
                <w:b/>
                <w:color w:val="373737" w:themeColor="background1" w:themeShade="40"/>
                <w:sz w:val="14"/>
                <w:szCs w:val="14"/>
                <w:highlight w:val="yellow"/>
              </w:rPr>
            </w:pPr>
            <w:r w:rsidRPr="003726BE">
              <w:rPr>
                <w:b/>
                <w:color w:val="373737" w:themeColor="background1" w:themeShade="40"/>
                <w:sz w:val="14"/>
                <w:highlight w:val="yellow"/>
              </w:rPr>
              <w:t>Contributi LEADER/CLLD</w:t>
            </w:r>
          </w:p>
        </w:tc>
        <w:tc>
          <w:tcPr>
            <w:tcW w:w="1843" w:type="dxa"/>
            <w:tcBorders>
              <w:top w:val="single" w:sz="4" w:space="0" w:color="auto"/>
              <w:left w:val="single" w:sz="4" w:space="0" w:color="auto"/>
              <w:bottom w:val="single" w:sz="18" w:space="0" w:color="6F6F6F" w:themeColor="text1"/>
              <w:right w:val="single" w:sz="4" w:space="0" w:color="auto"/>
            </w:tcBorders>
            <w:shd w:val="clear" w:color="auto" w:fill="auto"/>
          </w:tcPr>
          <w:p w14:paraId="5CDA1C95" w14:textId="77777777" w:rsidR="00B6293F" w:rsidRPr="003726BE" w:rsidRDefault="00B6293F" w:rsidP="00DE4EB3">
            <w:pPr>
              <w:spacing w:after="0" w:line="240" w:lineRule="auto"/>
              <w:rPr>
                <w:b/>
                <w:color w:val="373737" w:themeColor="background1" w:themeShade="40"/>
                <w:sz w:val="14"/>
                <w:szCs w:val="14"/>
                <w:highlight w:val="yellow"/>
              </w:rPr>
            </w:pPr>
            <w:r w:rsidRPr="003726BE">
              <w:rPr>
                <w:b/>
                <w:color w:val="373737" w:themeColor="background1" w:themeShade="40"/>
                <w:sz w:val="14"/>
                <w:highlight w:val="yellow"/>
              </w:rPr>
              <w:t>Valore totale</w:t>
            </w:r>
          </w:p>
        </w:tc>
        <w:tc>
          <w:tcPr>
            <w:tcW w:w="1496" w:type="dxa"/>
            <w:vMerge/>
            <w:tcBorders>
              <w:left w:val="single" w:sz="4" w:space="0" w:color="auto"/>
              <w:bottom w:val="single" w:sz="18" w:space="0" w:color="6F6F6F" w:themeColor="text1"/>
              <w:right w:val="single" w:sz="4" w:space="0" w:color="auto"/>
            </w:tcBorders>
            <w:shd w:val="clear" w:color="auto" w:fill="auto"/>
          </w:tcPr>
          <w:p w14:paraId="36876DAD" w14:textId="77777777" w:rsidR="00B6293F" w:rsidRPr="003726BE" w:rsidRDefault="00B6293F" w:rsidP="00DE4EB3">
            <w:pPr>
              <w:spacing w:after="0" w:line="240" w:lineRule="auto"/>
              <w:rPr>
                <w:b/>
                <w:color w:val="373737" w:themeColor="background1" w:themeShade="40"/>
                <w:sz w:val="14"/>
                <w:szCs w:val="14"/>
                <w:highlight w:val="yellow"/>
              </w:rPr>
            </w:pPr>
          </w:p>
        </w:tc>
        <w:tc>
          <w:tcPr>
            <w:tcW w:w="2129" w:type="dxa"/>
            <w:tcBorders>
              <w:left w:val="single" w:sz="4" w:space="0" w:color="auto"/>
              <w:bottom w:val="single" w:sz="18" w:space="0" w:color="6F6F6F" w:themeColor="text1"/>
              <w:right w:val="single" w:sz="18" w:space="0" w:color="6F6F6F" w:themeColor="text1"/>
            </w:tcBorders>
            <w:shd w:val="clear" w:color="auto" w:fill="auto"/>
          </w:tcPr>
          <w:p w14:paraId="04874EC2" w14:textId="77777777" w:rsidR="00B6293F" w:rsidRPr="003726BE" w:rsidRDefault="00B6293F" w:rsidP="00DE4EB3">
            <w:pPr>
              <w:rPr>
                <w:rFonts w:cs="Arial"/>
                <w:b/>
                <w:color w:val="262626" w:themeColor="text2" w:themeTint="D9"/>
                <w:sz w:val="20"/>
                <w:szCs w:val="20"/>
                <w:highlight w:val="yellow"/>
              </w:rPr>
            </w:pPr>
          </w:p>
        </w:tc>
      </w:tr>
      <w:tr w:rsidR="00B6293F" w:rsidRPr="003726BE" w14:paraId="15E9530A" w14:textId="77777777" w:rsidTr="005E3A47">
        <w:trPr>
          <w:trHeight w:val="563"/>
        </w:trPr>
        <w:tc>
          <w:tcPr>
            <w:tcW w:w="1211" w:type="dxa"/>
            <w:vMerge w:val="restart"/>
            <w:tcBorders>
              <w:top w:val="single" w:sz="18" w:space="0" w:color="6F6F6F" w:themeColor="text1"/>
              <w:left w:val="single" w:sz="18" w:space="0" w:color="6F6F6F" w:themeColor="text1"/>
              <w:right w:val="single" w:sz="4" w:space="0" w:color="auto"/>
            </w:tcBorders>
            <w:shd w:val="clear" w:color="auto" w:fill="auto"/>
            <w:tcMar>
              <w:top w:w="0" w:type="dxa"/>
              <w:left w:w="108" w:type="dxa"/>
              <w:bottom w:w="0" w:type="dxa"/>
              <w:right w:w="108" w:type="dxa"/>
            </w:tcMar>
          </w:tcPr>
          <w:p w14:paraId="4FEA22C5" w14:textId="77777777" w:rsidR="00B6293F" w:rsidRPr="003726BE" w:rsidRDefault="00B6293F" w:rsidP="00DE4EB3">
            <w:pPr>
              <w:rPr>
                <w:rFonts w:cs="Arial"/>
                <w:b/>
                <w:color w:val="373737" w:themeColor="background1" w:themeShade="40"/>
                <w:sz w:val="20"/>
                <w:szCs w:val="20"/>
                <w:highlight w:val="yellow"/>
              </w:rPr>
            </w:pPr>
            <w:r w:rsidRPr="003726BE">
              <w:rPr>
                <w:b/>
                <w:color w:val="373737" w:themeColor="background1" w:themeShade="40"/>
                <w:highlight w:val="yellow"/>
              </w:rPr>
              <w:t>Indicatori comuni di prodotto</w:t>
            </w:r>
            <w:r w:rsidRPr="003726BE">
              <w:rPr>
                <w:rStyle w:val="FootnoteReference"/>
                <w:highlight w:val="yellow"/>
              </w:rPr>
              <w:footnoteReference w:id="119"/>
            </w:r>
          </w:p>
        </w:tc>
        <w:tc>
          <w:tcPr>
            <w:tcW w:w="1318" w:type="dxa"/>
            <w:tcBorders>
              <w:top w:val="single" w:sz="18" w:space="0" w:color="6F6F6F" w:themeColor="text1"/>
              <w:left w:val="single" w:sz="4" w:space="0" w:color="auto"/>
              <w:bottom w:val="single" w:sz="4" w:space="0" w:color="auto"/>
              <w:right w:val="single" w:sz="4" w:space="0" w:color="auto"/>
            </w:tcBorders>
            <w:shd w:val="clear" w:color="auto" w:fill="auto"/>
          </w:tcPr>
          <w:p w14:paraId="6444CC36" w14:textId="77777777" w:rsidR="00B6293F" w:rsidRPr="003726BE" w:rsidRDefault="00B6293F" w:rsidP="00DE4EB3">
            <w:pPr>
              <w:spacing w:after="0"/>
              <w:jc w:val="left"/>
              <w:rPr>
                <w:rFonts w:cs="Arial"/>
                <w:b/>
                <w:color w:val="546393" w:themeColor="accent3"/>
                <w:szCs w:val="18"/>
                <w:highlight w:val="yellow"/>
              </w:rPr>
            </w:pPr>
            <w:r w:rsidRPr="003726BE">
              <w:rPr>
                <w:b/>
                <w:color w:val="546393" w:themeColor="accent3"/>
                <w:highlight w:val="yellow"/>
              </w:rPr>
              <w:t xml:space="preserve">O3 - Numero di operazioni sovvenzionate </w:t>
            </w:r>
          </w:p>
          <w:p w14:paraId="3E5B1BFE" w14:textId="77777777" w:rsidR="00B6293F" w:rsidRPr="003726BE" w:rsidRDefault="00B6293F" w:rsidP="00DE4EB3">
            <w:pPr>
              <w:spacing w:after="0"/>
              <w:jc w:val="left"/>
              <w:rPr>
                <w:rFonts w:cs="Arial"/>
                <w:b/>
                <w:color w:val="546393" w:themeColor="accent3"/>
                <w:szCs w:val="18"/>
                <w:highlight w:val="yellow"/>
              </w:rPr>
            </w:pPr>
            <w:r w:rsidRPr="003726BE">
              <w:rPr>
                <w:b/>
                <w:color w:val="546393" w:themeColor="accent3"/>
                <w:highlight w:val="yellow"/>
              </w:rPr>
              <w:t>(misure primarie/secondarie)</w:t>
            </w:r>
          </w:p>
        </w:tc>
        <w:tc>
          <w:tcPr>
            <w:tcW w:w="918" w:type="dxa"/>
            <w:tcBorders>
              <w:top w:val="single" w:sz="18" w:space="0" w:color="6F6F6F" w:themeColor="text1"/>
              <w:left w:val="single" w:sz="4" w:space="0" w:color="auto"/>
              <w:bottom w:val="single" w:sz="4" w:space="0" w:color="auto"/>
              <w:right w:val="single" w:sz="4" w:space="0" w:color="auto"/>
            </w:tcBorders>
            <w:shd w:val="clear" w:color="auto" w:fill="auto"/>
          </w:tcPr>
          <w:p w14:paraId="484DBA16" w14:textId="77777777" w:rsidR="00B6293F" w:rsidRPr="003726BE" w:rsidRDefault="00B6293F" w:rsidP="00DE4EB3">
            <w:pPr>
              <w:pStyle w:val="ListParagraph"/>
              <w:spacing w:after="0" w:line="240" w:lineRule="auto"/>
              <w:ind w:left="2160"/>
              <w:rPr>
                <w:rFonts w:ascii="Arial" w:hAnsi="Arial" w:cs="Arial"/>
                <w:b/>
                <w:color w:val="546393" w:themeColor="accent3"/>
                <w:sz w:val="16"/>
                <w:szCs w:val="16"/>
                <w:highlight w:val="yellow"/>
              </w:rPr>
            </w:pPr>
          </w:p>
          <w:p w14:paraId="68E8BD86" w14:textId="77777777" w:rsidR="00B6293F" w:rsidRPr="003726BE" w:rsidRDefault="00B6293F" w:rsidP="00DE4EB3">
            <w:pPr>
              <w:rPr>
                <w:rFonts w:cs="Arial"/>
                <w:color w:val="546393" w:themeColor="accent3"/>
                <w:sz w:val="16"/>
                <w:szCs w:val="16"/>
                <w:highlight w:val="yellow"/>
              </w:rPr>
            </w:pPr>
            <w:r w:rsidRPr="003726BE">
              <w:rPr>
                <w:color w:val="546393" w:themeColor="accent3"/>
                <w:sz w:val="16"/>
                <w:highlight w:val="yellow"/>
              </w:rPr>
              <w:t>918/1 228</w:t>
            </w:r>
          </w:p>
        </w:tc>
        <w:tc>
          <w:tcPr>
            <w:tcW w:w="1350" w:type="dxa"/>
            <w:tcBorders>
              <w:top w:val="single" w:sz="18" w:space="0" w:color="6F6F6F" w:themeColor="text1"/>
              <w:left w:val="single" w:sz="4" w:space="0" w:color="auto"/>
              <w:bottom w:val="single" w:sz="4" w:space="0" w:color="auto"/>
              <w:right w:val="single" w:sz="4" w:space="0" w:color="auto"/>
            </w:tcBorders>
            <w:shd w:val="reverseDiagStripe" w:color="A5A5A5" w:themeColor="background1" w:themeShade="BF" w:fill="DDDDDD"/>
          </w:tcPr>
          <w:p w14:paraId="43BBAE39" w14:textId="77777777" w:rsidR="00B6293F" w:rsidRPr="003726BE" w:rsidRDefault="00B6293F" w:rsidP="00DE4EB3">
            <w:pPr>
              <w:pStyle w:val="ListParagraph"/>
              <w:spacing w:after="0" w:line="240" w:lineRule="auto"/>
              <w:ind w:left="2160"/>
              <w:rPr>
                <w:rFonts w:ascii="Arial" w:hAnsi="Arial" w:cs="Arial"/>
                <w:b/>
                <w:color w:val="262626" w:themeColor="text2" w:themeTint="D9"/>
                <w:sz w:val="16"/>
                <w:szCs w:val="16"/>
                <w:highlight w:val="yellow"/>
              </w:rPr>
            </w:pPr>
          </w:p>
        </w:tc>
        <w:tc>
          <w:tcPr>
            <w:tcW w:w="2341" w:type="dxa"/>
            <w:tcBorders>
              <w:top w:val="single" w:sz="18" w:space="0" w:color="6F6F6F" w:themeColor="text1"/>
              <w:left w:val="single" w:sz="4" w:space="0" w:color="auto"/>
              <w:bottom w:val="single" w:sz="4" w:space="0" w:color="auto"/>
              <w:right w:val="single" w:sz="4" w:space="0" w:color="auto"/>
            </w:tcBorders>
            <w:shd w:val="reverseDiagStripe" w:color="A5A5A5" w:themeColor="background1" w:themeShade="BF" w:fill="DDDDDD"/>
          </w:tcPr>
          <w:p w14:paraId="121793CE" w14:textId="77777777" w:rsidR="00B6293F" w:rsidRPr="003726BE" w:rsidRDefault="00B6293F" w:rsidP="00DE4EB3">
            <w:pPr>
              <w:pStyle w:val="ListParagraph"/>
              <w:spacing w:after="0" w:line="240" w:lineRule="auto"/>
              <w:ind w:left="2160"/>
              <w:rPr>
                <w:rFonts w:ascii="Arial" w:hAnsi="Arial" w:cs="Arial"/>
                <w:b/>
                <w:color w:val="262626" w:themeColor="text2" w:themeTint="D9"/>
                <w:sz w:val="20"/>
                <w:szCs w:val="20"/>
                <w:highlight w:val="yellow"/>
              </w:rPr>
            </w:pPr>
          </w:p>
        </w:tc>
        <w:tc>
          <w:tcPr>
            <w:tcW w:w="2195" w:type="dxa"/>
            <w:tcBorders>
              <w:top w:val="single" w:sz="18" w:space="0" w:color="6F6F6F" w:themeColor="text1"/>
              <w:left w:val="single" w:sz="4" w:space="0" w:color="auto"/>
              <w:bottom w:val="single" w:sz="4" w:space="0" w:color="auto"/>
              <w:right w:val="single" w:sz="4" w:space="0" w:color="auto"/>
            </w:tcBorders>
            <w:shd w:val="reverseDiagStripe" w:color="A5A5A5" w:themeColor="background1" w:themeShade="BF" w:fill="DDDDDD"/>
          </w:tcPr>
          <w:p w14:paraId="2D8E0A2C" w14:textId="77777777" w:rsidR="00B6293F" w:rsidRPr="003726BE" w:rsidRDefault="00B6293F" w:rsidP="00DE4EB3">
            <w:pPr>
              <w:pStyle w:val="ListParagraph"/>
              <w:spacing w:after="0" w:line="240" w:lineRule="auto"/>
              <w:ind w:left="2160"/>
              <w:rPr>
                <w:rFonts w:ascii="Arial" w:hAnsi="Arial" w:cs="Arial"/>
                <w:b/>
                <w:color w:val="262626" w:themeColor="text2" w:themeTint="D9"/>
                <w:sz w:val="20"/>
                <w:szCs w:val="20"/>
                <w:highlight w:val="yellow"/>
              </w:rPr>
            </w:pPr>
          </w:p>
        </w:tc>
        <w:tc>
          <w:tcPr>
            <w:tcW w:w="1843" w:type="dxa"/>
            <w:tcBorders>
              <w:top w:val="single" w:sz="18" w:space="0" w:color="6F6F6F" w:themeColor="text1"/>
              <w:left w:val="single" w:sz="4" w:space="0" w:color="auto"/>
              <w:bottom w:val="single" w:sz="4" w:space="0" w:color="auto"/>
              <w:right w:val="single" w:sz="4" w:space="0" w:color="auto"/>
            </w:tcBorders>
            <w:shd w:val="reverseDiagStripe" w:color="A5A5A5" w:themeColor="background1" w:themeShade="BF" w:fill="DDDDDD"/>
          </w:tcPr>
          <w:p w14:paraId="3D2906A3" w14:textId="77777777" w:rsidR="00B6293F" w:rsidRPr="003726BE" w:rsidRDefault="00B6293F" w:rsidP="00DE4EB3">
            <w:pPr>
              <w:pStyle w:val="ListParagraph"/>
              <w:spacing w:after="0" w:line="240" w:lineRule="auto"/>
              <w:ind w:left="2160"/>
              <w:rPr>
                <w:rFonts w:ascii="Arial" w:hAnsi="Arial" w:cs="Arial"/>
                <w:b/>
                <w:color w:val="262626" w:themeColor="text2" w:themeTint="D9"/>
                <w:sz w:val="20"/>
                <w:szCs w:val="20"/>
                <w:highlight w:val="yellow"/>
              </w:rPr>
            </w:pPr>
          </w:p>
        </w:tc>
        <w:tc>
          <w:tcPr>
            <w:tcW w:w="1496" w:type="dxa"/>
            <w:tcBorders>
              <w:top w:val="single" w:sz="18" w:space="0" w:color="6F6F6F" w:themeColor="text1"/>
              <w:left w:val="single" w:sz="4" w:space="0" w:color="auto"/>
              <w:bottom w:val="single" w:sz="4" w:space="0" w:color="auto"/>
              <w:right w:val="single" w:sz="4" w:space="0" w:color="auto"/>
            </w:tcBorders>
            <w:shd w:val="reverseDiagStripe" w:color="A5A5A5" w:themeColor="background1" w:themeShade="BF" w:fill="DDDDDD"/>
          </w:tcPr>
          <w:p w14:paraId="69F06E15" w14:textId="77777777" w:rsidR="00B6293F" w:rsidRPr="003726BE" w:rsidRDefault="00B6293F" w:rsidP="00DE4EB3">
            <w:pPr>
              <w:pStyle w:val="ListParagraph"/>
              <w:spacing w:after="0" w:line="240" w:lineRule="auto"/>
              <w:ind w:left="2160"/>
              <w:rPr>
                <w:rFonts w:ascii="Arial" w:hAnsi="Arial" w:cs="Arial"/>
                <w:b/>
                <w:color w:val="262626" w:themeColor="text2" w:themeTint="D9"/>
                <w:sz w:val="20"/>
                <w:szCs w:val="20"/>
                <w:highlight w:val="yellow"/>
              </w:rPr>
            </w:pPr>
          </w:p>
        </w:tc>
        <w:tc>
          <w:tcPr>
            <w:tcW w:w="2129" w:type="dxa"/>
            <w:tcBorders>
              <w:top w:val="single" w:sz="18" w:space="0" w:color="6F6F6F" w:themeColor="text1"/>
              <w:left w:val="single" w:sz="4" w:space="0" w:color="auto"/>
              <w:bottom w:val="single" w:sz="4" w:space="0" w:color="auto"/>
              <w:right w:val="single" w:sz="18" w:space="0" w:color="6F6F6F" w:themeColor="text1"/>
            </w:tcBorders>
            <w:shd w:val="clear" w:color="auto" w:fill="auto"/>
          </w:tcPr>
          <w:p w14:paraId="47BC17C9" w14:textId="77777777" w:rsidR="00B6293F" w:rsidRPr="003726BE" w:rsidRDefault="00B6293F" w:rsidP="003739F1">
            <w:pPr>
              <w:jc w:val="left"/>
              <w:rPr>
                <w:color w:val="546393" w:themeColor="accent3"/>
                <w:sz w:val="16"/>
                <w:szCs w:val="16"/>
                <w:highlight w:val="yellow"/>
              </w:rPr>
            </w:pPr>
            <w:r w:rsidRPr="003726BE">
              <w:rPr>
                <w:color w:val="546393" w:themeColor="accent3"/>
                <w:sz w:val="16"/>
                <w:highlight w:val="yellow"/>
              </w:rPr>
              <w:t>Banca dati delle operazioni del pilastro II</w:t>
            </w:r>
          </w:p>
        </w:tc>
      </w:tr>
      <w:tr w:rsidR="00B6293F" w:rsidRPr="003726BE" w14:paraId="2E707129" w14:textId="77777777" w:rsidTr="005E3A47">
        <w:trPr>
          <w:trHeight w:val="517"/>
        </w:trPr>
        <w:tc>
          <w:tcPr>
            <w:tcW w:w="1211" w:type="dxa"/>
            <w:vMerge/>
            <w:tcBorders>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14:paraId="33235204" w14:textId="77777777" w:rsidR="00B6293F" w:rsidRPr="003726BE" w:rsidRDefault="00B6293F" w:rsidP="00DE4EB3">
            <w:pPr>
              <w:rPr>
                <w:rFonts w:cs="Arial"/>
                <w:b/>
                <w:color w:val="373737" w:themeColor="background1" w:themeShade="40"/>
                <w:sz w:val="20"/>
                <w:szCs w:val="20"/>
                <w:highlight w:val="yellow"/>
              </w:rPr>
            </w:pPr>
          </w:p>
        </w:tc>
        <w:tc>
          <w:tcPr>
            <w:tcW w:w="1318" w:type="dxa"/>
            <w:tcBorders>
              <w:top w:val="single" w:sz="4" w:space="0" w:color="auto"/>
              <w:left w:val="single" w:sz="4" w:space="0" w:color="auto"/>
              <w:bottom w:val="single" w:sz="18" w:space="0" w:color="6F6F6F" w:themeColor="text1"/>
              <w:right w:val="single" w:sz="4" w:space="0" w:color="auto"/>
            </w:tcBorders>
            <w:shd w:val="clear" w:color="auto" w:fill="auto"/>
          </w:tcPr>
          <w:p w14:paraId="6D0E43CF" w14:textId="77777777" w:rsidR="00B6293F" w:rsidRPr="003726BE" w:rsidRDefault="00B6293F" w:rsidP="00DE4EB3">
            <w:pPr>
              <w:spacing w:after="0"/>
              <w:jc w:val="left"/>
              <w:rPr>
                <w:rFonts w:cs="Arial"/>
                <w:b/>
                <w:color w:val="546393" w:themeColor="accent3"/>
                <w:szCs w:val="18"/>
                <w:highlight w:val="yellow"/>
              </w:rPr>
            </w:pPr>
            <w:r w:rsidRPr="003726BE">
              <w:rPr>
                <w:b/>
                <w:color w:val="546393" w:themeColor="accent3"/>
                <w:highlight w:val="yellow"/>
              </w:rPr>
              <w:t>O4 - Numero di aziende agricole che hanno fruito di un sostegno (M4, 6, 11, 13)</w:t>
            </w:r>
          </w:p>
        </w:tc>
        <w:tc>
          <w:tcPr>
            <w:tcW w:w="918" w:type="dxa"/>
            <w:tcBorders>
              <w:top w:val="single" w:sz="4" w:space="0" w:color="auto"/>
              <w:left w:val="single" w:sz="4" w:space="0" w:color="auto"/>
              <w:bottom w:val="single" w:sz="18" w:space="0" w:color="6F6F6F" w:themeColor="text1"/>
              <w:right w:val="single" w:sz="4" w:space="0" w:color="auto"/>
            </w:tcBorders>
            <w:shd w:val="clear" w:color="auto" w:fill="auto"/>
          </w:tcPr>
          <w:p w14:paraId="574C4CAA" w14:textId="77777777" w:rsidR="00B6293F" w:rsidRPr="003726BE" w:rsidRDefault="00B6293F" w:rsidP="00DE4EB3">
            <w:pPr>
              <w:rPr>
                <w:rFonts w:cs="Arial"/>
                <w:b/>
                <w:color w:val="546393" w:themeColor="accent3"/>
                <w:sz w:val="16"/>
                <w:szCs w:val="16"/>
                <w:highlight w:val="yellow"/>
              </w:rPr>
            </w:pPr>
            <w:r w:rsidRPr="003726BE">
              <w:rPr>
                <w:color w:val="546393" w:themeColor="accent3"/>
                <w:sz w:val="16"/>
                <w:highlight w:val="yellow"/>
              </w:rPr>
              <w:t>1 350</w:t>
            </w:r>
          </w:p>
        </w:tc>
        <w:tc>
          <w:tcPr>
            <w:tcW w:w="1350" w:type="dxa"/>
            <w:tcBorders>
              <w:top w:val="single" w:sz="4" w:space="0" w:color="auto"/>
              <w:left w:val="single" w:sz="4" w:space="0" w:color="auto"/>
              <w:bottom w:val="single" w:sz="18" w:space="0" w:color="6F6F6F" w:themeColor="text1"/>
              <w:right w:val="single" w:sz="4" w:space="0" w:color="auto"/>
            </w:tcBorders>
            <w:shd w:val="reverseDiagStripe" w:color="A5A5A5" w:themeColor="background1" w:themeShade="BF" w:fill="DDDDDD"/>
          </w:tcPr>
          <w:p w14:paraId="25260853" w14:textId="77777777" w:rsidR="00B6293F" w:rsidRPr="003726BE" w:rsidRDefault="00B6293F" w:rsidP="00DE4EB3">
            <w:pPr>
              <w:pStyle w:val="ListParagraph"/>
              <w:spacing w:after="0" w:line="240" w:lineRule="auto"/>
              <w:ind w:left="2160"/>
              <w:rPr>
                <w:rFonts w:ascii="Arial" w:hAnsi="Arial" w:cs="Arial"/>
                <w:b/>
                <w:color w:val="262626" w:themeColor="text2" w:themeTint="D9"/>
                <w:sz w:val="16"/>
                <w:szCs w:val="16"/>
                <w:highlight w:val="yellow"/>
              </w:rPr>
            </w:pPr>
          </w:p>
        </w:tc>
        <w:tc>
          <w:tcPr>
            <w:tcW w:w="2341" w:type="dxa"/>
            <w:tcBorders>
              <w:top w:val="single" w:sz="4" w:space="0" w:color="auto"/>
              <w:left w:val="single" w:sz="4" w:space="0" w:color="auto"/>
              <w:bottom w:val="single" w:sz="18" w:space="0" w:color="6F6F6F" w:themeColor="text1"/>
              <w:right w:val="single" w:sz="4" w:space="0" w:color="auto"/>
            </w:tcBorders>
            <w:shd w:val="reverseDiagStripe" w:color="A5A5A5" w:themeColor="background1" w:themeShade="BF" w:fill="DDDDDD"/>
          </w:tcPr>
          <w:p w14:paraId="3F1A2794" w14:textId="77777777" w:rsidR="00B6293F" w:rsidRPr="003726BE" w:rsidRDefault="00B6293F" w:rsidP="00DE4EB3">
            <w:pPr>
              <w:pStyle w:val="ListParagraph"/>
              <w:spacing w:after="0" w:line="240" w:lineRule="auto"/>
              <w:ind w:left="2160"/>
              <w:rPr>
                <w:rFonts w:ascii="Arial" w:hAnsi="Arial" w:cs="Arial"/>
                <w:b/>
                <w:color w:val="262626" w:themeColor="text2" w:themeTint="D9"/>
                <w:sz w:val="20"/>
                <w:szCs w:val="20"/>
                <w:highlight w:val="yellow"/>
              </w:rPr>
            </w:pPr>
          </w:p>
        </w:tc>
        <w:tc>
          <w:tcPr>
            <w:tcW w:w="2195" w:type="dxa"/>
            <w:tcBorders>
              <w:top w:val="single" w:sz="4" w:space="0" w:color="auto"/>
              <w:left w:val="single" w:sz="4" w:space="0" w:color="auto"/>
              <w:bottom w:val="single" w:sz="18" w:space="0" w:color="6F6F6F" w:themeColor="text1"/>
              <w:right w:val="single" w:sz="4" w:space="0" w:color="auto"/>
            </w:tcBorders>
            <w:shd w:val="reverseDiagStripe" w:color="A5A5A5" w:themeColor="background1" w:themeShade="BF" w:fill="DDDDDD"/>
          </w:tcPr>
          <w:p w14:paraId="696D20EB" w14:textId="77777777" w:rsidR="00B6293F" w:rsidRPr="003726BE" w:rsidRDefault="00B6293F" w:rsidP="00DE4EB3">
            <w:pPr>
              <w:pStyle w:val="ListParagraph"/>
              <w:spacing w:after="0" w:line="240" w:lineRule="auto"/>
              <w:ind w:left="2160"/>
              <w:rPr>
                <w:rFonts w:ascii="Arial" w:hAnsi="Arial" w:cs="Arial"/>
                <w:b/>
                <w:color w:val="262626" w:themeColor="text2" w:themeTint="D9"/>
                <w:sz w:val="20"/>
                <w:szCs w:val="20"/>
                <w:highlight w:val="yellow"/>
              </w:rPr>
            </w:pPr>
          </w:p>
        </w:tc>
        <w:tc>
          <w:tcPr>
            <w:tcW w:w="1843" w:type="dxa"/>
            <w:tcBorders>
              <w:top w:val="single" w:sz="4" w:space="0" w:color="auto"/>
              <w:left w:val="single" w:sz="4" w:space="0" w:color="auto"/>
              <w:bottom w:val="single" w:sz="18" w:space="0" w:color="6F6F6F" w:themeColor="text1"/>
              <w:right w:val="single" w:sz="4" w:space="0" w:color="auto"/>
            </w:tcBorders>
            <w:shd w:val="reverseDiagStripe" w:color="A5A5A5" w:themeColor="background1" w:themeShade="BF" w:fill="DDDDDD"/>
          </w:tcPr>
          <w:p w14:paraId="1A94D481" w14:textId="77777777" w:rsidR="00B6293F" w:rsidRPr="003726BE" w:rsidRDefault="00B6293F" w:rsidP="00DE4EB3">
            <w:pPr>
              <w:pStyle w:val="ListParagraph"/>
              <w:spacing w:after="0" w:line="240" w:lineRule="auto"/>
              <w:ind w:left="2160"/>
              <w:rPr>
                <w:rFonts w:ascii="Arial" w:hAnsi="Arial" w:cs="Arial"/>
                <w:b/>
                <w:color w:val="262626" w:themeColor="text2" w:themeTint="D9"/>
                <w:sz w:val="20"/>
                <w:szCs w:val="20"/>
                <w:highlight w:val="yellow"/>
              </w:rPr>
            </w:pPr>
          </w:p>
        </w:tc>
        <w:tc>
          <w:tcPr>
            <w:tcW w:w="1496" w:type="dxa"/>
            <w:tcBorders>
              <w:top w:val="single" w:sz="4" w:space="0" w:color="auto"/>
              <w:left w:val="single" w:sz="4" w:space="0" w:color="auto"/>
              <w:bottom w:val="single" w:sz="18" w:space="0" w:color="6F6F6F" w:themeColor="text1"/>
              <w:right w:val="single" w:sz="4" w:space="0" w:color="auto"/>
            </w:tcBorders>
            <w:shd w:val="reverseDiagStripe" w:color="A5A5A5" w:themeColor="background1" w:themeShade="BF" w:fill="DDDDDD"/>
          </w:tcPr>
          <w:p w14:paraId="5AA91960" w14:textId="77777777" w:rsidR="00B6293F" w:rsidRPr="003726BE" w:rsidRDefault="00B6293F" w:rsidP="00DE4EB3">
            <w:pPr>
              <w:pStyle w:val="ListParagraph"/>
              <w:spacing w:after="0" w:line="240" w:lineRule="auto"/>
              <w:ind w:left="2160"/>
              <w:rPr>
                <w:rFonts w:ascii="Arial" w:hAnsi="Arial" w:cs="Arial"/>
                <w:b/>
                <w:color w:val="262626" w:themeColor="text2" w:themeTint="D9"/>
                <w:sz w:val="20"/>
                <w:szCs w:val="20"/>
                <w:highlight w:val="yellow"/>
              </w:rPr>
            </w:pPr>
          </w:p>
        </w:tc>
        <w:tc>
          <w:tcPr>
            <w:tcW w:w="2129" w:type="dxa"/>
            <w:tcBorders>
              <w:top w:val="single" w:sz="4" w:space="0" w:color="auto"/>
              <w:left w:val="single" w:sz="4" w:space="0" w:color="auto"/>
              <w:bottom w:val="single" w:sz="18" w:space="0" w:color="6F6F6F" w:themeColor="text1"/>
              <w:right w:val="single" w:sz="18" w:space="0" w:color="6F6F6F" w:themeColor="text1"/>
            </w:tcBorders>
            <w:shd w:val="clear" w:color="auto" w:fill="auto"/>
          </w:tcPr>
          <w:p w14:paraId="243F60C7" w14:textId="77777777" w:rsidR="00B6293F" w:rsidRPr="003726BE" w:rsidRDefault="00B6293F" w:rsidP="003739F1">
            <w:pPr>
              <w:jc w:val="left"/>
              <w:rPr>
                <w:color w:val="546393" w:themeColor="accent3"/>
                <w:sz w:val="16"/>
                <w:szCs w:val="16"/>
                <w:highlight w:val="yellow"/>
              </w:rPr>
            </w:pPr>
            <w:r w:rsidRPr="003726BE">
              <w:rPr>
                <w:color w:val="546393" w:themeColor="accent3"/>
                <w:sz w:val="16"/>
                <w:highlight w:val="yellow"/>
              </w:rPr>
              <w:t>Banca dati delle operazioni del pilastro II</w:t>
            </w:r>
          </w:p>
        </w:tc>
      </w:tr>
      <w:tr w:rsidR="00B6293F" w:rsidRPr="003726BE" w14:paraId="6B73201F" w14:textId="77777777" w:rsidTr="005E3A47">
        <w:trPr>
          <w:trHeight w:val="290"/>
        </w:trPr>
        <w:tc>
          <w:tcPr>
            <w:tcW w:w="1211" w:type="dxa"/>
            <w:vMerge w:val="restart"/>
            <w:tcBorders>
              <w:top w:val="single" w:sz="18" w:space="0" w:color="6F6F6F" w:themeColor="text1"/>
              <w:left w:val="single" w:sz="18" w:space="0" w:color="6F6F6F" w:themeColor="text1"/>
              <w:right w:val="single" w:sz="4" w:space="0" w:color="auto"/>
            </w:tcBorders>
            <w:shd w:val="clear" w:color="auto" w:fill="auto"/>
            <w:tcMar>
              <w:top w:w="0" w:type="dxa"/>
              <w:left w:w="108" w:type="dxa"/>
              <w:bottom w:w="0" w:type="dxa"/>
              <w:right w:w="108" w:type="dxa"/>
            </w:tcMar>
          </w:tcPr>
          <w:p w14:paraId="2AB1F495" w14:textId="77777777" w:rsidR="00B6293F" w:rsidRPr="003726BE" w:rsidRDefault="00B6293F" w:rsidP="0043279A">
            <w:pPr>
              <w:rPr>
                <w:rFonts w:cs="Arial"/>
                <w:b/>
                <w:color w:val="373737" w:themeColor="background1" w:themeShade="40"/>
                <w:szCs w:val="18"/>
                <w:highlight w:val="yellow"/>
              </w:rPr>
            </w:pPr>
            <w:r w:rsidRPr="003726BE">
              <w:rPr>
                <w:b/>
                <w:color w:val="373737" w:themeColor="background1" w:themeShade="40"/>
                <w:highlight w:val="yellow"/>
              </w:rPr>
              <w:t xml:space="preserve">Indicatori comuni di </w:t>
            </w:r>
            <w:r w:rsidRPr="003726BE">
              <w:rPr>
                <w:b/>
                <w:color w:val="373737" w:themeColor="background1" w:themeShade="40"/>
                <w:highlight w:val="yellow"/>
              </w:rPr>
              <w:lastRenderedPageBreak/>
              <w:t xml:space="preserve">risultato </w:t>
            </w:r>
          </w:p>
          <w:p w14:paraId="0800C4EF" w14:textId="77777777" w:rsidR="00B6293F" w:rsidRPr="003726BE" w:rsidRDefault="00B6293F" w:rsidP="0043279A">
            <w:pPr>
              <w:rPr>
                <w:rFonts w:cs="Arial"/>
                <w:b/>
                <w:color w:val="373737" w:themeColor="background1" w:themeShade="40"/>
                <w:sz w:val="20"/>
                <w:szCs w:val="20"/>
                <w:highlight w:val="yellow"/>
              </w:rPr>
            </w:pPr>
          </w:p>
        </w:tc>
        <w:tc>
          <w:tcPr>
            <w:tcW w:w="1318"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14:paraId="208FBF45" w14:textId="77777777" w:rsidR="00B6293F" w:rsidRPr="003726BE" w:rsidRDefault="00B6293F" w:rsidP="00984473">
            <w:pPr>
              <w:spacing w:after="0"/>
              <w:jc w:val="left"/>
              <w:rPr>
                <w:rFonts w:cs="Arial"/>
                <w:b/>
                <w:color w:val="546393" w:themeColor="accent3"/>
                <w:szCs w:val="18"/>
                <w:highlight w:val="yellow"/>
              </w:rPr>
            </w:pPr>
            <w:r w:rsidRPr="003726BE">
              <w:rPr>
                <w:b/>
                <w:color w:val="546393" w:themeColor="accent3"/>
                <w:highlight w:val="yellow"/>
              </w:rPr>
              <w:lastRenderedPageBreak/>
              <w:t xml:space="preserve">R1/T4 - Percentuale di aziende </w:t>
            </w:r>
            <w:r w:rsidRPr="003726BE">
              <w:rPr>
                <w:b/>
                <w:color w:val="546393" w:themeColor="accent3"/>
                <w:highlight w:val="yellow"/>
              </w:rPr>
              <w:lastRenderedPageBreak/>
              <w:t xml:space="preserve">agricole che fruiscono del sostegno del PSR per investimenti di ristrutturazione o ammodernamento </w:t>
            </w:r>
          </w:p>
        </w:tc>
        <w:tc>
          <w:tcPr>
            <w:tcW w:w="918"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14:paraId="45A9879E" w14:textId="77777777" w:rsidR="00B6293F" w:rsidRPr="003726BE" w:rsidRDefault="00B6293F" w:rsidP="0043279A">
            <w:pPr>
              <w:pStyle w:val="ListParagraph"/>
              <w:spacing w:after="0" w:line="240" w:lineRule="auto"/>
              <w:ind w:left="2160"/>
              <w:rPr>
                <w:rFonts w:ascii="Arial" w:hAnsi="Arial" w:cs="Arial"/>
                <w:b/>
                <w:color w:val="262626" w:themeColor="text2" w:themeTint="D9"/>
                <w:sz w:val="16"/>
                <w:szCs w:val="16"/>
                <w:highlight w:val="yellow"/>
              </w:rPr>
            </w:pPr>
          </w:p>
        </w:tc>
        <w:tc>
          <w:tcPr>
            <w:tcW w:w="1350"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14:paraId="13C4922A" w14:textId="77777777" w:rsidR="00B6293F" w:rsidRPr="003726BE" w:rsidRDefault="00B6293F" w:rsidP="00B6293F">
            <w:pPr>
              <w:rPr>
                <w:rFonts w:cs="Arial"/>
                <w:color w:val="546393" w:themeColor="accent3"/>
                <w:sz w:val="16"/>
                <w:szCs w:val="16"/>
                <w:highlight w:val="yellow"/>
              </w:rPr>
            </w:pPr>
            <w:r w:rsidRPr="003726BE">
              <w:rPr>
                <w:color w:val="546393" w:themeColor="accent3"/>
                <w:sz w:val="16"/>
                <w:highlight w:val="yellow"/>
              </w:rPr>
              <w:t>18,6</w:t>
            </w:r>
          </w:p>
        </w:tc>
        <w:tc>
          <w:tcPr>
            <w:tcW w:w="2341"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14:paraId="77281FF5" w14:textId="77777777" w:rsidR="00B6293F" w:rsidRPr="003726BE" w:rsidRDefault="00B6293F" w:rsidP="0043279A">
            <w:pPr>
              <w:rPr>
                <w:rFonts w:cs="Arial"/>
                <w:b/>
                <w:color w:val="262626" w:themeColor="text2" w:themeTint="D9"/>
                <w:sz w:val="20"/>
                <w:szCs w:val="20"/>
                <w:highlight w:val="yellow"/>
              </w:rPr>
            </w:pPr>
          </w:p>
        </w:tc>
        <w:tc>
          <w:tcPr>
            <w:tcW w:w="2195"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14:paraId="595EFDE0" w14:textId="77777777" w:rsidR="00B6293F" w:rsidRPr="003726BE" w:rsidRDefault="00B6293F" w:rsidP="0043279A">
            <w:pPr>
              <w:pStyle w:val="ListParagraph"/>
              <w:spacing w:after="0" w:line="240" w:lineRule="auto"/>
              <w:ind w:left="2160"/>
              <w:rPr>
                <w:rFonts w:ascii="Arial" w:hAnsi="Arial" w:cs="Arial"/>
                <w:b/>
                <w:color w:val="262626" w:themeColor="text2" w:themeTint="D9"/>
                <w:sz w:val="20"/>
                <w:szCs w:val="20"/>
                <w:highlight w:val="yellow"/>
              </w:rPr>
            </w:pPr>
          </w:p>
        </w:tc>
        <w:tc>
          <w:tcPr>
            <w:tcW w:w="1843"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14:paraId="2C3E6E97" w14:textId="77777777" w:rsidR="00B6293F" w:rsidRPr="003726BE" w:rsidRDefault="00B6293F" w:rsidP="0043279A">
            <w:pPr>
              <w:pStyle w:val="ListParagraph"/>
              <w:spacing w:after="0" w:line="240" w:lineRule="auto"/>
              <w:ind w:left="2160"/>
              <w:rPr>
                <w:rFonts w:ascii="Arial" w:hAnsi="Arial" w:cs="Arial"/>
                <w:b/>
                <w:color w:val="262626" w:themeColor="text2" w:themeTint="D9"/>
                <w:sz w:val="20"/>
                <w:szCs w:val="20"/>
                <w:highlight w:val="yellow"/>
              </w:rPr>
            </w:pPr>
          </w:p>
        </w:tc>
        <w:tc>
          <w:tcPr>
            <w:tcW w:w="1496"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14:paraId="72256620" w14:textId="77777777" w:rsidR="00B6293F" w:rsidRPr="003726BE" w:rsidRDefault="00B6293F" w:rsidP="0043279A">
            <w:pPr>
              <w:pStyle w:val="ListParagraph"/>
              <w:spacing w:after="0" w:line="240" w:lineRule="auto"/>
              <w:ind w:left="2160"/>
              <w:rPr>
                <w:rFonts w:ascii="Arial" w:hAnsi="Arial" w:cs="Arial"/>
                <w:b/>
                <w:color w:val="262626" w:themeColor="text2" w:themeTint="D9"/>
                <w:sz w:val="20"/>
                <w:szCs w:val="20"/>
                <w:highlight w:val="yellow"/>
              </w:rPr>
            </w:pPr>
          </w:p>
        </w:tc>
        <w:tc>
          <w:tcPr>
            <w:tcW w:w="2129"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14:paraId="1FCBE093" w14:textId="77777777" w:rsidR="00B6293F" w:rsidRPr="003726BE" w:rsidRDefault="00B6293F" w:rsidP="003739F1">
            <w:pPr>
              <w:jc w:val="left"/>
              <w:rPr>
                <w:color w:val="546393" w:themeColor="accent3"/>
                <w:sz w:val="16"/>
                <w:szCs w:val="16"/>
                <w:highlight w:val="yellow"/>
              </w:rPr>
            </w:pPr>
            <w:r w:rsidRPr="003726BE">
              <w:rPr>
                <w:color w:val="546393" w:themeColor="accent3"/>
                <w:sz w:val="16"/>
                <w:highlight w:val="yellow"/>
              </w:rPr>
              <w:t>Banca dati delle operazioni del pilastro II</w:t>
            </w:r>
          </w:p>
        </w:tc>
      </w:tr>
      <w:tr w:rsidR="00B6293F" w:rsidRPr="003726BE" w14:paraId="7E657D74" w14:textId="77777777" w:rsidTr="005E3A47">
        <w:trPr>
          <w:trHeight w:val="990"/>
        </w:trPr>
        <w:tc>
          <w:tcPr>
            <w:tcW w:w="1211" w:type="dxa"/>
            <w:vMerge/>
            <w:tcBorders>
              <w:left w:val="single" w:sz="18" w:space="0" w:color="6F6F6F" w:themeColor="text1"/>
              <w:right w:val="single" w:sz="4" w:space="0" w:color="auto"/>
            </w:tcBorders>
            <w:shd w:val="clear" w:color="auto" w:fill="auto"/>
            <w:tcMar>
              <w:top w:w="0" w:type="dxa"/>
              <w:left w:w="108" w:type="dxa"/>
              <w:bottom w:w="0" w:type="dxa"/>
              <w:right w:w="108" w:type="dxa"/>
            </w:tcMar>
          </w:tcPr>
          <w:p w14:paraId="3AA4325C" w14:textId="77777777" w:rsidR="00B6293F" w:rsidRPr="003726BE" w:rsidRDefault="00B6293F" w:rsidP="0043279A">
            <w:pPr>
              <w:rPr>
                <w:rFonts w:cs="Arial"/>
                <w:b/>
                <w:color w:val="262626" w:themeColor="text2" w:themeTint="D9"/>
                <w:sz w:val="20"/>
                <w:szCs w:val="20"/>
                <w:highlight w:val="yellow"/>
              </w:rPr>
            </w:pPr>
          </w:p>
        </w:tc>
        <w:tc>
          <w:tcPr>
            <w:tcW w:w="1318"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14:paraId="482CB8E1" w14:textId="77777777" w:rsidR="00B6293F" w:rsidRPr="003726BE" w:rsidRDefault="00B6293F" w:rsidP="0043279A">
            <w:pPr>
              <w:spacing w:after="0"/>
              <w:jc w:val="left"/>
              <w:rPr>
                <w:rFonts w:cs="Arial"/>
                <w:bCs/>
                <w:color w:val="546393" w:themeColor="accent3"/>
                <w:szCs w:val="18"/>
                <w:highlight w:val="yellow"/>
              </w:rPr>
            </w:pPr>
            <w:r w:rsidRPr="003726BE">
              <w:rPr>
                <w:b/>
                <w:color w:val="546393" w:themeColor="accent3"/>
                <w:highlight w:val="yellow"/>
              </w:rPr>
              <w:t xml:space="preserve">R2 – Cambiamento della produzione agricola nelle aziende agricole sovvenzionate </w:t>
            </w:r>
            <w:r w:rsidRPr="003726BE">
              <w:rPr>
                <w:color w:val="546393" w:themeColor="accent3"/>
                <w:highlight w:val="yellow"/>
              </w:rPr>
              <w:t>(numeratore)</w:t>
            </w:r>
            <w:r w:rsidRPr="003726BE">
              <w:rPr>
                <w:rStyle w:val="FootnoteReference"/>
                <w:highlight w:val="yellow"/>
              </w:rPr>
              <w:footnoteReference w:id="120"/>
            </w:r>
          </w:p>
        </w:tc>
        <w:tc>
          <w:tcPr>
            <w:tcW w:w="918"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14:paraId="76BD782F" w14:textId="77777777" w:rsidR="00B6293F" w:rsidRPr="003726BE" w:rsidRDefault="00B6293F" w:rsidP="0043279A">
            <w:pPr>
              <w:pStyle w:val="ListParagraph"/>
              <w:spacing w:after="0" w:line="240" w:lineRule="auto"/>
              <w:ind w:left="2160"/>
              <w:rPr>
                <w:rFonts w:ascii="Arial" w:hAnsi="Arial" w:cs="Arial"/>
                <w:b/>
                <w:color w:val="262626" w:themeColor="text2" w:themeTint="D9"/>
                <w:sz w:val="20"/>
                <w:szCs w:val="20"/>
                <w:highlight w:val="yellow"/>
              </w:rPr>
            </w:pPr>
          </w:p>
        </w:tc>
        <w:tc>
          <w:tcPr>
            <w:tcW w:w="1350"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14:paraId="5DB8AB38" w14:textId="77777777" w:rsidR="00B6293F" w:rsidRPr="003726BE" w:rsidRDefault="00B6293F" w:rsidP="0043279A">
            <w:pPr>
              <w:pStyle w:val="ListParagraph"/>
              <w:spacing w:after="0" w:line="240" w:lineRule="auto"/>
              <w:ind w:left="2160"/>
              <w:rPr>
                <w:rFonts w:ascii="Arial" w:hAnsi="Arial" w:cs="Arial"/>
                <w:b/>
                <w:color w:val="262626" w:themeColor="text2" w:themeTint="D9"/>
                <w:sz w:val="20"/>
                <w:szCs w:val="20"/>
                <w:highlight w:val="yellow"/>
              </w:rPr>
            </w:pPr>
          </w:p>
        </w:tc>
        <w:tc>
          <w:tcPr>
            <w:tcW w:w="2341"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14:paraId="108D5ED6" w14:textId="77777777" w:rsidR="00B6293F" w:rsidRPr="003726BE" w:rsidRDefault="00B6293F" w:rsidP="001218B1">
            <w:pPr>
              <w:ind w:left="64"/>
              <w:jc w:val="left"/>
              <w:rPr>
                <w:color w:val="546393" w:themeColor="accent3"/>
                <w:sz w:val="14"/>
                <w:szCs w:val="14"/>
                <w:highlight w:val="yellow"/>
              </w:rPr>
            </w:pPr>
            <w:r w:rsidRPr="003726BE">
              <w:rPr>
                <w:color w:val="546393" w:themeColor="accent3"/>
                <w:sz w:val="14"/>
                <w:highlight w:val="yellow"/>
              </w:rPr>
              <w:t>201 450 000 EUR</w:t>
            </w:r>
          </w:p>
        </w:tc>
        <w:tc>
          <w:tcPr>
            <w:tcW w:w="2195"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14:paraId="1A7BE2E7" w14:textId="77777777" w:rsidR="00B6293F" w:rsidRPr="003726BE" w:rsidRDefault="00B6293F" w:rsidP="001218B1">
            <w:pPr>
              <w:ind w:left="64"/>
              <w:jc w:val="left"/>
              <w:rPr>
                <w:color w:val="546393" w:themeColor="accent3"/>
                <w:sz w:val="14"/>
                <w:szCs w:val="14"/>
                <w:highlight w:val="yellow"/>
              </w:rPr>
            </w:pPr>
            <w:r w:rsidRPr="003726BE">
              <w:rPr>
                <w:color w:val="546393" w:themeColor="accent3"/>
                <w:sz w:val="14"/>
                <w:highlight w:val="yellow"/>
              </w:rPr>
              <w:t>6 450 000 EUR</w:t>
            </w:r>
          </w:p>
        </w:tc>
        <w:tc>
          <w:tcPr>
            <w:tcW w:w="1843"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14:paraId="1DBC8360" w14:textId="77777777" w:rsidR="00B6293F" w:rsidRPr="003726BE" w:rsidRDefault="00B6293F" w:rsidP="001218B1">
            <w:pPr>
              <w:ind w:left="64"/>
              <w:jc w:val="left"/>
              <w:rPr>
                <w:color w:val="546393" w:themeColor="accent3"/>
                <w:sz w:val="14"/>
                <w:szCs w:val="14"/>
                <w:highlight w:val="yellow"/>
              </w:rPr>
            </w:pPr>
            <w:r w:rsidRPr="003726BE">
              <w:rPr>
                <w:color w:val="546393" w:themeColor="accent3"/>
                <w:sz w:val="14"/>
                <w:highlight w:val="yellow"/>
              </w:rPr>
              <w:t>280 000 000 EUR</w:t>
            </w:r>
          </w:p>
        </w:tc>
        <w:tc>
          <w:tcPr>
            <w:tcW w:w="1496"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14:paraId="6408A9FA" w14:textId="77777777" w:rsidR="00B6293F" w:rsidRPr="003726BE" w:rsidRDefault="00B6293F" w:rsidP="001218B1">
            <w:pPr>
              <w:ind w:left="64"/>
              <w:jc w:val="left"/>
              <w:rPr>
                <w:color w:val="546393" w:themeColor="accent3"/>
                <w:sz w:val="14"/>
                <w:szCs w:val="14"/>
                <w:highlight w:val="yellow"/>
              </w:rPr>
            </w:pPr>
            <w:r w:rsidRPr="003726BE">
              <w:rPr>
                <w:color w:val="546393" w:themeColor="accent3"/>
                <w:sz w:val="14"/>
                <w:highlight w:val="yellow"/>
              </w:rPr>
              <w:t>175 000 000 EUR</w:t>
            </w:r>
          </w:p>
        </w:tc>
        <w:tc>
          <w:tcPr>
            <w:tcW w:w="2129"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14:paraId="3B6DCD30" w14:textId="77777777" w:rsidR="00B6293F" w:rsidRPr="003726BE" w:rsidRDefault="00B6293F" w:rsidP="0043279A">
            <w:pPr>
              <w:pStyle w:val="ListParagraph"/>
              <w:spacing w:after="0" w:line="240" w:lineRule="auto"/>
              <w:ind w:left="144" w:firstLine="0"/>
              <w:rPr>
                <w:rFonts w:ascii="Arial" w:hAnsi="Arial" w:cs="Arial"/>
                <w:b/>
                <w:color w:val="546393" w:themeColor="accent3"/>
                <w:sz w:val="18"/>
                <w:szCs w:val="18"/>
                <w:highlight w:val="yellow"/>
              </w:rPr>
            </w:pPr>
            <w:r w:rsidRPr="003726BE">
              <w:rPr>
                <w:rFonts w:ascii="Arial" w:hAnsi="Arial"/>
                <w:color w:val="546393" w:themeColor="accent3"/>
                <w:sz w:val="18"/>
                <w:highlight w:val="yellow"/>
              </w:rPr>
              <w:t>Banca dati nazionale delle aziende agricole/RICA</w:t>
            </w:r>
          </w:p>
        </w:tc>
      </w:tr>
      <w:tr w:rsidR="00B6293F" w:rsidRPr="003726BE" w14:paraId="5E9165D3" w14:textId="77777777" w:rsidTr="005E3A47">
        <w:trPr>
          <w:trHeight w:val="1110"/>
        </w:trPr>
        <w:tc>
          <w:tcPr>
            <w:tcW w:w="1211" w:type="dxa"/>
            <w:vMerge/>
            <w:tcBorders>
              <w:left w:val="single" w:sz="18" w:space="0" w:color="6F6F6F" w:themeColor="text1"/>
              <w:right w:val="single" w:sz="4" w:space="0" w:color="auto"/>
            </w:tcBorders>
            <w:shd w:val="clear" w:color="auto" w:fill="auto"/>
            <w:tcMar>
              <w:top w:w="0" w:type="dxa"/>
              <w:left w:w="108" w:type="dxa"/>
              <w:bottom w:w="0" w:type="dxa"/>
              <w:right w:w="108" w:type="dxa"/>
            </w:tcMar>
          </w:tcPr>
          <w:p w14:paraId="168AD53C" w14:textId="77777777" w:rsidR="00B6293F" w:rsidRPr="003726BE" w:rsidRDefault="00B6293F" w:rsidP="0043279A">
            <w:pPr>
              <w:rPr>
                <w:rFonts w:cs="Arial"/>
                <w:b/>
                <w:color w:val="262626" w:themeColor="text2" w:themeTint="D9"/>
                <w:sz w:val="20"/>
                <w:szCs w:val="20"/>
                <w:highlight w:val="yellow"/>
              </w:rPr>
            </w:pPr>
          </w:p>
        </w:tc>
        <w:tc>
          <w:tcPr>
            <w:tcW w:w="1318"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14:paraId="67232FA4" w14:textId="77777777" w:rsidR="00B6293F" w:rsidRPr="003726BE" w:rsidRDefault="00B6293F" w:rsidP="0043279A">
            <w:pPr>
              <w:spacing w:after="0"/>
              <w:jc w:val="left"/>
              <w:rPr>
                <w:rFonts w:cs="Arial"/>
                <w:b/>
                <w:color w:val="546393" w:themeColor="accent3"/>
                <w:szCs w:val="18"/>
                <w:highlight w:val="yellow"/>
              </w:rPr>
            </w:pPr>
            <w:r w:rsidRPr="003726BE">
              <w:rPr>
                <w:b/>
                <w:color w:val="546393" w:themeColor="accent3"/>
                <w:highlight w:val="yellow"/>
              </w:rPr>
              <w:t>R2 –</w:t>
            </w:r>
          </w:p>
          <w:p w14:paraId="4BE7A668" w14:textId="77777777" w:rsidR="00B6293F" w:rsidRPr="003726BE" w:rsidRDefault="00B6293F" w:rsidP="0043279A">
            <w:pPr>
              <w:spacing w:after="0"/>
              <w:jc w:val="left"/>
              <w:rPr>
                <w:rFonts w:cs="Arial"/>
                <w:b/>
                <w:color w:val="546393" w:themeColor="accent3"/>
                <w:szCs w:val="18"/>
                <w:highlight w:val="yellow"/>
              </w:rPr>
            </w:pPr>
            <w:r w:rsidRPr="003726BE">
              <w:rPr>
                <w:b/>
                <w:color w:val="546393" w:themeColor="accent3"/>
                <w:highlight w:val="yellow"/>
              </w:rPr>
              <w:t>ULA</w:t>
            </w:r>
          </w:p>
          <w:p w14:paraId="10E7B8FA" w14:textId="77777777" w:rsidR="00B6293F" w:rsidRPr="003726BE" w:rsidRDefault="00B6293F" w:rsidP="0043279A">
            <w:pPr>
              <w:spacing w:after="0"/>
              <w:jc w:val="left"/>
              <w:rPr>
                <w:rFonts w:cs="Arial"/>
                <w:bCs/>
                <w:color w:val="546393" w:themeColor="accent3"/>
                <w:szCs w:val="18"/>
                <w:highlight w:val="yellow"/>
              </w:rPr>
            </w:pPr>
            <w:r w:rsidRPr="003726BE">
              <w:rPr>
                <w:color w:val="546393" w:themeColor="accent3"/>
                <w:highlight w:val="yellow"/>
              </w:rPr>
              <w:t>(denominatore)</w:t>
            </w:r>
          </w:p>
        </w:tc>
        <w:tc>
          <w:tcPr>
            <w:tcW w:w="918"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14:paraId="24B01674" w14:textId="77777777" w:rsidR="00B6293F" w:rsidRPr="003726BE" w:rsidRDefault="00B6293F" w:rsidP="0043279A">
            <w:pPr>
              <w:pStyle w:val="ListParagraph"/>
              <w:spacing w:after="0" w:line="240" w:lineRule="auto"/>
              <w:ind w:left="2160"/>
              <w:rPr>
                <w:rFonts w:ascii="Arial" w:hAnsi="Arial" w:cs="Arial"/>
                <w:b/>
                <w:color w:val="262626" w:themeColor="text2" w:themeTint="D9"/>
                <w:sz w:val="20"/>
                <w:szCs w:val="20"/>
                <w:highlight w:val="yellow"/>
              </w:rPr>
            </w:pPr>
          </w:p>
        </w:tc>
        <w:tc>
          <w:tcPr>
            <w:tcW w:w="1350"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14:paraId="125A2C7F" w14:textId="77777777" w:rsidR="00B6293F" w:rsidRPr="003726BE" w:rsidRDefault="00B6293F" w:rsidP="0043279A">
            <w:pPr>
              <w:pStyle w:val="ListParagraph"/>
              <w:spacing w:after="0" w:line="240" w:lineRule="auto"/>
              <w:ind w:left="2160"/>
              <w:rPr>
                <w:rFonts w:ascii="Arial" w:hAnsi="Arial" w:cs="Arial"/>
                <w:b/>
                <w:color w:val="262626" w:themeColor="text2" w:themeTint="D9"/>
                <w:sz w:val="20"/>
                <w:szCs w:val="20"/>
                <w:highlight w:val="yellow"/>
              </w:rPr>
            </w:pPr>
          </w:p>
        </w:tc>
        <w:tc>
          <w:tcPr>
            <w:tcW w:w="2341"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14:paraId="2869BB23" w14:textId="77777777" w:rsidR="00B6293F" w:rsidRPr="003726BE" w:rsidRDefault="00B6293F" w:rsidP="001218B1">
            <w:pPr>
              <w:ind w:left="64"/>
              <w:jc w:val="left"/>
              <w:rPr>
                <w:color w:val="546393" w:themeColor="accent3"/>
                <w:sz w:val="14"/>
                <w:szCs w:val="14"/>
                <w:highlight w:val="yellow"/>
              </w:rPr>
            </w:pPr>
            <w:r w:rsidRPr="003726BE">
              <w:rPr>
                <w:color w:val="546393" w:themeColor="accent3"/>
                <w:sz w:val="14"/>
                <w:highlight w:val="yellow"/>
              </w:rPr>
              <w:t>4 250</w:t>
            </w:r>
          </w:p>
        </w:tc>
        <w:tc>
          <w:tcPr>
            <w:tcW w:w="2195"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14:paraId="7B3CEDA0" w14:textId="77777777" w:rsidR="00B6293F" w:rsidRPr="003726BE" w:rsidRDefault="00B6293F" w:rsidP="001218B1">
            <w:pPr>
              <w:ind w:left="64"/>
              <w:jc w:val="left"/>
              <w:rPr>
                <w:color w:val="546393" w:themeColor="accent3"/>
                <w:sz w:val="14"/>
                <w:szCs w:val="14"/>
                <w:highlight w:val="yellow"/>
              </w:rPr>
            </w:pPr>
            <w:r w:rsidRPr="003726BE">
              <w:rPr>
                <w:color w:val="546393" w:themeColor="accent3"/>
                <w:sz w:val="14"/>
                <w:highlight w:val="yellow"/>
              </w:rPr>
              <w:t>750</w:t>
            </w:r>
          </w:p>
        </w:tc>
        <w:tc>
          <w:tcPr>
            <w:tcW w:w="1843"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14:paraId="6B751101" w14:textId="77777777" w:rsidR="00B6293F" w:rsidRPr="003726BE" w:rsidRDefault="00B6293F" w:rsidP="001218B1">
            <w:pPr>
              <w:ind w:left="64"/>
              <w:jc w:val="left"/>
              <w:rPr>
                <w:color w:val="546393" w:themeColor="accent3"/>
                <w:sz w:val="14"/>
                <w:szCs w:val="14"/>
                <w:highlight w:val="yellow"/>
              </w:rPr>
            </w:pPr>
            <w:r w:rsidRPr="003726BE">
              <w:rPr>
                <w:color w:val="546393" w:themeColor="accent3"/>
                <w:sz w:val="14"/>
                <w:highlight w:val="yellow"/>
              </w:rPr>
              <w:t>5 000</w:t>
            </w:r>
          </w:p>
        </w:tc>
        <w:tc>
          <w:tcPr>
            <w:tcW w:w="1496"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14:paraId="051A3333" w14:textId="77777777" w:rsidR="00B6293F" w:rsidRPr="003726BE" w:rsidRDefault="00B6293F" w:rsidP="001218B1">
            <w:pPr>
              <w:ind w:left="64"/>
              <w:jc w:val="left"/>
              <w:rPr>
                <w:color w:val="546393" w:themeColor="accent3"/>
                <w:sz w:val="14"/>
                <w:szCs w:val="14"/>
                <w:highlight w:val="yellow"/>
              </w:rPr>
            </w:pPr>
            <w:r w:rsidRPr="003726BE">
              <w:rPr>
                <w:color w:val="546393" w:themeColor="accent3"/>
                <w:sz w:val="14"/>
                <w:highlight w:val="yellow"/>
              </w:rPr>
              <w:t>5 000</w:t>
            </w:r>
          </w:p>
        </w:tc>
        <w:tc>
          <w:tcPr>
            <w:tcW w:w="2129"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14:paraId="592AEB4A" w14:textId="77777777" w:rsidR="00B6293F" w:rsidRPr="003726BE" w:rsidRDefault="00B6293F" w:rsidP="0043279A">
            <w:pPr>
              <w:pStyle w:val="ListParagraph"/>
              <w:spacing w:after="0" w:line="240" w:lineRule="auto"/>
              <w:ind w:left="144" w:firstLine="0"/>
              <w:rPr>
                <w:rFonts w:ascii="Arial" w:hAnsi="Arial" w:cs="Arial"/>
                <w:b/>
                <w:color w:val="546393" w:themeColor="accent3"/>
                <w:sz w:val="18"/>
                <w:szCs w:val="18"/>
                <w:highlight w:val="yellow"/>
              </w:rPr>
            </w:pPr>
            <w:r w:rsidRPr="003726BE">
              <w:rPr>
                <w:rFonts w:ascii="Arial" w:hAnsi="Arial"/>
                <w:color w:val="546393" w:themeColor="accent3"/>
                <w:sz w:val="18"/>
                <w:highlight w:val="yellow"/>
              </w:rPr>
              <w:t>Banca dati nazionale delle aziende agricole/RICA</w:t>
            </w:r>
          </w:p>
        </w:tc>
      </w:tr>
      <w:tr w:rsidR="00B6293F" w:rsidRPr="003726BE" w14:paraId="62EBCC76" w14:textId="77777777" w:rsidTr="005E3A47">
        <w:trPr>
          <w:trHeight w:val="1580"/>
        </w:trPr>
        <w:tc>
          <w:tcPr>
            <w:tcW w:w="1211" w:type="dxa"/>
            <w:vMerge/>
            <w:tcBorders>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14:paraId="0AFC37BB" w14:textId="77777777" w:rsidR="00B6293F" w:rsidRPr="003726BE" w:rsidRDefault="00B6293F" w:rsidP="00B66AC3">
            <w:pPr>
              <w:rPr>
                <w:rFonts w:cs="Arial"/>
                <w:b/>
                <w:color w:val="262626" w:themeColor="text2" w:themeTint="D9"/>
                <w:sz w:val="20"/>
                <w:szCs w:val="20"/>
                <w:highlight w:val="yellow"/>
              </w:rPr>
            </w:pPr>
          </w:p>
        </w:tc>
        <w:tc>
          <w:tcPr>
            <w:tcW w:w="1318"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14:paraId="08F2BFE1" w14:textId="77777777" w:rsidR="00B6293F" w:rsidRPr="003726BE" w:rsidRDefault="00B6293F" w:rsidP="00B66AC3">
            <w:pPr>
              <w:spacing w:after="0"/>
              <w:jc w:val="left"/>
              <w:rPr>
                <w:rFonts w:cs="Arial"/>
                <w:b/>
                <w:color w:val="546393" w:themeColor="accent3"/>
                <w:szCs w:val="18"/>
                <w:highlight w:val="yellow"/>
              </w:rPr>
            </w:pPr>
            <w:r w:rsidRPr="003726BE">
              <w:rPr>
                <w:b/>
                <w:color w:val="546393" w:themeColor="accent3"/>
                <w:highlight w:val="yellow"/>
              </w:rPr>
              <w:t xml:space="preserve">R2 – </w:t>
            </w:r>
            <w:r w:rsidRPr="003726BE">
              <w:rPr>
                <w:color w:val="546393" w:themeColor="accent3"/>
                <w:highlight w:val="yellow"/>
              </w:rPr>
              <w:t>Cambiamento della produzione agricola nelle aziende agricole sovvenzionate/ULA</w:t>
            </w:r>
          </w:p>
          <w:p w14:paraId="63B7BE07" w14:textId="77777777" w:rsidR="00B6293F" w:rsidRPr="003726BE" w:rsidRDefault="00B6293F" w:rsidP="00B66AC3">
            <w:pPr>
              <w:spacing w:after="0"/>
              <w:jc w:val="left"/>
              <w:rPr>
                <w:rFonts w:cs="Arial"/>
                <w:color w:val="546393" w:themeColor="accent3"/>
                <w:szCs w:val="18"/>
                <w:highlight w:val="yellow"/>
              </w:rPr>
            </w:pPr>
            <w:r w:rsidRPr="003726BE">
              <w:rPr>
                <w:color w:val="546393" w:themeColor="accent3"/>
                <w:highlight w:val="yellow"/>
              </w:rPr>
              <w:t>(numeratore/denominatore)</w:t>
            </w:r>
          </w:p>
        </w:tc>
        <w:tc>
          <w:tcPr>
            <w:tcW w:w="918"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14:paraId="1B020197" w14:textId="77777777" w:rsidR="00B6293F" w:rsidRPr="003726BE" w:rsidRDefault="00B6293F" w:rsidP="00B66AC3">
            <w:pPr>
              <w:pStyle w:val="ListParagraph"/>
              <w:spacing w:after="0" w:line="240" w:lineRule="auto"/>
              <w:ind w:left="2160"/>
              <w:rPr>
                <w:rFonts w:ascii="Arial" w:hAnsi="Arial" w:cs="Arial"/>
                <w:b/>
                <w:color w:val="262626" w:themeColor="text2" w:themeTint="D9"/>
                <w:sz w:val="20"/>
                <w:szCs w:val="20"/>
                <w:highlight w:val="yellow"/>
              </w:rPr>
            </w:pPr>
          </w:p>
        </w:tc>
        <w:tc>
          <w:tcPr>
            <w:tcW w:w="1350"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14:paraId="3703B8AD" w14:textId="77777777" w:rsidR="00B6293F" w:rsidRPr="003726BE" w:rsidRDefault="00B6293F" w:rsidP="00B66AC3">
            <w:pPr>
              <w:pStyle w:val="ListParagraph"/>
              <w:spacing w:after="0" w:line="240" w:lineRule="auto"/>
              <w:ind w:left="2160"/>
              <w:rPr>
                <w:rFonts w:ascii="Arial" w:hAnsi="Arial" w:cs="Arial"/>
                <w:b/>
                <w:color w:val="262626" w:themeColor="text2" w:themeTint="D9"/>
                <w:sz w:val="20"/>
                <w:szCs w:val="20"/>
                <w:highlight w:val="yellow"/>
              </w:rPr>
            </w:pPr>
          </w:p>
        </w:tc>
        <w:tc>
          <w:tcPr>
            <w:tcW w:w="2341"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14:paraId="24D08EE1" w14:textId="77777777" w:rsidR="00B6293F" w:rsidRPr="003726BE" w:rsidRDefault="00B6293F" w:rsidP="001218B1">
            <w:pPr>
              <w:pStyle w:val="ListParagraph"/>
              <w:spacing w:before="60" w:after="140" w:line="220" w:lineRule="atLeast"/>
              <w:ind w:left="64" w:firstLine="0"/>
              <w:outlineLvl w:val="9"/>
              <w:rPr>
                <w:rFonts w:ascii="Arial" w:hAnsi="Arial" w:cs="Arial"/>
                <w:color w:val="546393" w:themeColor="accent3"/>
                <w:sz w:val="14"/>
                <w:szCs w:val="14"/>
                <w:highlight w:val="yellow"/>
              </w:rPr>
            </w:pPr>
            <w:r w:rsidRPr="003726BE">
              <w:rPr>
                <w:rFonts w:ascii="Arial" w:hAnsi="Arial"/>
                <w:color w:val="546393" w:themeColor="accent3"/>
                <w:sz w:val="14"/>
                <w:highlight w:val="yellow"/>
              </w:rPr>
              <w:t>47 400 EUR</w:t>
            </w:r>
          </w:p>
        </w:tc>
        <w:tc>
          <w:tcPr>
            <w:tcW w:w="2195"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14:paraId="700612E5" w14:textId="77777777" w:rsidR="00B6293F" w:rsidRPr="003726BE" w:rsidRDefault="00B6293F" w:rsidP="001218B1">
            <w:pPr>
              <w:ind w:left="64"/>
              <w:jc w:val="left"/>
              <w:rPr>
                <w:rFonts w:cs="Arial"/>
                <w:b/>
                <w:color w:val="546393" w:themeColor="accent3"/>
                <w:sz w:val="14"/>
                <w:szCs w:val="14"/>
                <w:highlight w:val="yellow"/>
              </w:rPr>
            </w:pPr>
            <w:r w:rsidRPr="003726BE">
              <w:rPr>
                <w:color w:val="546393" w:themeColor="accent3"/>
                <w:sz w:val="14"/>
                <w:highlight w:val="yellow"/>
              </w:rPr>
              <w:t>8 600 EUR</w:t>
            </w:r>
          </w:p>
        </w:tc>
        <w:tc>
          <w:tcPr>
            <w:tcW w:w="1843"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14:paraId="340FCE22" w14:textId="77777777" w:rsidR="00B6293F" w:rsidRPr="003726BE" w:rsidRDefault="00B6293F" w:rsidP="001218B1">
            <w:pPr>
              <w:pStyle w:val="ListParagraph"/>
              <w:spacing w:before="60" w:after="140" w:line="220" w:lineRule="atLeast"/>
              <w:ind w:left="64" w:firstLine="0"/>
              <w:outlineLvl w:val="9"/>
              <w:rPr>
                <w:rFonts w:ascii="Arial" w:hAnsi="Arial" w:cs="Arial"/>
                <w:b/>
                <w:color w:val="546393" w:themeColor="accent3"/>
                <w:sz w:val="14"/>
                <w:szCs w:val="14"/>
                <w:highlight w:val="yellow"/>
              </w:rPr>
            </w:pPr>
            <w:r w:rsidRPr="003726BE">
              <w:rPr>
                <w:rFonts w:ascii="Arial" w:hAnsi="Arial"/>
                <w:color w:val="546393" w:themeColor="accent3"/>
                <w:sz w:val="14"/>
                <w:highlight w:val="yellow"/>
              </w:rPr>
              <w:t>56 000 EUR</w:t>
            </w:r>
          </w:p>
        </w:tc>
        <w:tc>
          <w:tcPr>
            <w:tcW w:w="1496"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14:paraId="5D63BA67" w14:textId="77777777" w:rsidR="00B6293F" w:rsidRPr="003726BE" w:rsidRDefault="00B6293F" w:rsidP="001218B1">
            <w:pPr>
              <w:pStyle w:val="ListParagraph"/>
              <w:spacing w:before="60" w:after="140" w:line="220" w:lineRule="atLeast"/>
              <w:ind w:left="64" w:firstLine="0"/>
              <w:outlineLvl w:val="9"/>
              <w:rPr>
                <w:rFonts w:ascii="Arial" w:hAnsi="Arial" w:cs="Arial"/>
                <w:b/>
                <w:color w:val="546393" w:themeColor="accent3"/>
                <w:sz w:val="14"/>
                <w:szCs w:val="14"/>
                <w:highlight w:val="yellow"/>
              </w:rPr>
            </w:pPr>
            <w:r w:rsidRPr="003726BE">
              <w:rPr>
                <w:rFonts w:ascii="Arial" w:hAnsi="Arial"/>
                <w:color w:val="546393" w:themeColor="accent3"/>
                <w:sz w:val="14"/>
                <w:highlight w:val="yellow"/>
              </w:rPr>
              <w:t>35 000 EUR</w:t>
            </w:r>
          </w:p>
        </w:tc>
        <w:tc>
          <w:tcPr>
            <w:tcW w:w="2129"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14:paraId="55F2E944" w14:textId="77777777" w:rsidR="00B6293F" w:rsidRPr="003726BE" w:rsidRDefault="00B6293F" w:rsidP="0049161E">
            <w:pPr>
              <w:pStyle w:val="ListParagraph"/>
              <w:spacing w:after="0" w:line="240" w:lineRule="auto"/>
              <w:ind w:left="0" w:firstLine="0"/>
              <w:rPr>
                <w:rFonts w:ascii="Arial" w:hAnsi="Arial" w:cs="Arial"/>
                <w:color w:val="546393" w:themeColor="accent3"/>
                <w:sz w:val="18"/>
                <w:szCs w:val="18"/>
                <w:highlight w:val="yellow"/>
              </w:rPr>
            </w:pPr>
            <w:r w:rsidRPr="003726BE">
              <w:rPr>
                <w:rFonts w:ascii="Arial" w:hAnsi="Arial"/>
                <w:color w:val="546393" w:themeColor="accent3"/>
                <w:sz w:val="18"/>
                <w:highlight w:val="yellow"/>
              </w:rPr>
              <w:t>Banca dati nazionale delle aziende agricole/RICA</w:t>
            </w:r>
          </w:p>
        </w:tc>
      </w:tr>
      <w:tr w:rsidR="00B6293F" w:rsidRPr="003726BE" w14:paraId="5D517F23" w14:textId="77777777" w:rsidTr="005E3A47">
        <w:trPr>
          <w:trHeight w:val="313"/>
        </w:trPr>
        <w:tc>
          <w:tcPr>
            <w:tcW w:w="1211" w:type="dxa"/>
            <w:vMerge w:val="restart"/>
            <w:tcBorders>
              <w:top w:val="single" w:sz="18" w:space="0" w:color="6F6F6F" w:themeColor="text1"/>
              <w:left w:val="single" w:sz="18" w:space="0" w:color="6F6F6F" w:themeColor="text1"/>
              <w:right w:val="single" w:sz="4" w:space="0" w:color="auto"/>
            </w:tcBorders>
            <w:shd w:val="clear" w:color="auto" w:fill="auto"/>
            <w:tcMar>
              <w:top w:w="0" w:type="dxa"/>
              <w:left w:w="108" w:type="dxa"/>
              <w:bottom w:w="0" w:type="dxa"/>
              <w:right w:w="108" w:type="dxa"/>
            </w:tcMar>
          </w:tcPr>
          <w:p w14:paraId="0B0FC740" w14:textId="77777777" w:rsidR="00B6293F" w:rsidRPr="003726BE" w:rsidRDefault="00B6293F" w:rsidP="00B66AC3">
            <w:pPr>
              <w:jc w:val="left"/>
              <w:rPr>
                <w:rFonts w:cs="Arial"/>
                <w:b/>
                <w:color w:val="373737" w:themeColor="background1" w:themeShade="40"/>
                <w:sz w:val="20"/>
                <w:szCs w:val="20"/>
                <w:highlight w:val="yellow"/>
              </w:rPr>
            </w:pPr>
            <w:r w:rsidRPr="003726BE">
              <w:rPr>
                <w:b/>
                <w:color w:val="373737" w:themeColor="background1" w:themeShade="40"/>
                <w:highlight w:val="yellow"/>
              </w:rPr>
              <w:t xml:space="preserve">Indicatori </w:t>
            </w:r>
            <w:r w:rsidRPr="003726BE">
              <w:rPr>
                <w:b/>
                <w:color w:val="373737" w:themeColor="background1" w:themeShade="40"/>
                <w:highlight w:val="yellow"/>
              </w:rPr>
              <w:lastRenderedPageBreak/>
              <w:t>di risultato aggiuntivi</w:t>
            </w:r>
            <w:r w:rsidRPr="003726BE">
              <w:rPr>
                <w:rStyle w:val="FootnoteReference"/>
                <w:highlight w:val="yellow"/>
              </w:rPr>
              <w:footnoteReference w:id="121"/>
            </w:r>
          </w:p>
        </w:tc>
        <w:tc>
          <w:tcPr>
            <w:tcW w:w="1318" w:type="dxa"/>
            <w:tcBorders>
              <w:top w:val="single" w:sz="18" w:space="0" w:color="6F6F6F" w:themeColor="text1"/>
              <w:left w:val="single" w:sz="4" w:space="0" w:color="auto"/>
              <w:bottom w:val="single" w:sz="4" w:space="0" w:color="auto"/>
              <w:right w:val="single" w:sz="4" w:space="0" w:color="auto"/>
            </w:tcBorders>
            <w:shd w:val="clear" w:color="auto" w:fill="auto"/>
          </w:tcPr>
          <w:p w14:paraId="775BA9CE" w14:textId="77777777" w:rsidR="00B6293F" w:rsidRPr="003726BE" w:rsidRDefault="00B6293F" w:rsidP="00B66AC3">
            <w:pPr>
              <w:spacing w:after="0"/>
              <w:jc w:val="left"/>
              <w:rPr>
                <w:rFonts w:cs="Arial"/>
                <w:b/>
                <w:color w:val="546393" w:themeColor="accent3"/>
                <w:szCs w:val="18"/>
                <w:highlight w:val="yellow"/>
              </w:rPr>
            </w:pPr>
            <w:r w:rsidRPr="003726BE">
              <w:rPr>
                <w:b/>
                <w:color w:val="546393" w:themeColor="accent3"/>
                <w:highlight w:val="yellow"/>
              </w:rPr>
              <w:lastRenderedPageBreak/>
              <w:t xml:space="preserve">Reddito lordo </w:t>
            </w:r>
            <w:r w:rsidRPr="003726BE">
              <w:rPr>
                <w:b/>
                <w:color w:val="546393" w:themeColor="accent3"/>
                <w:highlight w:val="yellow"/>
              </w:rPr>
              <w:lastRenderedPageBreak/>
              <w:t>delle aziende agricole</w:t>
            </w:r>
          </w:p>
        </w:tc>
        <w:tc>
          <w:tcPr>
            <w:tcW w:w="918" w:type="dxa"/>
            <w:tcBorders>
              <w:top w:val="single" w:sz="18" w:space="0" w:color="6F6F6F" w:themeColor="text1"/>
              <w:left w:val="single" w:sz="4" w:space="0" w:color="auto"/>
              <w:bottom w:val="single" w:sz="4" w:space="0" w:color="auto"/>
              <w:right w:val="single" w:sz="4" w:space="0" w:color="auto"/>
            </w:tcBorders>
            <w:shd w:val="clear" w:color="auto" w:fill="auto"/>
          </w:tcPr>
          <w:p w14:paraId="128E2F96" w14:textId="77777777" w:rsidR="00B6293F" w:rsidRPr="003726BE" w:rsidRDefault="00B6293F" w:rsidP="005E3A47">
            <w:pPr>
              <w:ind w:left="64"/>
              <w:rPr>
                <w:color w:val="546393" w:themeColor="accent3"/>
                <w:sz w:val="14"/>
                <w:szCs w:val="14"/>
                <w:highlight w:val="yellow"/>
              </w:rPr>
            </w:pPr>
          </w:p>
        </w:tc>
        <w:tc>
          <w:tcPr>
            <w:tcW w:w="1350" w:type="dxa"/>
            <w:tcBorders>
              <w:top w:val="single" w:sz="18" w:space="0" w:color="6F6F6F" w:themeColor="text1"/>
              <w:left w:val="single" w:sz="4" w:space="0" w:color="auto"/>
              <w:bottom w:val="single" w:sz="4" w:space="0" w:color="auto"/>
              <w:right w:val="single" w:sz="4" w:space="0" w:color="auto"/>
            </w:tcBorders>
            <w:shd w:val="clear" w:color="auto" w:fill="auto"/>
          </w:tcPr>
          <w:p w14:paraId="73C448C2" w14:textId="77777777" w:rsidR="00B6293F" w:rsidRPr="003726BE" w:rsidRDefault="00B6293F" w:rsidP="005E3A47">
            <w:pPr>
              <w:ind w:left="64"/>
              <w:rPr>
                <w:color w:val="546393" w:themeColor="accent3"/>
                <w:sz w:val="14"/>
                <w:szCs w:val="14"/>
                <w:highlight w:val="yellow"/>
              </w:rPr>
            </w:pPr>
            <w:r w:rsidRPr="003726BE">
              <w:rPr>
                <w:color w:val="546393" w:themeColor="accent3"/>
                <w:sz w:val="14"/>
                <w:highlight w:val="yellow"/>
              </w:rPr>
              <w:t>42</w:t>
            </w:r>
          </w:p>
        </w:tc>
        <w:tc>
          <w:tcPr>
            <w:tcW w:w="2341" w:type="dxa"/>
            <w:tcBorders>
              <w:top w:val="single" w:sz="18" w:space="0" w:color="6F6F6F" w:themeColor="text1"/>
              <w:left w:val="single" w:sz="4" w:space="0" w:color="auto"/>
              <w:bottom w:val="single" w:sz="4" w:space="0" w:color="auto"/>
              <w:right w:val="single" w:sz="4" w:space="0" w:color="auto"/>
            </w:tcBorders>
            <w:shd w:val="clear" w:color="auto" w:fill="auto"/>
          </w:tcPr>
          <w:p w14:paraId="4C282E51" w14:textId="77777777" w:rsidR="00B6293F" w:rsidRPr="003726BE" w:rsidRDefault="00B6293F" w:rsidP="001218B1">
            <w:pPr>
              <w:ind w:left="64"/>
              <w:rPr>
                <w:color w:val="546393" w:themeColor="accent3"/>
                <w:sz w:val="14"/>
                <w:szCs w:val="14"/>
                <w:highlight w:val="yellow"/>
              </w:rPr>
            </w:pPr>
            <w:r w:rsidRPr="003726BE">
              <w:rPr>
                <w:color w:val="546393" w:themeColor="accent3"/>
                <w:sz w:val="14"/>
                <w:highlight w:val="yellow"/>
              </w:rPr>
              <w:t>117 831 EUR</w:t>
            </w:r>
          </w:p>
        </w:tc>
        <w:tc>
          <w:tcPr>
            <w:tcW w:w="2195" w:type="dxa"/>
            <w:tcBorders>
              <w:top w:val="single" w:sz="18" w:space="0" w:color="6F6F6F" w:themeColor="text1"/>
              <w:left w:val="single" w:sz="4" w:space="0" w:color="auto"/>
              <w:bottom w:val="single" w:sz="4" w:space="0" w:color="auto"/>
              <w:right w:val="single" w:sz="4" w:space="0" w:color="auto"/>
            </w:tcBorders>
            <w:shd w:val="clear" w:color="auto" w:fill="auto"/>
          </w:tcPr>
          <w:p w14:paraId="3C85AC5F" w14:textId="77777777" w:rsidR="00B6293F" w:rsidRPr="003726BE" w:rsidRDefault="00B6293F" w:rsidP="001218B1">
            <w:pPr>
              <w:ind w:left="64"/>
              <w:rPr>
                <w:color w:val="546393" w:themeColor="accent3"/>
                <w:sz w:val="14"/>
                <w:szCs w:val="14"/>
                <w:highlight w:val="yellow"/>
              </w:rPr>
            </w:pPr>
            <w:r w:rsidRPr="003726BE">
              <w:rPr>
                <w:color w:val="546393" w:themeColor="accent3"/>
                <w:sz w:val="14"/>
                <w:highlight w:val="yellow"/>
              </w:rPr>
              <w:t>8 869 EUR</w:t>
            </w:r>
          </w:p>
        </w:tc>
        <w:tc>
          <w:tcPr>
            <w:tcW w:w="1843" w:type="dxa"/>
            <w:tcBorders>
              <w:top w:val="single" w:sz="18" w:space="0" w:color="6F6F6F" w:themeColor="text1"/>
              <w:left w:val="single" w:sz="4" w:space="0" w:color="auto"/>
              <w:bottom w:val="single" w:sz="4" w:space="0" w:color="auto"/>
              <w:right w:val="single" w:sz="4" w:space="0" w:color="auto"/>
            </w:tcBorders>
            <w:shd w:val="clear" w:color="auto" w:fill="auto"/>
          </w:tcPr>
          <w:p w14:paraId="6F329545" w14:textId="77777777" w:rsidR="00B6293F" w:rsidRPr="003726BE" w:rsidRDefault="00B6293F" w:rsidP="001218B1">
            <w:pPr>
              <w:ind w:left="64"/>
              <w:rPr>
                <w:color w:val="546393" w:themeColor="accent3"/>
                <w:sz w:val="14"/>
                <w:szCs w:val="14"/>
                <w:highlight w:val="yellow"/>
              </w:rPr>
            </w:pPr>
            <w:r w:rsidRPr="003726BE">
              <w:rPr>
                <w:color w:val="546393" w:themeColor="accent3"/>
                <w:sz w:val="14"/>
                <w:highlight w:val="yellow"/>
              </w:rPr>
              <w:t>126 700 EUR</w:t>
            </w:r>
          </w:p>
        </w:tc>
        <w:tc>
          <w:tcPr>
            <w:tcW w:w="1496" w:type="dxa"/>
            <w:tcBorders>
              <w:top w:val="single" w:sz="18" w:space="0" w:color="6F6F6F" w:themeColor="text1"/>
              <w:left w:val="single" w:sz="4" w:space="0" w:color="auto"/>
              <w:bottom w:val="single" w:sz="4" w:space="0" w:color="auto"/>
              <w:right w:val="single" w:sz="4" w:space="0" w:color="auto"/>
            </w:tcBorders>
            <w:shd w:val="clear" w:color="auto" w:fill="auto"/>
          </w:tcPr>
          <w:p w14:paraId="02957354" w14:textId="77777777" w:rsidR="00B6293F" w:rsidRPr="003726BE" w:rsidRDefault="00B6293F" w:rsidP="001218B1">
            <w:pPr>
              <w:ind w:left="64"/>
              <w:rPr>
                <w:color w:val="546393" w:themeColor="accent3"/>
                <w:sz w:val="14"/>
                <w:szCs w:val="14"/>
                <w:highlight w:val="yellow"/>
              </w:rPr>
            </w:pPr>
            <w:r w:rsidRPr="003726BE">
              <w:rPr>
                <w:color w:val="546393" w:themeColor="accent3"/>
                <w:sz w:val="14"/>
                <w:highlight w:val="yellow"/>
              </w:rPr>
              <w:t>97 240 EUR</w:t>
            </w:r>
          </w:p>
        </w:tc>
        <w:tc>
          <w:tcPr>
            <w:tcW w:w="2129" w:type="dxa"/>
            <w:tcBorders>
              <w:top w:val="single" w:sz="18" w:space="0" w:color="6F6F6F" w:themeColor="text1"/>
              <w:left w:val="single" w:sz="4" w:space="0" w:color="auto"/>
              <w:bottom w:val="single" w:sz="4" w:space="0" w:color="auto"/>
              <w:right w:val="single" w:sz="18" w:space="0" w:color="6F6F6F" w:themeColor="text1"/>
            </w:tcBorders>
            <w:shd w:val="clear" w:color="auto" w:fill="auto"/>
          </w:tcPr>
          <w:p w14:paraId="3A760959" w14:textId="77777777" w:rsidR="00B6293F" w:rsidRPr="003726BE" w:rsidRDefault="00B6293F" w:rsidP="00B66AC3">
            <w:pPr>
              <w:pStyle w:val="ListParagraph"/>
              <w:spacing w:after="0" w:line="240" w:lineRule="auto"/>
              <w:ind w:left="144" w:firstLine="0"/>
              <w:rPr>
                <w:rFonts w:ascii="Arial" w:hAnsi="Arial" w:cs="Arial"/>
                <w:b/>
                <w:color w:val="546393" w:themeColor="accent3"/>
                <w:sz w:val="18"/>
                <w:szCs w:val="18"/>
                <w:highlight w:val="yellow"/>
              </w:rPr>
            </w:pPr>
            <w:r w:rsidRPr="003726BE">
              <w:rPr>
                <w:rFonts w:ascii="Arial" w:hAnsi="Arial"/>
                <w:color w:val="546393" w:themeColor="accent3"/>
                <w:sz w:val="18"/>
                <w:highlight w:val="yellow"/>
              </w:rPr>
              <w:t xml:space="preserve">Banca dati nazionale delle aziende </w:t>
            </w:r>
            <w:r w:rsidRPr="003726BE">
              <w:rPr>
                <w:rFonts w:ascii="Arial" w:hAnsi="Arial"/>
                <w:color w:val="546393" w:themeColor="accent3"/>
                <w:sz w:val="18"/>
                <w:highlight w:val="yellow"/>
              </w:rPr>
              <w:lastRenderedPageBreak/>
              <w:t>agricole/RICA</w:t>
            </w:r>
          </w:p>
        </w:tc>
      </w:tr>
      <w:tr w:rsidR="00B6293F" w:rsidRPr="003726BE" w14:paraId="5CF4E1DA" w14:textId="77777777" w:rsidTr="005E3A47">
        <w:trPr>
          <w:trHeight w:val="2500"/>
        </w:trPr>
        <w:tc>
          <w:tcPr>
            <w:tcW w:w="1211" w:type="dxa"/>
            <w:vMerge/>
            <w:tcBorders>
              <w:left w:val="single" w:sz="18" w:space="0" w:color="6F6F6F" w:themeColor="text1"/>
              <w:right w:val="single" w:sz="4" w:space="0" w:color="auto"/>
            </w:tcBorders>
            <w:shd w:val="clear" w:color="auto" w:fill="auto"/>
            <w:tcMar>
              <w:top w:w="0" w:type="dxa"/>
              <w:left w:w="108" w:type="dxa"/>
              <w:bottom w:w="0" w:type="dxa"/>
              <w:right w:w="108" w:type="dxa"/>
            </w:tcMar>
          </w:tcPr>
          <w:p w14:paraId="1A875076" w14:textId="77777777" w:rsidR="00B6293F" w:rsidRPr="003726BE" w:rsidRDefault="00B6293F" w:rsidP="00B66AC3">
            <w:pPr>
              <w:rPr>
                <w:rFonts w:cs="Arial"/>
                <w:b/>
                <w:color w:val="373737" w:themeColor="background1" w:themeShade="40"/>
                <w:sz w:val="20"/>
                <w:szCs w:val="20"/>
                <w:highlight w:val="yellow"/>
              </w:rPr>
            </w:pPr>
          </w:p>
        </w:tc>
        <w:tc>
          <w:tcPr>
            <w:tcW w:w="1318" w:type="dxa"/>
            <w:tcBorders>
              <w:top w:val="single" w:sz="4" w:space="0" w:color="auto"/>
              <w:left w:val="single" w:sz="4" w:space="0" w:color="auto"/>
              <w:right w:val="single" w:sz="4" w:space="0" w:color="auto"/>
            </w:tcBorders>
            <w:shd w:val="clear" w:color="auto" w:fill="auto"/>
          </w:tcPr>
          <w:p w14:paraId="5426842D" w14:textId="77777777" w:rsidR="00B6293F" w:rsidRPr="003726BE" w:rsidRDefault="00E7404C" w:rsidP="001218B1">
            <w:pPr>
              <w:spacing w:after="0"/>
              <w:ind w:left="37"/>
              <w:jc w:val="left"/>
              <w:rPr>
                <w:rFonts w:cs="Arial"/>
                <w:b/>
                <w:color w:val="546393" w:themeColor="accent3"/>
                <w:szCs w:val="18"/>
                <w:highlight w:val="yellow"/>
              </w:rPr>
            </w:pPr>
            <w:r>
              <w:rPr>
                <w:b/>
                <w:color w:val="546393" w:themeColor="accent3"/>
                <w:highlight w:val="yellow"/>
              </w:rPr>
              <w:t>Vendite/produzione totale</w:t>
            </w:r>
            <w:r w:rsidR="00B6293F" w:rsidRPr="003726BE">
              <w:rPr>
                <w:b/>
                <w:color w:val="546393" w:themeColor="accent3"/>
                <w:highlight w:val="yellow"/>
              </w:rPr>
              <w:t xml:space="preserve"> </w:t>
            </w:r>
          </w:p>
        </w:tc>
        <w:tc>
          <w:tcPr>
            <w:tcW w:w="918" w:type="dxa"/>
            <w:tcBorders>
              <w:top w:val="single" w:sz="4" w:space="0" w:color="auto"/>
              <w:left w:val="single" w:sz="4" w:space="0" w:color="auto"/>
              <w:right w:val="single" w:sz="4" w:space="0" w:color="auto"/>
            </w:tcBorders>
            <w:shd w:val="clear" w:color="auto" w:fill="auto"/>
          </w:tcPr>
          <w:p w14:paraId="64A98CDC" w14:textId="77777777" w:rsidR="00B6293F" w:rsidRPr="003726BE" w:rsidRDefault="00B6293F" w:rsidP="00B66AC3">
            <w:pPr>
              <w:pStyle w:val="ListParagraph"/>
              <w:spacing w:after="0" w:line="240" w:lineRule="auto"/>
              <w:ind w:left="2160"/>
              <w:rPr>
                <w:rFonts w:ascii="Arial" w:hAnsi="Arial" w:cs="Arial"/>
                <w:b/>
                <w:color w:val="546393" w:themeColor="accent3"/>
                <w:sz w:val="18"/>
                <w:szCs w:val="18"/>
                <w:highlight w:val="yellow"/>
              </w:rPr>
            </w:pPr>
          </w:p>
        </w:tc>
        <w:tc>
          <w:tcPr>
            <w:tcW w:w="1350" w:type="dxa"/>
            <w:tcBorders>
              <w:top w:val="single" w:sz="4" w:space="0" w:color="auto"/>
              <w:left w:val="single" w:sz="4" w:space="0" w:color="auto"/>
              <w:right w:val="single" w:sz="4" w:space="0" w:color="auto"/>
            </w:tcBorders>
            <w:shd w:val="clear" w:color="auto" w:fill="auto"/>
          </w:tcPr>
          <w:p w14:paraId="578DBDF2" w14:textId="77777777" w:rsidR="00B6293F" w:rsidRPr="003726BE" w:rsidRDefault="00B6293F" w:rsidP="001218B1">
            <w:pPr>
              <w:ind w:left="57"/>
              <w:rPr>
                <w:color w:val="546393" w:themeColor="accent3"/>
                <w:sz w:val="14"/>
                <w:szCs w:val="14"/>
                <w:highlight w:val="yellow"/>
              </w:rPr>
            </w:pPr>
          </w:p>
        </w:tc>
        <w:tc>
          <w:tcPr>
            <w:tcW w:w="2341" w:type="dxa"/>
            <w:tcBorders>
              <w:top w:val="single" w:sz="4" w:space="0" w:color="auto"/>
              <w:left w:val="single" w:sz="4" w:space="0" w:color="auto"/>
              <w:right w:val="single" w:sz="4" w:space="0" w:color="auto"/>
            </w:tcBorders>
            <w:shd w:val="clear" w:color="auto" w:fill="auto"/>
          </w:tcPr>
          <w:p w14:paraId="73BCC793" w14:textId="77777777" w:rsidR="00B6293F" w:rsidRPr="003726BE" w:rsidRDefault="00B6293F" w:rsidP="001218B1">
            <w:pPr>
              <w:ind w:left="57"/>
              <w:rPr>
                <w:color w:val="546393" w:themeColor="accent3"/>
                <w:sz w:val="14"/>
                <w:szCs w:val="14"/>
                <w:highlight w:val="yellow"/>
              </w:rPr>
            </w:pPr>
            <w:r w:rsidRPr="003726BE">
              <w:rPr>
                <w:color w:val="546393" w:themeColor="accent3"/>
                <w:sz w:val="14"/>
                <w:highlight w:val="yellow"/>
              </w:rPr>
              <w:t>216 535,41 EUR</w:t>
            </w:r>
          </w:p>
        </w:tc>
        <w:tc>
          <w:tcPr>
            <w:tcW w:w="2195" w:type="dxa"/>
            <w:tcBorders>
              <w:top w:val="single" w:sz="4" w:space="0" w:color="auto"/>
              <w:left w:val="single" w:sz="4" w:space="0" w:color="auto"/>
              <w:right w:val="single" w:sz="4" w:space="0" w:color="auto"/>
            </w:tcBorders>
            <w:shd w:val="clear" w:color="auto" w:fill="auto"/>
          </w:tcPr>
          <w:p w14:paraId="2C414A5D" w14:textId="77777777" w:rsidR="00B6293F" w:rsidRPr="003726BE" w:rsidRDefault="00B6293F" w:rsidP="001218B1">
            <w:pPr>
              <w:ind w:left="57"/>
              <w:rPr>
                <w:color w:val="546393" w:themeColor="accent3"/>
                <w:sz w:val="14"/>
                <w:szCs w:val="14"/>
                <w:highlight w:val="yellow"/>
              </w:rPr>
            </w:pPr>
            <w:r w:rsidRPr="003726BE">
              <w:rPr>
                <w:color w:val="546393" w:themeColor="accent3"/>
                <w:sz w:val="14"/>
                <w:highlight w:val="yellow"/>
              </w:rPr>
              <w:t>21 415,59 EUR</w:t>
            </w:r>
          </w:p>
        </w:tc>
        <w:tc>
          <w:tcPr>
            <w:tcW w:w="1843" w:type="dxa"/>
            <w:tcBorders>
              <w:top w:val="single" w:sz="4" w:space="0" w:color="auto"/>
              <w:left w:val="single" w:sz="4" w:space="0" w:color="auto"/>
              <w:right w:val="single" w:sz="4" w:space="0" w:color="auto"/>
            </w:tcBorders>
            <w:shd w:val="clear" w:color="auto" w:fill="auto"/>
          </w:tcPr>
          <w:p w14:paraId="5FCEA448" w14:textId="77777777" w:rsidR="00B6293F" w:rsidRPr="003726BE" w:rsidRDefault="00B6293F" w:rsidP="001218B1">
            <w:pPr>
              <w:ind w:left="57"/>
              <w:rPr>
                <w:color w:val="546393" w:themeColor="accent3"/>
                <w:sz w:val="14"/>
                <w:szCs w:val="14"/>
                <w:highlight w:val="yellow"/>
              </w:rPr>
            </w:pPr>
            <w:r w:rsidRPr="003726BE">
              <w:rPr>
                <w:color w:val="546393" w:themeColor="accent3"/>
                <w:sz w:val="14"/>
                <w:highlight w:val="yellow"/>
              </w:rPr>
              <w:t>237 951 EUR</w:t>
            </w:r>
          </w:p>
        </w:tc>
        <w:tc>
          <w:tcPr>
            <w:tcW w:w="1496" w:type="dxa"/>
            <w:tcBorders>
              <w:top w:val="single" w:sz="4" w:space="0" w:color="auto"/>
              <w:left w:val="single" w:sz="4" w:space="0" w:color="auto"/>
              <w:right w:val="single" w:sz="4" w:space="0" w:color="auto"/>
            </w:tcBorders>
            <w:shd w:val="clear" w:color="auto" w:fill="auto"/>
          </w:tcPr>
          <w:p w14:paraId="15813779" w14:textId="77777777" w:rsidR="00B6293F" w:rsidRPr="003726BE" w:rsidRDefault="00B6293F" w:rsidP="00B66AC3">
            <w:pPr>
              <w:pStyle w:val="ListParagraph"/>
              <w:spacing w:after="0" w:line="240" w:lineRule="auto"/>
              <w:ind w:left="2160"/>
              <w:rPr>
                <w:rFonts w:ascii="Arial" w:hAnsi="Arial" w:cs="Arial"/>
                <w:b/>
                <w:color w:val="546393" w:themeColor="accent3"/>
                <w:sz w:val="18"/>
                <w:szCs w:val="18"/>
                <w:highlight w:val="yellow"/>
              </w:rPr>
            </w:pPr>
          </w:p>
        </w:tc>
        <w:tc>
          <w:tcPr>
            <w:tcW w:w="2129" w:type="dxa"/>
            <w:tcBorders>
              <w:top w:val="single" w:sz="4" w:space="0" w:color="auto"/>
              <w:left w:val="single" w:sz="4" w:space="0" w:color="auto"/>
              <w:right w:val="single" w:sz="18" w:space="0" w:color="6F6F6F" w:themeColor="text1"/>
            </w:tcBorders>
            <w:shd w:val="clear" w:color="auto" w:fill="auto"/>
          </w:tcPr>
          <w:p w14:paraId="1939E437" w14:textId="77777777" w:rsidR="00B6293F" w:rsidRPr="003726BE" w:rsidRDefault="00B6293F" w:rsidP="00B66AC3">
            <w:pPr>
              <w:pStyle w:val="ListParagraph"/>
              <w:spacing w:after="0" w:line="240" w:lineRule="auto"/>
              <w:ind w:left="850" w:hanging="706"/>
              <w:rPr>
                <w:rFonts w:ascii="Arial" w:hAnsi="Arial" w:cs="Arial"/>
                <w:color w:val="546393" w:themeColor="accent3"/>
                <w:sz w:val="18"/>
                <w:szCs w:val="18"/>
                <w:highlight w:val="yellow"/>
              </w:rPr>
            </w:pPr>
          </w:p>
        </w:tc>
      </w:tr>
      <w:tr w:rsidR="00B6293F" w:rsidRPr="003726BE" w14:paraId="4EBFA1F7" w14:textId="77777777" w:rsidTr="005E3A47">
        <w:trPr>
          <w:trHeight w:val="180"/>
        </w:trPr>
        <w:tc>
          <w:tcPr>
            <w:tcW w:w="1211" w:type="dxa"/>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14:paraId="39895A29" w14:textId="77777777" w:rsidR="00B6293F" w:rsidRPr="003726BE" w:rsidRDefault="00B6293F" w:rsidP="00B66AC3">
            <w:pPr>
              <w:rPr>
                <w:rFonts w:cs="Arial"/>
                <w:b/>
                <w:color w:val="373737" w:themeColor="background1" w:themeShade="40"/>
                <w:sz w:val="20"/>
                <w:szCs w:val="20"/>
                <w:highlight w:val="yellow"/>
              </w:rPr>
            </w:pPr>
            <w:r w:rsidRPr="003726BE">
              <w:rPr>
                <w:b/>
                <w:color w:val="373737" w:themeColor="background1" w:themeShade="40"/>
                <w:highlight w:val="yellow"/>
              </w:rPr>
              <w:t>Indicatori comuni di contesto</w:t>
            </w:r>
            <w:r w:rsidRPr="003726BE">
              <w:rPr>
                <w:rStyle w:val="FootnoteReference"/>
                <w:highlight w:val="yellow"/>
              </w:rPr>
              <w:footnoteReference w:id="122"/>
            </w:r>
            <w:r w:rsidRPr="003726BE">
              <w:rPr>
                <w:rStyle w:val="FootnoteReference"/>
                <w:highlight w:val="yellow"/>
              </w:rPr>
              <w:t xml:space="preserve"> </w:t>
            </w:r>
          </w:p>
        </w:tc>
        <w:tc>
          <w:tcPr>
            <w:tcW w:w="1318"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14:paraId="6554BB4C" w14:textId="77777777" w:rsidR="00B6293F" w:rsidRPr="003726BE" w:rsidRDefault="00B6293F" w:rsidP="001218B1">
            <w:pPr>
              <w:spacing w:after="0"/>
              <w:ind w:left="37"/>
              <w:jc w:val="left"/>
              <w:rPr>
                <w:rFonts w:cs="Arial"/>
                <w:b/>
                <w:color w:val="546393" w:themeColor="accent3"/>
                <w:szCs w:val="18"/>
                <w:highlight w:val="yellow"/>
              </w:rPr>
            </w:pPr>
            <w:r w:rsidRPr="003726BE">
              <w:rPr>
                <w:b/>
                <w:color w:val="546393" w:themeColor="accent3"/>
                <w:highlight w:val="yellow"/>
              </w:rPr>
              <w:t>CCI 17 - Numero totale di aziende agricole</w:t>
            </w:r>
          </w:p>
        </w:tc>
        <w:tc>
          <w:tcPr>
            <w:tcW w:w="918"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14:paraId="7EA23BBB" w14:textId="77777777" w:rsidR="00B6293F" w:rsidRPr="003726BE" w:rsidRDefault="00B6293F" w:rsidP="001218B1">
            <w:pPr>
              <w:pStyle w:val="ListParagraph"/>
              <w:tabs>
                <w:tab w:val="clear" w:pos="709"/>
              </w:tabs>
              <w:spacing w:after="0" w:line="240" w:lineRule="auto"/>
              <w:ind w:left="0" w:firstLine="0"/>
              <w:rPr>
                <w:rFonts w:ascii="Arial" w:hAnsi="Arial" w:cs="Arial"/>
                <w:b/>
                <w:color w:val="546393" w:themeColor="accent3"/>
                <w:sz w:val="14"/>
                <w:szCs w:val="14"/>
                <w:highlight w:val="yellow"/>
              </w:rPr>
            </w:pPr>
            <w:r w:rsidRPr="003726BE">
              <w:rPr>
                <w:rFonts w:ascii="Arial" w:hAnsi="Arial"/>
                <w:color w:val="546393" w:themeColor="accent3"/>
                <w:sz w:val="14"/>
                <w:highlight w:val="yellow"/>
              </w:rPr>
              <w:t>7 250</w:t>
            </w:r>
          </w:p>
        </w:tc>
        <w:tc>
          <w:tcPr>
            <w:tcW w:w="1350"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14:paraId="30DA6F11" w14:textId="77777777" w:rsidR="00B6293F" w:rsidRPr="003726BE" w:rsidRDefault="00B6293F" w:rsidP="00B66AC3">
            <w:pPr>
              <w:pStyle w:val="ListParagraph"/>
              <w:spacing w:after="0" w:line="240" w:lineRule="auto"/>
              <w:ind w:left="2160"/>
              <w:rPr>
                <w:rFonts w:ascii="Arial" w:hAnsi="Arial" w:cs="Arial"/>
                <w:b/>
                <w:color w:val="546393" w:themeColor="accent3"/>
                <w:sz w:val="18"/>
                <w:szCs w:val="18"/>
                <w:highlight w:val="yellow"/>
              </w:rPr>
            </w:pPr>
          </w:p>
        </w:tc>
        <w:tc>
          <w:tcPr>
            <w:tcW w:w="2341"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14:paraId="46E3BC03" w14:textId="77777777" w:rsidR="00B6293F" w:rsidRPr="003726BE" w:rsidRDefault="00B6293F" w:rsidP="00B66AC3">
            <w:pPr>
              <w:pStyle w:val="ListParagraph"/>
              <w:spacing w:after="0" w:line="240" w:lineRule="auto"/>
              <w:ind w:left="2160"/>
              <w:rPr>
                <w:rFonts w:ascii="Arial" w:hAnsi="Arial" w:cs="Arial"/>
                <w:b/>
                <w:color w:val="546393" w:themeColor="accent3"/>
                <w:sz w:val="18"/>
                <w:szCs w:val="18"/>
                <w:highlight w:val="yellow"/>
              </w:rPr>
            </w:pPr>
          </w:p>
        </w:tc>
        <w:tc>
          <w:tcPr>
            <w:tcW w:w="2195"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14:paraId="29B09AF4" w14:textId="77777777" w:rsidR="00B6293F" w:rsidRPr="003726BE" w:rsidRDefault="00B6293F" w:rsidP="00B66AC3">
            <w:pPr>
              <w:pStyle w:val="ListParagraph"/>
              <w:spacing w:after="0" w:line="240" w:lineRule="auto"/>
              <w:ind w:left="2160"/>
              <w:rPr>
                <w:rFonts w:ascii="Arial" w:hAnsi="Arial" w:cs="Arial"/>
                <w:b/>
                <w:color w:val="546393" w:themeColor="accent3"/>
                <w:sz w:val="18"/>
                <w:szCs w:val="18"/>
                <w:highlight w:val="yellow"/>
              </w:rPr>
            </w:pPr>
          </w:p>
        </w:tc>
        <w:tc>
          <w:tcPr>
            <w:tcW w:w="1843"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14:paraId="773550A3" w14:textId="77777777" w:rsidR="00B6293F" w:rsidRPr="003726BE" w:rsidRDefault="00B6293F" w:rsidP="00B66AC3">
            <w:pPr>
              <w:pStyle w:val="ListParagraph"/>
              <w:spacing w:after="0" w:line="240" w:lineRule="auto"/>
              <w:ind w:left="2160"/>
              <w:rPr>
                <w:rFonts w:ascii="Arial" w:hAnsi="Arial" w:cs="Arial"/>
                <w:b/>
                <w:color w:val="546393" w:themeColor="accent3"/>
                <w:sz w:val="18"/>
                <w:szCs w:val="18"/>
                <w:highlight w:val="yellow"/>
              </w:rPr>
            </w:pPr>
          </w:p>
        </w:tc>
        <w:tc>
          <w:tcPr>
            <w:tcW w:w="1496"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14:paraId="536380CA" w14:textId="77777777" w:rsidR="00B6293F" w:rsidRPr="003726BE" w:rsidRDefault="00B6293F" w:rsidP="00B66AC3">
            <w:pPr>
              <w:pStyle w:val="ListParagraph"/>
              <w:spacing w:after="0" w:line="240" w:lineRule="auto"/>
              <w:ind w:left="2160"/>
              <w:rPr>
                <w:rFonts w:ascii="Arial" w:hAnsi="Arial" w:cs="Arial"/>
                <w:b/>
                <w:color w:val="546393" w:themeColor="accent3"/>
                <w:sz w:val="18"/>
                <w:szCs w:val="18"/>
                <w:highlight w:val="yellow"/>
              </w:rPr>
            </w:pPr>
          </w:p>
        </w:tc>
        <w:tc>
          <w:tcPr>
            <w:tcW w:w="2129"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14:paraId="2B509DBA" w14:textId="77777777" w:rsidR="00B6293F" w:rsidRPr="003726BE" w:rsidRDefault="00B6293F" w:rsidP="00B66AC3">
            <w:pPr>
              <w:pStyle w:val="ListParagraph"/>
              <w:spacing w:after="0" w:line="240" w:lineRule="auto"/>
              <w:ind w:left="144" w:firstLine="0"/>
              <w:rPr>
                <w:rFonts w:ascii="Arial" w:hAnsi="Arial" w:cs="Arial"/>
                <w:b/>
                <w:color w:val="546393" w:themeColor="accent3"/>
                <w:sz w:val="18"/>
                <w:szCs w:val="18"/>
                <w:highlight w:val="yellow"/>
              </w:rPr>
            </w:pPr>
            <w:r w:rsidRPr="003726BE">
              <w:rPr>
                <w:rFonts w:ascii="Arial" w:hAnsi="Arial"/>
                <w:color w:val="546393" w:themeColor="accent3"/>
                <w:sz w:val="18"/>
                <w:highlight w:val="yellow"/>
              </w:rPr>
              <w:t xml:space="preserve">Banca dati dell'UE dei CCI </w:t>
            </w:r>
          </w:p>
        </w:tc>
      </w:tr>
    </w:tbl>
    <w:p w14:paraId="28B55FD1" w14:textId="77777777" w:rsidR="00E54F4F" w:rsidRPr="003726BE" w:rsidRDefault="00E54F4F" w:rsidP="00E54F4F">
      <w:pPr>
        <w:spacing w:line="280" w:lineRule="atLeast"/>
        <w:rPr>
          <w:sz w:val="24"/>
          <w:highlight w:val="yellow"/>
        </w:rPr>
      </w:pPr>
    </w:p>
    <w:p w14:paraId="51299BA8" w14:textId="77777777" w:rsidR="002B2ED6" w:rsidRPr="003726BE" w:rsidRDefault="002B2ED6" w:rsidP="000958C6">
      <w:pPr>
        <w:pStyle w:val="H-Heading2"/>
        <w:ind w:left="0" w:firstLine="0"/>
        <w:rPr>
          <w:rFonts w:ascii="Arial" w:hAnsi="Arial" w:cs="Arial"/>
          <w:highlight w:val="yellow"/>
        </w:rPr>
      </w:pPr>
    </w:p>
    <w:p w14:paraId="444567DA" w14:textId="77777777" w:rsidR="00090E37" w:rsidRPr="003726BE" w:rsidRDefault="00090E37" w:rsidP="002B2ED6">
      <w:pPr>
        <w:rPr>
          <w:rFonts w:cs="Arial"/>
          <w:highlight w:val="yellow"/>
        </w:rPr>
        <w:sectPr w:rsidR="00090E37" w:rsidRPr="003726BE" w:rsidSect="00FE5DEE">
          <w:pgSz w:w="16840" w:h="11907" w:orient="landscape" w:code="9"/>
          <w:pgMar w:top="1418" w:right="1418" w:bottom="1418" w:left="1418" w:header="737" w:footer="709" w:gutter="0"/>
          <w:cols w:space="708"/>
          <w:titlePg/>
          <w:docGrid w:linePitch="435"/>
        </w:sectPr>
      </w:pPr>
    </w:p>
    <w:tbl>
      <w:tblPr>
        <w:tblW w:w="8887" w:type="dxa"/>
        <w:jc w:val="center"/>
        <w:tblLayout w:type="fixed"/>
        <w:tblCellMar>
          <w:left w:w="10" w:type="dxa"/>
          <w:right w:w="10" w:type="dxa"/>
        </w:tblCellMar>
        <w:tblLook w:val="0000" w:firstRow="0" w:lastRow="0" w:firstColumn="0" w:lastColumn="0" w:noHBand="0" w:noVBand="0"/>
      </w:tblPr>
      <w:tblGrid>
        <w:gridCol w:w="8887"/>
      </w:tblGrid>
      <w:tr w:rsidR="002B007A" w:rsidRPr="003726BE" w14:paraId="28F6519F" w14:textId="77777777" w:rsidTr="00984473">
        <w:trPr>
          <w:trHeight w:val="75"/>
          <w:jc w:val="center"/>
        </w:trPr>
        <w:tc>
          <w:tcPr>
            <w:tcW w:w="8887" w:type="dxa"/>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14:paraId="35ADFEA5" w14:textId="77777777" w:rsidR="002B007A" w:rsidRPr="003726BE" w:rsidRDefault="00090E37" w:rsidP="001A31FB">
            <w:pPr>
              <w:pStyle w:val="ListParagraph"/>
              <w:numPr>
                <w:ilvl w:val="0"/>
                <w:numId w:val="45"/>
              </w:numPr>
              <w:suppressAutoHyphens/>
              <w:autoSpaceDN w:val="0"/>
              <w:spacing w:after="0" w:line="240" w:lineRule="auto"/>
              <w:textAlignment w:val="baseline"/>
              <w:rPr>
                <w:rFonts w:cs="Arial"/>
                <w:b/>
                <w:color w:val="ED7D31"/>
                <w:sz w:val="18"/>
                <w:szCs w:val="18"/>
                <w:highlight w:val="yellow"/>
              </w:rPr>
            </w:pPr>
            <w:r w:rsidRPr="003726BE">
              <w:lastRenderedPageBreak/>
              <w:tab/>
            </w:r>
            <w:r w:rsidRPr="003726BE">
              <w:rPr>
                <w:b/>
                <w:color w:val="ED7D31"/>
                <w:sz w:val="18"/>
                <w:highlight w:val="yellow"/>
              </w:rPr>
              <w:t>Problemi riscontrati che influenzano la validità e l'affidabilità dei risultati della valutazione</w:t>
            </w:r>
            <w:r w:rsidRPr="003726BE">
              <w:rPr>
                <w:rStyle w:val="FootnoteReference"/>
                <w:highlight w:val="yellow"/>
              </w:rPr>
              <w:footnoteReference w:id="123"/>
            </w:r>
            <w:r w:rsidRPr="003726BE">
              <w:rPr>
                <w:b/>
                <w:color w:val="ED7D31"/>
                <w:sz w:val="18"/>
                <w:highlight w:val="yellow"/>
              </w:rPr>
              <w:t xml:space="preserve"> </w:t>
            </w:r>
          </w:p>
          <w:p w14:paraId="6F0EE1B8" w14:textId="77777777" w:rsidR="002B007A" w:rsidRPr="003726BE" w:rsidRDefault="00662E21" w:rsidP="00662E21">
            <w:pPr>
              <w:suppressAutoHyphens/>
              <w:autoSpaceDN w:val="0"/>
              <w:spacing w:after="0" w:line="240" w:lineRule="auto"/>
              <w:textAlignment w:val="baseline"/>
              <w:rPr>
                <w:rFonts w:cs="Arial"/>
                <w:color w:val="1F4E79"/>
                <w:szCs w:val="18"/>
                <w:highlight w:val="yellow"/>
              </w:rPr>
            </w:pPr>
            <w:r w:rsidRPr="003726BE">
              <w:rPr>
                <w:color w:val="546393" w:themeColor="accent3"/>
                <w:highlight w:val="yellow"/>
              </w:rPr>
              <w:t xml:space="preserve">I metodi applicati nella valutazione dell'indicatore comune di risultato complementare, così come per gli indicatori aggiuntivi, nonché le fonti di dati di alta qualità sui beneficiari e sui non beneficiari, hanno permesso una solida valutazione dei risultati in funzione delle realizzazioni ai sensi del FA 2A, nonché di rispondere alla relativa domanda comune di valutazione. </w:t>
            </w:r>
          </w:p>
        </w:tc>
      </w:tr>
      <w:tr w:rsidR="00A07941" w:rsidRPr="003726BE" w14:paraId="5C8974BF" w14:textId="77777777" w:rsidTr="00984473">
        <w:trPr>
          <w:trHeight w:val="75"/>
          <w:jc w:val="center"/>
        </w:trPr>
        <w:tc>
          <w:tcPr>
            <w:tcW w:w="8887" w:type="dxa"/>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14:paraId="0CA60B52" w14:textId="77777777" w:rsidR="00A07941" w:rsidRPr="003726BE" w:rsidRDefault="00A07941" w:rsidP="001A31FB">
            <w:pPr>
              <w:pStyle w:val="ListParagraph"/>
              <w:numPr>
                <w:ilvl w:val="0"/>
                <w:numId w:val="45"/>
              </w:numPr>
              <w:suppressAutoHyphens/>
              <w:autoSpaceDN w:val="0"/>
              <w:spacing w:before="60" w:after="60" w:line="220" w:lineRule="atLeast"/>
              <w:textAlignment w:val="baseline"/>
              <w:rPr>
                <w:rFonts w:cs="Arial"/>
                <w:b/>
                <w:color w:val="ED7D31"/>
                <w:sz w:val="18"/>
                <w:szCs w:val="18"/>
                <w:highlight w:val="yellow"/>
              </w:rPr>
            </w:pPr>
            <w:r w:rsidRPr="003726BE">
              <w:rPr>
                <w:b/>
                <w:color w:val="ED7D31"/>
                <w:sz w:val="18"/>
                <w:highlight w:val="yellow"/>
              </w:rPr>
              <w:t>Risposta alla domanda di valutazione</w:t>
            </w:r>
            <w:r w:rsidRPr="003726BE">
              <w:rPr>
                <w:rStyle w:val="FootnoteReference"/>
                <w:highlight w:val="yellow"/>
              </w:rPr>
              <w:footnoteReference w:id="124"/>
            </w:r>
            <w:r w:rsidRPr="003726BE">
              <w:rPr>
                <w:b/>
                <w:color w:val="ED7D31"/>
                <w:sz w:val="18"/>
                <w:highlight w:val="yellow"/>
              </w:rPr>
              <w:t xml:space="preserve"> </w:t>
            </w:r>
          </w:p>
          <w:p w14:paraId="590CF200" w14:textId="6D3B94A9" w:rsidR="00A07941" w:rsidRPr="003726BE" w:rsidRDefault="00A07941" w:rsidP="00984473">
            <w:pPr>
              <w:spacing w:after="60"/>
              <w:rPr>
                <w:rFonts w:cs="Arial"/>
                <w:color w:val="546393" w:themeColor="accent3"/>
                <w:szCs w:val="18"/>
                <w:highlight w:val="yellow"/>
              </w:rPr>
            </w:pPr>
            <w:r w:rsidRPr="003726BE">
              <w:rPr>
                <w:color w:val="546393" w:themeColor="accent3"/>
                <w:highlight w:val="yellow"/>
              </w:rPr>
              <w:t xml:space="preserve">Nella "zona interessata dal programma" sono </w:t>
            </w:r>
            <w:r w:rsidR="0042254D">
              <w:rPr>
                <w:color w:val="546393" w:themeColor="accent3"/>
                <w:highlight w:val="yellow"/>
              </w:rPr>
              <w:t xml:space="preserve">presenti </w:t>
            </w:r>
            <w:r w:rsidRPr="003726BE">
              <w:rPr>
                <w:color w:val="546393" w:themeColor="accent3"/>
                <w:highlight w:val="yellow"/>
              </w:rPr>
              <w:t xml:space="preserve">7 250 aziende nel settore agricolo ammissibili </w:t>
            </w:r>
            <w:r w:rsidR="0042254D">
              <w:rPr>
                <w:color w:val="546393" w:themeColor="accent3"/>
                <w:highlight w:val="yellow"/>
              </w:rPr>
              <w:t>a</w:t>
            </w:r>
            <w:r w:rsidRPr="003726BE">
              <w:rPr>
                <w:color w:val="546393" w:themeColor="accent3"/>
                <w:highlight w:val="yellow"/>
              </w:rPr>
              <w:t xml:space="preserve"> beneficiare del sostegno del PSR. Di queste, 1 350 aziende agricole sono state sovvenzionate per contributi al FA 2A fino al 31.12.2016. Il numero totale di operazioni nel quadro delle misure programmate primarie è pari a 918 (tabella 1); inoltre, ci sono state 1 228 operazioni sovvenzionate nel quadro delle misure che forniscono contributi secondari al FA 2A, ossia 247 operazioni sovvenzionate per il FA 2A, 75 operazioni sovvenzionate per il FA 5B, 51 operazioni sovvenzionate per il FA 5C e </w:t>
            </w:r>
            <w:r w:rsidR="00CD60CF">
              <w:rPr>
                <w:color w:val="546393" w:themeColor="accent3"/>
                <w:highlight w:val="yellow"/>
              </w:rPr>
              <w:t>855</w:t>
            </w:r>
            <w:r w:rsidRPr="003726BE">
              <w:rPr>
                <w:color w:val="546393" w:themeColor="accent3"/>
                <w:highlight w:val="yellow"/>
              </w:rPr>
              <w:t xml:space="preserve"> operazioni sovvenzionate per i FA di P4. </w:t>
            </w:r>
            <w:bookmarkStart w:id="134" w:name="_GoBack"/>
            <w:bookmarkEnd w:id="134"/>
          </w:p>
          <w:p w14:paraId="60ACC017" w14:textId="77777777" w:rsidR="00A07941" w:rsidRPr="003726BE" w:rsidRDefault="00A07941" w:rsidP="00984473">
            <w:pPr>
              <w:spacing w:after="60"/>
              <w:rPr>
                <w:rFonts w:cs="Arial"/>
                <w:color w:val="546393" w:themeColor="accent3"/>
                <w:szCs w:val="18"/>
                <w:highlight w:val="yellow"/>
              </w:rPr>
            </w:pPr>
            <w:r w:rsidRPr="003726BE">
              <w:rPr>
                <w:color w:val="546393" w:themeColor="accent3"/>
                <w:highlight w:val="yellow"/>
              </w:rPr>
              <w:t xml:space="preserve">Ciò significa che complessivamente il 18,6 % delle aziende agricole ammissibili ha ricevuto sostegno a favore di investimenti nell'agricoltura, il quale ha migliorato l'ammodernamento delle aziende agricole beneficiarie, soprattutto nel settore della produzione di bovini da latte e di pollame, nonché nei settori della frutta e della verdura. La maggior parte dei fondi investiti della M4 (circa il 70 %) è andata a favore dell'edilizia e la parte restante (30 %) a favore di nuovi macchinari e nuove attrezzature. Questi miglioramenti </w:t>
            </w:r>
            <w:r w:rsidR="006635B3">
              <w:rPr>
                <w:color w:val="546393" w:themeColor="accent3"/>
                <w:highlight w:val="yellow"/>
              </w:rPr>
              <w:t>aumentano la</w:t>
            </w:r>
            <w:r w:rsidRPr="003726BE">
              <w:rPr>
                <w:color w:val="546393" w:themeColor="accent3"/>
                <w:highlight w:val="yellow"/>
              </w:rPr>
              <w:t xml:space="preserve"> competitività e, di conseguenza, </w:t>
            </w:r>
            <w:r w:rsidR="006635B3">
              <w:rPr>
                <w:color w:val="546393" w:themeColor="accent3"/>
                <w:highlight w:val="yellow"/>
              </w:rPr>
              <w:t>anche la</w:t>
            </w:r>
            <w:r w:rsidRPr="003726BE">
              <w:rPr>
                <w:color w:val="546393" w:themeColor="accent3"/>
                <w:highlight w:val="yellow"/>
              </w:rPr>
              <w:t xml:space="preserve"> produzione lorda e </w:t>
            </w:r>
            <w:r w:rsidR="006635B3">
              <w:rPr>
                <w:color w:val="546393" w:themeColor="accent3"/>
                <w:highlight w:val="yellow"/>
              </w:rPr>
              <w:t>il</w:t>
            </w:r>
            <w:r w:rsidRPr="003726BE">
              <w:rPr>
                <w:color w:val="546393" w:themeColor="accent3"/>
                <w:highlight w:val="yellow"/>
              </w:rPr>
              <w:t xml:space="preserve"> valore aggiunto lordo a micro e macro livello. Allo stesso tempo, </w:t>
            </w:r>
            <w:r w:rsidR="006635B3">
              <w:rPr>
                <w:color w:val="546393" w:themeColor="accent3"/>
                <w:highlight w:val="yellow"/>
              </w:rPr>
              <w:t>alcune</w:t>
            </w:r>
            <w:r w:rsidRPr="003726BE">
              <w:rPr>
                <w:color w:val="546393" w:themeColor="accent3"/>
                <w:highlight w:val="yellow"/>
              </w:rPr>
              <w:t xml:space="preserve"> operazioni di investimento hanno creato sovraccapacità anziché adeguamenti strutturali e diversificazione (ad esempio nel caso di aziende lattiero-casearie di medie e grandi dimensioni). Il sostegno agli investimenti non è stato </w:t>
            </w:r>
            <w:r w:rsidR="006635B3">
              <w:rPr>
                <w:color w:val="546393" w:themeColor="accent3"/>
                <w:highlight w:val="yellow"/>
              </w:rPr>
              <w:t>evidentemente</w:t>
            </w:r>
            <w:r w:rsidRPr="003726BE">
              <w:rPr>
                <w:color w:val="546393" w:themeColor="accent3"/>
                <w:highlight w:val="yellow"/>
              </w:rPr>
              <w:t xml:space="preserve"> focalizzato</w:t>
            </w:r>
            <w:r w:rsidR="006635B3">
              <w:rPr>
                <w:color w:val="546393" w:themeColor="accent3"/>
                <w:highlight w:val="yellow"/>
              </w:rPr>
              <w:t xml:space="preserve"> a sufficienza</w:t>
            </w:r>
            <w:r w:rsidRPr="003726BE">
              <w:rPr>
                <w:color w:val="546393" w:themeColor="accent3"/>
                <w:highlight w:val="yellow"/>
              </w:rPr>
              <w:t xml:space="preserve"> sullo sviluppo di nuovi prodotti o sul miglioramento della qualità dei prodotti o su innovazioni, che sono gli elementi che facilitano </w:t>
            </w:r>
            <w:r w:rsidR="00EE0E00">
              <w:rPr>
                <w:color w:val="546393" w:themeColor="accent3"/>
                <w:highlight w:val="yellow"/>
              </w:rPr>
              <w:t xml:space="preserve">la transizione </w:t>
            </w:r>
            <w:r w:rsidRPr="003726BE">
              <w:rPr>
                <w:color w:val="546393" w:themeColor="accent3"/>
                <w:highlight w:val="yellow"/>
              </w:rPr>
              <w:t>più significativ</w:t>
            </w:r>
            <w:r w:rsidR="00EE0E00">
              <w:rPr>
                <w:color w:val="546393" w:themeColor="accent3"/>
                <w:highlight w:val="yellow"/>
              </w:rPr>
              <w:t>a</w:t>
            </w:r>
            <w:r w:rsidRPr="003726BE">
              <w:rPr>
                <w:color w:val="546393" w:themeColor="accent3"/>
                <w:highlight w:val="yellow"/>
              </w:rPr>
              <w:t xml:space="preserve"> verso la diversificazione agricola.</w:t>
            </w:r>
          </w:p>
          <w:p w14:paraId="5E52273E" w14:textId="77777777" w:rsidR="00A07941" w:rsidRPr="003726BE" w:rsidRDefault="00A07941" w:rsidP="00984473">
            <w:pPr>
              <w:spacing w:after="60"/>
              <w:rPr>
                <w:rFonts w:cs="Arial"/>
                <w:color w:val="546393" w:themeColor="accent3"/>
                <w:szCs w:val="18"/>
                <w:highlight w:val="yellow"/>
              </w:rPr>
            </w:pPr>
            <w:r w:rsidRPr="003726BE">
              <w:rPr>
                <w:color w:val="546393" w:themeColor="accent3"/>
                <w:highlight w:val="yellow"/>
              </w:rPr>
              <w:t xml:space="preserve">La maggior parte delle operazioni di investimento ai sensi della M4 ha portato anche benefici ambientali in termini di maggiore efficienza energetica, produzione con ridotte emissioni di GES, applicazione più accurata di pesticidi/fertilizzanti, </w:t>
            </w:r>
            <w:r w:rsidR="006635B3">
              <w:rPr>
                <w:color w:val="546393" w:themeColor="accent3"/>
                <w:highlight w:val="yellow"/>
              </w:rPr>
              <w:t>m</w:t>
            </w:r>
            <w:r w:rsidRPr="003726BE">
              <w:rPr>
                <w:color w:val="546393" w:themeColor="accent3"/>
                <w:highlight w:val="yellow"/>
              </w:rPr>
              <w:t>iglioramento del benessere degli animali</w:t>
            </w:r>
            <w:r w:rsidR="006635B3">
              <w:rPr>
                <w:color w:val="546393" w:themeColor="accent3"/>
                <w:highlight w:val="yellow"/>
              </w:rPr>
              <w:t>,</w:t>
            </w:r>
            <w:r w:rsidRPr="003726BE">
              <w:rPr>
                <w:color w:val="546393" w:themeColor="accent3"/>
                <w:highlight w:val="yellow"/>
              </w:rPr>
              <w:t xml:space="preserve"> nonché altri benefici sociali </w:t>
            </w:r>
            <w:r w:rsidR="006635B3">
              <w:rPr>
                <w:color w:val="546393" w:themeColor="accent3"/>
                <w:highlight w:val="yellow"/>
              </w:rPr>
              <w:t>grazie a</w:t>
            </w:r>
            <w:r w:rsidRPr="003726BE">
              <w:rPr>
                <w:color w:val="546393" w:themeColor="accent3"/>
                <w:highlight w:val="yellow"/>
              </w:rPr>
              <w:t xml:space="preserve"> condizioni di lavoro migliori per i dipendenti. </w:t>
            </w:r>
          </w:p>
          <w:p w14:paraId="10B85D27" w14:textId="77777777" w:rsidR="00A07941" w:rsidRPr="003726BE" w:rsidRDefault="00A07941" w:rsidP="00984473">
            <w:pPr>
              <w:spacing w:after="60"/>
              <w:rPr>
                <w:rFonts w:cs="Arial"/>
                <w:color w:val="546393" w:themeColor="accent3"/>
                <w:szCs w:val="18"/>
                <w:highlight w:val="yellow"/>
              </w:rPr>
            </w:pPr>
            <w:r w:rsidRPr="003726BE">
              <w:rPr>
                <w:color w:val="546393" w:themeColor="accent3"/>
                <w:highlight w:val="yellow"/>
              </w:rPr>
              <w:t xml:space="preserve">I risultati economici di tutte le aziende agricole sovvenzionate di cui sopra espressi in </w:t>
            </w:r>
            <w:r w:rsidRPr="003726BE">
              <w:rPr>
                <w:i/>
                <w:color w:val="546393" w:themeColor="accent3"/>
                <w:highlight w:val="yellow"/>
              </w:rPr>
              <w:t>produzione agricola/ULA</w:t>
            </w:r>
            <w:r w:rsidRPr="003726BE">
              <w:rPr>
                <w:color w:val="546393" w:themeColor="accent3"/>
                <w:highlight w:val="yellow"/>
              </w:rPr>
              <w:t xml:space="preserve"> (R2) sono aumentati in valori netti passando da 29 000 EUR/ULA nel 2013 a 35 000 EUR/ULA nel 2016, di conseguenza, il cambiamento è stato di 6 000 EUR/ULA. I contributi secondari delle operazioni attuate nell'ambito dei FA 5B e 5C (M4.1) a questo valore è stato stimato ammontare al 15 %. </w:t>
            </w:r>
          </w:p>
          <w:p w14:paraId="0BDA5CAA" w14:textId="77777777" w:rsidR="00A07941" w:rsidRPr="003726BE" w:rsidRDefault="00A07941" w:rsidP="00984473">
            <w:pPr>
              <w:spacing w:after="60"/>
              <w:rPr>
                <w:rFonts w:cs="Arial"/>
                <w:color w:val="546393" w:themeColor="accent3"/>
                <w:szCs w:val="18"/>
                <w:highlight w:val="yellow"/>
              </w:rPr>
            </w:pPr>
            <w:r w:rsidRPr="003726BE">
              <w:rPr>
                <w:color w:val="546393" w:themeColor="accent3"/>
                <w:highlight w:val="yellow"/>
              </w:rPr>
              <w:t xml:space="preserve">Anche il valore dell'indicatore aggiuntivo </w:t>
            </w:r>
            <w:r w:rsidRPr="003726BE">
              <w:rPr>
                <w:i/>
                <w:color w:val="546393" w:themeColor="accent3"/>
                <w:highlight w:val="yellow"/>
              </w:rPr>
              <w:t>reddito lordo delle aziende agricole</w:t>
            </w:r>
            <w:r w:rsidRPr="003726BE">
              <w:rPr>
                <w:color w:val="546393" w:themeColor="accent3"/>
                <w:highlight w:val="yellow"/>
              </w:rPr>
              <w:t xml:space="preserve"> è aumentato in media, passando da 81 300 EUR nel 2013 a 97 240 EUR nel 2016. La percentuale dei contributi secondari di operazioni attuate ai sensi della M4.1 dei FA 5B e 5C alla variazione del valore dell'indicatore è stata pari al 7 % per la M4.1 ai sensi del FA 5B, principalmente</w:t>
            </w:r>
            <w:r w:rsidR="00E7404C">
              <w:rPr>
                <w:color w:val="546393" w:themeColor="accent3"/>
                <w:highlight w:val="yellow"/>
              </w:rPr>
              <w:t xml:space="preserve"> grazie a risparmi energetici. </w:t>
            </w:r>
          </w:p>
          <w:p w14:paraId="5321A1C6" w14:textId="77777777" w:rsidR="00A07941" w:rsidRPr="003726BE" w:rsidRDefault="00A07941" w:rsidP="00984473">
            <w:pPr>
              <w:spacing w:after="60"/>
              <w:rPr>
                <w:rFonts w:cs="Arial"/>
                <w:color w:val="546393" w:themeColor="accent3"/>
                <w:szCs w:val="18"/>
                <w:highlight w:val="yellow"/>
              </w:rPr>
            </w:pPr>
            <w:r w:rsidRPr="003726BE">
              <w:rPr>
                <w:color w:val="546393" w:themeColor="accent3"/>
                <w:highlight w:val="yellow"/>
              </w:rPr>
              <w:t xml:space="preserve">Una situazione </w:t>
            </w:r>
            <w:r w:rsidR="00BB2B06">
              <w:rPr>
                <w:color w:val="546393" w:themeColor="accent3"/>
                <w:highlight w:val="yellow"/>
              </w:rPr>
              <w:t>analoga</w:t>
            </w:r>
            <w:r w:rsidRPr="003726BE">
              <w:rPr>
                <w:color w:val="546393" w:themeColor="accent3"/>
                <w:highlight w:val="yellow"/>
              </w:rPr>
              <w:t xml:space="preserve"> è stata riscontrata in relazione all'indicatore </w:t>
            </w:r>
            <w:r w:rsidRPr="003726BE">
              <w:rPr>
                <w:i/>
                <w:color w:val="546393" w:themeColor="accent3"/>
                <w:highlight w:val="yellow"/>
              </w:rPr>
              <w:t>vendite rispetto alla produzione totale</w:t>
            </w:r>
            <w:r w:rsidRPr="003726BE">
              <w:rPr>
                <w:color w:val="546393" w:themeColor="accent3"/>
                <w:highlight w:val="yellow"/>
              </w:rPr>
              <w:t xml:space="preserve"> di tutte le aziende agricole sovvenz</w:t>
            </w:r>
            <w:r w:rsidR="00BB2B06">
              <w:rPr>
                <w:color w:val="546393" w:themeColor="accent3"/>
                <w:highlight w:val="yellow"/>
              </w:rPr>
              <w:t>ionate, che è passat</w:t>
            </w:r>
            <w:r w:rsidRPr="003726BE">
              <w:rPr>
                <w:color w:val="546393" w:themeColor="accent3"/>
                <w:highlight w:val="yellow"/>
              </w:rPr>
              <w:t xml:space="preserve">o dal 40 % nel 2013 al 42 % e ha raggiunto la quota di 100 000 EUR su 237 951 nel 2016). I contributi secondari al valore degli indicatori ai sensi dei FA 5B e 5C sono stati </w:t>
            </w:r>
            <w:r w:rsidR="00BB2B06">
              <w:rPr>
                <w:color w:val="546393" w:themeColor="accent3"/>
                <w:highlight w:val="yellow"/>
              </w:rPr>
              <w:t>calcolati ammontare al 9 % per la M4.1. Ciò indic</w:t>
            </w:r>
            <w:r w:rsidRPr="003726BE">
              <w:rPr>
                <w:color w:val="546393" w:themeColor="accent3"/>
                <w:highlight w:val="yellow"/>
              </w:rPr>
              <w:t xml:space="preserve">a il miglioramento della posizione nei mercati di queste aziende agricole beneficiarie di sostegno nel quadro della M4.1 ai sensi dei FA 2A, 5B e 5C. </w:t>
            </w:r>
          </w:p>
          <w:p w14:paraId="4C4815BA" w14:textId="77777777" w:rsidR="00A07941" w:rsidRPr="003726BE" w:rsidRDefault="00A07941" w:rsidP="00984473">
            <w:pPr>
              <w:spacing w:after="60"/>
              <w:rPr>
                <w:rFonts w:cs="Arial"/>
                <w:color w:val="546393" w:themeColor="accent3"/>
                <w:szCs w:val="18"/>
                <w:highlight w:val="yellow"/>
              </w:rPr>
            </w:pPr>
            <w:r w:rsidRPr="003726BE">
              <w:rPr>
                <w:color w:val="546393" w:themeColor="accent3"/>
                <w:highlight w:val="yellow"/>
              </w:rPr>
              <w:t>Per quanto riguarda gli effetti indiretti del sostegno, dobbiamo evidenziare effetti inerziali piuttosto elevati: presso i beneficiari primari ai sensi del FA 2A (75 %), presso i beneficiari secondari ai sensi dei FA 3A e 5B (80 %) e presso i beneficiari secondari ai sensi del FA 5C (50 %).</w:t>
            </w:r>
          </w:p>
          <w:p w14:paraId="04765086" w14:textId="77777777" w:rsidR="00A07941" w:rsidRPr="003726BE" w:rsidRDefault="006635B3" w:rsidP="00984473">
            <w:pPr>
              <w:spacing w:after="60"/>
              <w:rPr>
                <w:rFonts w:cs="Arial"/>
                <w:color w:val="546393" w:themeColor="accent3"/>
                <w:szCs w:val="18"/>
                <w:highlight w:val="yellow"/>
              </w:rPr>
            </w:pPr>
            <w:r>
              <w:rPr>
                <w:color w:val="546393" w:themeColor="accent3"/>
                <w:highlight w:val="yellow"/>
              </w:rPr>
              <w:t>Si stima che g</w:t>
            </w:r>
            <w:r w:rsidR="00A07941" w:rsidRPr="003726BE">
              <w:rPr>
                <w:color w:val="546393" w:themeColor="accent3"/>
                <w:highlight w:val="yellow"/>
              </w:rPr>
              <w:t>li effetti leva misurati dai trasferimenti di denaro dall'azienda agricola ad altre spese connesse all'azienda (ad esempio, acquisto di beni e terreni, nuovi edifici) ammonta</w:t>
            </w:r>
            <w:r>
              <w:rPr>
                <w:color w:val="546393" w:themeColor="accent3"/>
                <w:highlight w:val="yellow"/>
              </w:rPr>
              <w:t>no</w:t>
            </w:r>
            <w:r w:rsidR="00A07941" w:rsidRPr="003726BE">
              <w:rPr>
                <w:color w:val="546393" w:themeColor="accent3"/>
                <w:highlight w:val="yellow"/>
              </w:rPr>
              <w:t xml:space="preserve"> al 13 % presso i beneficiar</w:t>
            </w:r>
            <w:r w:rsidR="00E7404C">
              <w:rPr>
                <w:color w:val="546393" w:themeColor="accent3"/>
                <w:highlight w:val="yellow"/>
              </w:rPr>
              <w:t>i primari ai sensi del FA 2A.</w:t>
            </w:r>
          </w:p>
          <w:p w14:paraId="49FBD0E3" w14:textId="77777777" w:rsidR="00A07941" w:rsidRPr="003726BE" w:rsidRDefault="00A07941" w:rsidP="00984473">
            <w:pPr>
              <w:spacing w:after="60"/>
              <w:rPr>
                <w:rFonts w:cs="Arial"/>
                <w:i/>
                <w:color w:val="4BACC6"/>
                <w:szCs w:val="18"/>
                <w:highlight w:val="yellow"/>
              </w:rPr>
            </w:pPr>
            <w:r w:rsidRPr="003726BE">
              <w:rPr>
                <w:i/>
                <w:color w:val="F7A833" w:themeColor="accent5"/>
                <w:highlight w:val="yellow"/>
              </w:rPr>
              <w:t>[Massimo 10 500 caratteri = circa 3 pagine – obbligatorio]</w:t>
            </w:r>
          </w:p>
        </w:tc>
      </w:tr>
    </w:tbl>
    <w:p w14:paraId="2050ACE3" w14:textId="77777777" w:rsidR="004C0D64" w:rsidRPr="003726BE" w:rsidRDefault="004C0D64">
      <w:pPr>
        <w:rPr>
          <w:highlight w:val="yellow"/>
        </w:rPr>
      </w:pPr>
      <w:r w:rsidRPr="003726BE">
        <w:br w:type="page"/>
      </w:r>
    </w:p>
    <w:tbl>
      <w:tblPr>
        <w:tblW w:w="8887" w:type="dxa"/>
        <w:jc w:val="center"/>
        <w:tblLayout w:type="fixed"/>
        <w:tblCellMar>
          <w:left w:w="10" w:type="dxa"/>
          <w:right w:w="10" w:type="dxa"/>
        </w:tblCellMar>
        <w:tblLook w:val="0000" w:firstRow="0" w:lastRow="0" w:firstColumn="0" w:lastColumn="0" w:noHBand="0" w:noVBand="0"/>
      </w:tblPr>
      <w:tblGrid>
        <w:gridCol w:w="4443"/>
        <w:gridCol w:w="4444"/>
      </w:tblGrid>
      <w:tr w:rsidR="00A07941" w:rsidRPr="003726BE" w14:paraId="72B1181C" w14:textId="77777777" w:rsidTr="00984473">
        <w:trPr>
          <w:trHeight w:val="57"/>
          <w:jc w:val="center"/>
        </w:trPr>
        <w:tc>
          <w:tcPr>
            <w:tcW w:w="8887" w:type="dxa"/>
            <w:gridSpan w:val="2"/>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14:paraId="520550B6" w14:textId="77777777" w:rsidR="00A07941" w:rsidRPr="003726BE" w:rsidRDefault="00A07941" w:rsidP="001A31FB">
            <w:pPr>
              <w:pStyle w:val="ListParagraph"/>
              <w:numPr>
                <w:ilvl w:val="0"/>
                <w:numId w:val="45"/>
              </w:numPr>
              <w:suppressAutoHyphens/>
              <w:autoSpaceDN w:val="0"/>
              <w:spacing w:after="0" w:line="240" w:lineRule="auto"/>
              <w:textAlignment w:val="baseline"/>
              <w:rPr>
                <w:rFonts w:cs="Arial"/>
                <w:b/>
                <w:color w:val="ED7D31"/>
                <w:sz w:val="18"/>
                <w:szCs w:val="18"/>
                <w:highlight w:val="yellow"/>
              </w:rPr>
            </w:pPr>
            <w:r w:rsidRPr="003726BE">
              <w:rPr>
                <w:b/>
                <w:color w:val="ED7D31"/>
                <w:sz w:val="18"/>
                <w:highlight w:val="yellow"/>
              </w:rPr>
              <w:lastRenderedPageBreak/>
              <w:t>Conclusioni e raccomandazioni</w:t>
            </w:r>
            <w:r w:rsidRPr="003726BE">
              <w:rPr>
                <w:rStyle w:val="FootnoteReference"/>
                <w:highlight w:val="yellow"/>
              </w:rPr>
              <w:footnoteReference w:id="125"/>
            </w:r>
          </w:p>
          <w:p w14:paraId="30F64490" w14:textId="77777777" w:rsidR="00A07941" w:rsidRPr="003726BE" w:rsidRDefault="00A07941" w:rsidP="0053042E">
            <w:pPr>
              <w:spacing w:after="0"/>
              <w:rPr>
                <w:rFonts w:cs="Arial"/>
                <w:i/>
                <w:color w:val="4BACC6"/>
                <w:szCs w:val="18"/>
                <w:highlight w:val="yellow"/>
              </w:rPr>
            </w:pPr>
          </w:p>
        </w:tc>
      </w:tr>
      <w:tr w:rsidR="00A07941" w:rsidRPr="003726BE" w14:paraId="586831A5" w14:textId="77777777" w:rsidTr="00984473">
        <w:trPr>
          <w:trHeight w:val="414"/>
          <w:jc w:val="center"/>
        </w:trPr>
        <w:tc>
          <w:tcPr>
            <w:tcW w:w="4443" w:type="dxa"/>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14:paraId="0EF6D52C" w14:textId="77777777" w:rsidR="00A07941" w:rsidRPr="003726BE" w:rsidRDefault="00A07941" w:rsidP="0053042E">
            <w:pPr>
              <w:spacing w:after="0"/>
              <w:rPr>
                <w:rFonts w:cs="Arial"/>
                <w:b/>
                <w:color w:val="373737" w:themeColor="background1" w:themeShade="40"/>
                <w:sz w:val="20"/>
                <w:szCs w:val="20"/>
                <w:highlight w:val="yellow"/>
              </w:rPr>
            </w:pPr>
            <w:r w:rsidRPr="003726BE">
              <w:rPr>
                <w:b/>
                <w:color w:val="373737" w:themeColor="background1" w:themeShade="40"/>
                <w:sz w:val="20"/>
                <w:highlight w:val="yellow"/>
              </w:rPr>
              <w:t>Conclusioni</w:t>
            </w:r>
          </w:p>
          <w:p w14:paraId="2E5CBB26" w14:textId="77777777" w:rsidR="00A07941" w:rsidRPr="003726BE" w:rsidRDefault="00A07941" w:rsidP="0053042E">
            <w:pPr>
              <w:spacing w:after="0"/>
              <w:rPr>
                <w:rFonts w:cs="Arial"/>
                <w:i/>
                <w:color w:val="808080" w:themeColor="accent1" w:themeShade="80"/>
                <w:sz w:val="20"/>
                <w:szCs w:val="20"/>
                <w:highlight w:val="yellow"/>
              </w:rPr>
            </w:pPr>
            <w:r w:rsidRPr="003726BE">
              <w:rPr>
                <w:i/>
                <w:color w:val="F7A833" w:themeColor="accent5"/>
                <w:sz w:val="20"/>
                <w:highlight w:val="yellow"/>
              </w:rPr>
              <w:t>[Circa 1 000 caratteri - obbligatorio]</w:t>
            </w:r>
          </w:p>
        </w:tc>
        <w:tc>
          <w:tcPr>
            <w:tcW w:w="4444"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14:paraId="36846331" w14:textId="77777777" w:rsidR="00A07941" w:rsidRPr="003726BE" w:rsidRDefault="00A07941" w:rsidP="001218B1">
            <w:pPr>
              <w:spacing w:after="0"/>
              <w:ind w:left="66"/>
              <w:rPr>
                <w:rFonts w:cs="Arial"/>
                <w:b/>
                <w:color w:val="373737" w:themeColor="background1" w:themeShade="40"/>
                <w:sz w:val="20"/>
                <w:szCs w:val="20"/>
                <w:highlight w:val="yellow"/>
              </w:rPr>
            </w:pPr>
            <w:r w:rsidRPr="003726BE">
              <w:rPr>
                <w:b/>
                <w:color w:val="373737" w:themeColor="background1" w:themeShade="40"/>
                <w:sz w:val="20"/>
                <w:highlight w:val="yellow"/>
              </w:rPr>
              <w:t>Raccomandazione</w:t>
            </w:r>
          </w:p>
          <w:p w14:paraId="0FDE2618" w14:textId="77777777" w:rsidR="00A07941" w:rsidRPr="003726BE" w:rsidRDefault="00A07941" w:rsidP="001218B1">
            <w:pPr>
              <w:spacing w:after="0"/>
              <w:ind w:left="66"/>
              <w:rPr>
                <w:rFonts w:cs="Arial"/>
                <w:i/>
                <w:color w:val="808080" w:themeColor="accent1" w:themeShade="80"/>
                <w:sz w:val="20"/>
                <w:szCs w:val="20"/>
                <w:highlight w:val="yellow"/>
              </w:rPr>
            </w:pPr>
            <w:r w:rsidRPr="003726BE">
              <w:rPr>
                <w:i/>
                <w:color w:val="F7A833" w:themeColor="accent5"/>
                <w:sz w:val="20"/>
                <w:highlight w:val="yellow"/>
              </w:rPr>
              <w:t>[Circa 1 000 caratteri - non obbligatorio]</w:t>
            </w:r>
          </w:p>
        </w:tc>
      </w:tr>
      <w:tr w:rsidR="00A07941" w:rsidRPr="003726BE" w14:paraId="2DFF9AE2" w14:textId="77777777" w:rsidTr="00984473">
        <w:trPr>
          <w:trHeight w:val="414"/>
          <w:jc w:val="center"/>
        </w:trPr>
        <w:tc>
          <w:tcPr>
            <w:tcW w:w="4443" w:type="dxa"/>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14:paraId="3045795C" w14:textId="77777777" w:rsidR="00A07941" w:rsidRPr="003726BE" w:rsidRDefault="00A07941" w:rsidP="00984473">
            <w:pPr>
              <w:spacing w:after="0"/>
              <w:jc w:val="left"/>
              <w:rPr>
                <w:rFonts w:cs="Arial"/>
                <w:color w:val="373737" w:themeColor="background1" w:themeShade="40"/>
                <w:sz w:val="20"/>
                <w:szCs w:val="20"/>
                <w:highlight w:val="yellow"/>
              </w:rPr>
            </w:pPr>
            <w:r w:rsidRPr="003726BE">
              <w:rPr>
                <w:b/>
                <w:color w:val="373737" w:themeColor="background1" w:themeShade="40"/>
                <w:sz w:val="20"/>
                <w:highlight w:val="yellow"/>
              </w:rPr>
              <w:t>C.1</w:t>
            </w:r>
            <w:r w:rsidRPr="003726BE">
              <w:rPr>
                <w:color w:val="373737" w:themeColor="background1" w:themeShade="40"/>
                <w:sz w:val="20"/>
                <w:highlight w:val="yellow"/>
              </w:rPr>
              <w:t xml:space="preserve"> </w:t>
            </w:r>
          </w:p>
          <w:p w14:paraId="744D7FE8" w14:textId="77777777" w:rsidR="00A07941" w:rsidRPr="003726BE" w:rsidRDefault="00A07941" w:rsidP="006635B3">
            <w:pPr>
              <w:spacing w:after="0"/>
              <w:jc w:val="left"/>
              <w:rPr>
                <w:rFonts w:cs="Arial"/>
                <w:b/>
                <w:sz w:val="20"/>
                <w:szCs w:val="20"/>
                <w:highlight w:val="yellow"/>
              </w:rPr>
            </w:pPr>
            <w:r w:rsidRPr="003726BE">
              <w:rPr>
                <w:color w:val="546393" w:themeColor="accent3"/>
                <w:sz w:val="20"/>
                <w:highlight w:val="yellow"/>
              </w:rPr>
              <w:t xml:space="preserve">Il sostegno ha migliorato i risultati economici delle aziende agricole (produzioni agricole per ULA incrementate di 6 000 EUR), nonché il loro ammodernamento e la loro partecipazione al mercato, </w:t>
            </w:r>
            <w:r w:rsidR="00B910D0">
              <w:rPr>
                <w:color w:val="546393" w:themeColor="accent3"/>
                <w:sz w:val="20"/>
                <w:highlight w:val="yellow"/>
              </w:rPr>
              <w:t>ma ha comportato</w:t>
            </w:r>
            <w:r w:rsidRPr="003726BE">
              <w:rPr>
                <w:color w:val="546393" w:themeColor="accent3"/>
                <w:sz w:val="20"/>
                <w:highlight w:val="yellow"/>
              </w:rPr>
              <w:t xml:space="preserve"> un effetto </w:t>
            </w:r>
            <w:r w:rsidR="00B910D0">
              <w:rPr>
                <w:color w:val="546393" w:themeColor="accent3"/>
                <w:sz w:val="20"/>
                <w:highlight w:val="yellow"/>
              </w:rPr>
              <w:t xml:space="preserve">inerziale </w:t>
            </w:r>
            <w:r w:rsidR="006635B3">
              <w:rPr>
                <w:color w:val="546393" w:themeColor="accent3"/>
                <w:sz w:val="20"/>
                <w:highlight w:val="yellow"/>
              </w:rPr>
              <w:t>piuttosto</w:t>
            </w:r>
            <w:r w:rsidRPr="003726BE">
              <w:rPr>
                <w:color w:val="546393" w:themeColor="accent3"/>
                <w:sz w:val="20"/>
                <w:highlight w:val="yellow"/>
              </w:rPr>
              <w:t xml:space="preserve"> marcato.</w:t>
            </w:r>
          </w:p>
        </w:tc>
        <w:tc>
          <w:tcPr>
            <w:tcW w:w="4444"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14:paraId="5C30DE0B" w14:textId="77777777" w:rsidR="00A07941" w:rsidRPr="003726BE" w:rsidRDefault="00A07941" w:rsidP="001818F5">
            <w:pPr>
              <w:spacing w:after="0"/>
              <w:ind w:left="66"/>
              <w:jc w:val="left"/>
              <w:rPr>
                <w:rFonts w:cs="Arial"/>
                <w:b/>
                <w:color w:val="373737" w:themeColor="background1" w:themeShade="40"/>
                <w:sz w:val="20"/>
                <w:szCs w:val="20"/>
                <w:highlight w:val="yellow"/>
              </w:rPr>
            </w:pPr>
            <w:r w:rsidRPr="003726BE">
              <w:rPr>
                <w:b/>
                <w:color w:val="373737" w:themeColor="background1" w:themeShade="40"/>
                <w:sz w:val="20"/>
                <w:highlight w:val="yellow"/>
              </w:rPr>
              <w:t xml:space="preserve">R.1 </w:t>
            </w:r>
          </w:p>
          <w:p w14:paraId="59C32216" w14:textId="77777777" w:rsidR="00A07941" w:rsidRPr="003726BE" w:rsidRDefault="00A07941" w:rsidP="00BB2B06">
            <w:pPr>
              <w:spacing w:after="0"/>
              <w:ind w:left="66"/>
              <w:jc w:val="left"/>
              <w:rPr>
                <w:rFonts w:cs="Arial"/>
                <w:b/>
                <w:sz w:val="20"/>
                <w:szCs w:val="20"/>
                <w:highlight w:val="yellow"/>
              </w:rPr>
            </w:pPr>
            <w:r w:rsidRPr="003726BE">
              <w:rPr>
                <w:color w:val="546393" w:themeColor="accent3"/>
                <w:sz w:val="20"/>
                <w:highlight w:val="yellow"/>
              </w:rPr>
              <w:t xml:space="preserve">Incanalando il sostegno agli investimenti concesso a favore di aziende agricole </w:t>
            </w:r>
            <w:r w:rsidR="00BB2B06">
              <w:rPr>
                <w:color w:val="546393" w:themeColor="accent3"/>
                <w:sz w:val="20"/>
                <w:highlight w:val="yellow"/>
              </w:rPr>
              <w:t>più</w:t>
            </w:r>
            <w:r w:rsidRPr="003726BE">
              <w:rPr>
                <w:color w:val="546393" w:themeColor="accent3"/>
                <w:sz w:val="20"/>
                <w:highlight w:val="yellow"/>
              </w:rPr>
              <w:t xml:space="preserve"> dipendenti finanziariamente, ad esempio quelle di dimensioni minori, l'effetto </w:t>
            </w:r>
            <w:r w:rsidR="00B910D0">
              <w:rPr>
                <w:color w:val="546393" w:themeColor="accent3"/>
                <w:sz w:val="20"/>
                <w:highlight w:val="yellow"/>
              </w:rPr>
              <w:t xml:space="preserve">inerziale </w:t>
            </w:r>
            <w:r w:rsidRPr="003726BE">
              <w:rPr>
                <w:color w:val="546393" w:themeColor="accent3"/>
                <w:sz w:val="20"/>
                <w:highlight w:val="yellow"/>
              </w:rPr>
              <w:t xml:space="preserve">diminuirebbe e i benefici complessivi aumenterebbero. Il sostegno agli investimenti dovrebbe altresì essere più accessibile ai nuovi entranti nel settore agricolo, in particolare i giovani agricoltori; le loro esigenze di investimento sono state sottovalutate ed eclissate da aziende agricole esistenti. </w:t>
            </w:r>
          </w:p>
        </w:tc>
      </w:tr>
      <w:tr w:rsidR="00A07941" w:rsidRPr="003726BE" w14:paraId="24C0126C" w14:textId="77777777" w:rsidTr="00984473">
        <w:trPr>
          <w:trHeight w:val="414"/>
          <w:jc w:val="center"/>
        </w:trPr>
        <w:tc>
          <w:tcPr>
            <w:tcW w:w="4443" w:type="dxa"/>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14:paraId="41E5915D" w14:textId="77777777" w:rsidR="00984473" w:rsidRPr="003726BE" w:rsidRDefault="00A07941" w:rsidP="00984473">
            <w:pPr>
              <w:spacing w:after="0"/>
              <w:jc w:val="left"/>
              <w:rPr>
                <w:rFonts w:cs="Arial"/>
                <w:color w:val="1F4E79"/>
                <w:sz w:val="20"/>
                <w:szCs w:val="20"/>
                <w:highlight w:val="yellow"/>
              </w:rPr>
            </w:pPr>
            <w:r w:rsidRPr="003726BE">
              <w:rPr>
                <w:b/>
                <w:color w:val="373737" w:themeColor="background1" w:themeShade="40"/>
                <w:sz w:val="20"/>
                <w:highlight w:val="yellow"/>
              </w:rPr>
              <w:t>C.2</w:t>
            </w:r>
            <w:r w:rsidRPr="003726BE">
              <w:rPr>
                <w:color w:val="1F4E79"/>
                <w:sz w:val="20"/>
                <w:highlight w:val="yellow"/>
              </w:rPr>
              <w:t xml:space="preserve"> </w:t>
            </w:r>
          </w:p>
          <w:p w14:paraId="1F067EA5" w14:textId="77777777" w:rsidR="00A07941" w:rsidRPr="003726BE" w:rsidRDefault="00A07941" w:rsidP="00BB2B06">
            <w:pPr>
              <w:spacing w:after="0"/>
              <w:jc w:val="left"/>
              <w:rPr>
                <w:rFonts w:cs="Arial"/>
                <w:b/>
                <w:sz w:val="20"/>
                <w:szCs w:val="20"/>
                <w:highlight w:val="yellow"/>
              </w:rPr>
            </w:pPr>
            <w:r w:rsidRPr="003726BE">
              <w:rPr>
                <w:color w:val="546393" w:themeColor="accent3"/>
                <w:sz w:val="20"/>
                <w:highlight w:val="yellow"/>
              </w:rPr>
              <w:t xml:space="preserve">Il sostegno è stato accessibile </w:t>
            </w:r>
            <w:r w:rsidR="00B910D0">
              <w:rPr>
                <w:color w:val="546393" w:themeColor="accent3"/>
                <w:sz w:val="20"/>
                <w:highlight w:val="yellow"/>
              </w:rPr>
              <w:t>a</w:t>
            </w:r>
            <w:r w:rsidRPr="003726BE">
              <w:rPr>
                <w:color w:val="546393" w:themeColor="accent3"/>
                <w:sz w:val="20"/>
                <w:highlight w:val="yellow"/>
              </w:rPr>
              <w:t xml:space="preserve"> un numero piuttosto limitato di aziende agricole (14,7 %) e ha avuto un'influenza soltanto limitata sul settore nel suo complesso e sulla diversificazione agricola </w:t>
            </w:r>
            <w:r w:rsidR="00BB2B06">
              <w:rPr>
                <w:color w:val="546393" w:themeColor="accent3"/>
                <w:sz w:val="20"/>
                <w:highlight w:val="yellow"/>
              </w:rPr>
              <w:t>forte</w:t>
            </w:r>
            <w:r w:rsidRPr="003726BE">
              <w:rPr>
                <w:color w:val="546393" w:themeColor="accent3"/>
                <w:sz w:val="20"/>
                <w:highlight w:val="yellow"/>
              </w:rPr>
              <w:t>mente auspicata.</w:t>
            </w:r>
          </w:p>
        </w:tc>
        <w:tc>
          <w:tcPr>
            <w:tcW w:w="4444"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14:paraId="57353BF5" w14:textId="77777777" w:rsidR="00984473" w:rsidRPr="003726BE" w:rsidRDefault="00A07941" w:rsidP="001818F5">
            <w:pPr>
              <w:spacing w:after="0"/>
              <w:ind w:left="66"/>
              <w:jc w:val="left"/>
              <w:rPr>
                <w:rFonts w:cs="Arial"/>
                <w:color w:val="373737" w:themeColor="background1" w:themeShade="40"/>
                <w:sz w:val="20"/>
                <w:szCs w:val="20"/>
                <w:highlight w:val="yellow"/>
              </w:rPr>
            </w:pPr>
            <w:r w:rsidRPr="003726BE">
              <w:rPr>
                <w:b/>
                <w:color w:val="373737" w:themeColor="background1" w:themeShade="40"/>
                <w:sz w:val="20"/>
                <w:highlight w:val="yellow"/>
              </w:rPr>
              <w:t>R.2</w:t>
            </w:r>
            <w:r w:rsidRPr="003726BE">
              <w:rPr>
                <w:color w:val="373737" w:themeColor="background1" w:themeShade="40"/>
                <w:sz w:val="20"/>
                <w:highlight w:val="yellow"/>
              </w:rPr>
              <w:t xml:space="preserve"> </w:t>
            </w:r>
          </w:p>
          <w:p w14:paraId="304A12CD" w14:textId="77777777" w:rsidR="00A07941" w:rsidRPr="003726BE" w:rsidRDefault="00A07941" w:rsidP="00BB2B06">
            <w:pPr>
              <w:spacing w:after="0"/>
              <w:ind w:left="66"/>
              <w:jc w:val="left"/>
              <w:rPr>
                <w:rFonts w:cs="Arial"/>
                <w:color w:val="1F4E79"/>
                <w:sz w:val="20"/>
                <w:szCs w:val="20"/>
                <w:highlight w:val="yellow"/>
              </w:rPr>
            </w:pPr>
            <w:r w:rsidRPr="003726BE">
              <w:rPr>
                <w:color w:val="546393" w:themeColor="accent3"/>
                <w:sz w:val="20"/>
                <w:highlight w:val="yellow"/>
              </w:rPr>
              <w:t xml:space="preserve">Un sostegno più mirato a favore delle aziende agricole più piccole oppure una percentuale più limitata di sostegno a favore di aziende agricole di grandi dimensioni potrebbero favorire la diversificazione. </w:t>
            </w:r>
            <w:r w:rsidR="00BB2B06">
              <w:rPr>
                <w:color w:val="546393" w:themeColor="accent3"/>
                <w:sz w:val="20"/>
                <w:highlight w:val="yellow"/>
              </w:rPr>
              <w:t>Ciò potrebbe essere realizzato corregge</w:t>
            </w:r>
            <w:r w:rsidRPr="003726BE">
              <w:rPr>
                <w:color w:val="546393" w:themeColor="accent3"/>
                <w:sz w:val="20"/>
                <w:highlight w:val="yellow"/>
              </w:rPr>
              <w:t xml:space="preserve">ndo i criteri di selezione dei progetti nel quadro delle misure di investimento </w:t>
            </w:r>
            <w:r w:rsidR="00BB2B06">
              <w:rPr>
                <w:color w:val="546393" w:themeColor="accent3"/>
                <w:sz w:val="20"/>
                <w:highlight w:val="yellow"/>
              </w:rPr>
              <w:t>per</w:t>
            </w:r>
            <w:r w:rsidRPr="003726BE">
              <w:rPr>
                <w:color w:val="546393" w:themeColor="accent3"/>
                <w:sz w:val="20"/>
                <w:highlight w:val="yellow"/>
              </w:rPr>
              <w:t xml:space="preserve"> far sì che la diversificazione agricola sia sostenut</w:t>
            </w:r>
            <w:r w:rsidR="00BB2B06">
              <w:rPr>
                <w:color w:val="546393" w:themeColor="accent3"/>
                <w:sz w:val="20"/>
                <w:highlight w:val="yellow"/>
              </w:rPr>
              <w:t>a</w:t>
            </w:r>
            <w:r w:rsidRPr="003726BE">
              <w:rPr>
                <w:color w:val="546393" w:themeColor="accent3"/>
                <w:sz w:val="20"/>
                <w:highlight w:val="yellow"/>
              </w:rPr>
              <w:t xml:space="preserve"> in misura maggiore (ad esempio</w:t>
            </w:r>
            <w:r w:rsidR="00BB2B06">
              <w:rPr>
                <w:color w:val="546393" w:themeColor="accent3"/>
                <w:sz w:val="20"/>
                <w:highlight w:val="yellow"/>
              </w:rPr>
              <w:t>,</w:t>
            </w:r>
            <w:r w:rsidRPr="003726BE">
              <w:rPr>
                <w:color w:val="546393" w:themeColor="accent3"/>
                <w:sz w:val="20"/>
                <w:highlight w:val="yellow"/>
              </w:rPr>
              <w:t xml:space="preserve"> favo</w:t>
            </w:r>
            <w:r w:rsidR="00BB2B06">
              <w:rPr>
                <w:color w:val="546393" w:themeColor="accent3"/>
                <w:sz w:val="20"/>
                <w:highlight w:val="yellow"/>
              </w:rPr>
              <w:t>rendo</w:t>
            </w:r>
            <w:r w:rsidRPr="003726BE">
              <w:rPr>
                <w:color w:val="546393" w:themeColor="accent3"/>
                <w:sz w:val="20"/>
                <w:highlight w:val="yellow"/>
              </w:rPr>
              <w:t xml:space="preserve"> le aziende agricole che definiscono in modo trasparente i loro piani per la diversificazione della produzione agricola). Gli effetti di adattamento delle capacità del sostegno agli investimenti dovrebbero avere maggiore rilevanza. </w:t>
            </w:r>
          </w:p>
        </w:tc>
      </w:tr>
      <w:tr w:rsidR="00A07941" w:rsidRPr="003726BE" w14:paraId="1FECD54F" w14:textId="77777777" w:rsidTr="00984473">
        <w:trPr>
          <w:trHeight w:val="414"/>
          <w:jc w:val="center"/>
        </w:trPr>
        <w:tc>
          <w:tcPr>
            <w:tcW w:w="4443" w:type="dxa"/>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14:paraId="778F8BCD" w14:textId="77777777" w:rsidR="00984473" w:rsidRPr="003726BE" w:rsidRDefault="00A07941" w:rsidP="00984473">
            <w:pPr>
              <w:spacing w:after="0"/>
              <w:jc w:val="left"/>
              <w:rPr>
                <w:rFonts w:cs="Arial"/>
                <w:b/>
                <w:sz w:val="20"/>
                <w:szCs w:val="20"/>
                <w:highlight w:val="yellow"/>
              </w:rPr>
            </w:pPr>
            <w:r w:rsidRPr="003726BE">
              <w:rPr>
                <w:b/>
                <w:color w:val="373737" w:themeColor="background1" w:themeShade="40"/>
                <w:sz w:val="20"/>
                <w:highlight w:val="yellow"/>
              </w:rPr>
              <w:t>C.3</w:t>
            </w:r>
            <w:r w:rsidRPr="003726BE">
              <w:rPr>
                <w:b/>
                <w:sz w:val="20"/>
                <w:highlight w:val="yellow"/>
              </w:rPr>
              <w:t xml:space="preserve"> </w:t>
            </w:r>
          </w:p>
          <w:p w14:paraId="58F33E1E" w14:textId="77777777" w:rsidR="00A07941" w:rsidRPr="003726BE" w:rsidRDefault="00B910D0" w:rsidP="00BB2B06">
            <w:pPr>
              <w:spacing w:after="0"/>
              <w:jc w:val="left"/>
              <w:rPr>
                <w:rFonts w:cs="Arial"/>
                <w:color w:val="1F4E79"/>
                <w:sz w:val="20"/>
                <w:szCs w:val="20"/>
                <w:highlight w:val="yellow"/>
              </w:rPr>
            </w:pPr>
            <w:r>
              <w:rPr>
                <w:color w:val="546393" w:themeColor="accent3"/>
                <w:sz w:val="20"/>
                <w:highlight w:val="yellow"/>
              </w:rPr>
              <w:t>I</w:t>
            </w:r>
            <w:r w:rsidR="00A07941" w:rsidRPr="003726BE">
              <w:rPr>
                <w:color w:val="546393" w:themeColor="accent3"/>
                <w:sz w:val="20"/>
                <w:highlight w:val="yellow"/>
              </w:rPr>
              <w:t>l sostegno agli investimenti</w:t>
            </w:r>
            <w:r>
              <w:rPr>
                <w:color w:val="546393" w:themeColor="accent3"/>
                <w:sz w:val="20"/>
                <w:highlight w:val="yellow"/>
              </w:rPr>
              <w:t xml:space="preserve"> ha comportato, in media, un aumento d</w:t>
            </w:r>
            <w:r w:rsidR="006635B3">
              <w:rPr>
                <w:color w:val="546393" w:themeColor="accent3"/>
                <w:sz w:val="20"/>
                <w:highlight w:val="yellow"/>
              </w:rPr>
              <w:t>ella</w:t>
            </w:r>
            <w:r>
              <w:rPr>
                <w:color w:val="546393" w:themeColor="accent3"/>
                <w:sz w:val="20"/>
                <w:highlight w:val="yellow"/>
              </w:rPr>
              <w:t xml:space="preserve"> produttività delle aziende agricole, il che rappresenta uno degli </w:t>
            </w:r>
            <w:r w:rsidR="00A07941" w:rsidRPr="003726BE">
              <w:rPr>
                <w:color w:val="546393" w:themeColor="accent3"/>
                <w:sz w:val="20"/>
                <w:highlight w:val="yellow"/>
              </w:rPr>
              <w:t>obiettiv</w:t>
            </w:r>
            <w:r>
              <w:rPr>
                <w:color w:val="546393" w:themeColor="accent3"/>
                <w:sz w:val="20"/>
                <w:highlight w:val="yellow"/>
              </w:rPr>
              <w:t>i</w:t>
            </w:r>
            <w:r w:rsidR="00A07941" w:rsidRPr="003726BE">
              <w:rPr>
                <w:color w:val="546393" w:themeColor="accent3"/>
                <w:sz w:val="20"/>
                <w:highlight w:val="yellow"/>
              </w:rPr>
              <w:t xml:space="preserve"> del PSR. </w:t>
            </w:r>
            <w:r>
              <w:rPr>
                <w:color w:val="546393" w:themeColor="accent3"/>
                <w:sz w:val="20"/>
                <w:highlight w:val="yellow"/>
              </w:rPr>
              <w:t>Le a</w:t>
            </w:r>
            <w:r w:rsidR="00A07941" w:rsidRPr="003726BE">
              <w:rPr>
                <w:color w:val="546393" w:themeColor="accent3"/>
                <w:sz w:val="20"/>
                <w:highlight w:val="yellow"/>
              </w:rPr>
              <w:t xml:space="preserve">ziende più produttive in genere producono di più e questa maggiore produzione è disponibile sul mercato e viene utilizzata come </w:t>
            </w:r>
            <w:r>
              <w:rPr>
                <w:color w:val="546393" w:themeColor="accent3"/>
                <w:sz w:val="20"/>
                <w:highlight w:val="yellow"/>
              </w:rPr>
              <w:t xml:space="preserve">input per </w:t>
            </w:r>
            <w:r w:rsidR="00BB2B06">
              <w:rPr>
                <w:color w:val="546393" w:themeColor="accent3"/>
                <w:sz w:val="20"/>
                <w:highlight w:val="yellow"/>
              </w:rPr>
              <w:t>altri settori e genera</w:t>
            </w:r>
            <w:r w:rsidR="00A07941" w:rsidRPr="003726BE">
              <w:rPr>
                <w:color w:val="546393" w:themeColor="accent3"/>
                <w:sz w:val="20"/>
                <w:highlight w:val="yellow"/>
              </w:rPr>
              <w:t xml:space="preserve"> valore aggiunto. Tuttavia, in seguito al sostegno agli investimenti diversi beneficiari</w:t>
            </w:r>
            <w:r>
              <w:rPr>
                <w:color w:val="546393" w:themeColor="accent3"/>
                <w:sz w:val="20"/>
                <w:highlight w:val="yellow"/>
              </w:rPr>
              <w:t xml:space="preserve"> hanno registrato u</w:t>
            </w:r>
            <w:r w:rsidR="00A07941" w:rsidRPr="003726BE">
              <w:rPr>
                <w:color w:val="546393" w:themeColor="accent3"/>
                <w:sz w:val="20"/>
                <w:highlight w:val="yellow"/>
              </w:rPr>
              <w:t>n calo delle vendite e dell</w:t>
            </w:r>
            <w:r>
              <w:rPr>
                <w:color w:val="546393" w:themeColor="accent3"/>
                <w:sz w:val="20"/>
                <w:highlight w:val="yellow"/>
              </w:rPr>
              <w:t>a produzione</w:t>
            </w:r>
            <w:r w:rsidR="00E7404C">
              <w:rPr>
                <w:color w:val="546393" w:themeColor="accent3"/>
                <w:sz w:val="20"/>
                <w:highlight w:val="yellow"/>
              </w:rPr>
              <w:t>.</w:t>
            </w:r>
            <w:r w:rsidR="00A07941" w:rsidRPr="003726BE">
              <w:rPr>
                <w:color w:val="546393" w:themeColor="accent3"/>
                <w:sz w:val="20"/>
                <w:highlight w:val="yellow"/>
              </w:rPr>
              <w:t xml:space="preserve"> </w:t>
            </w:r>
          </w:p>
        </w:tc>
        <w:tc>
          <w:tcPr>
            <w:tcW w:w="4444"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14:paraId="06A2EE7A" w14:textId="77777777" w:rsidR="00A07941" w:rsidRPr="003726BE" w:rsidRDefault="00A07941" w:rsidP="001818F5">
            <w:pPr>
              <w:spacing w:after="0"/>
              <w:ind w:left="66"/>
              <w:jc w:val="left"/>
              <w:rPr>
                <w:rFonts w:cs="Arial"/>
                <w:b/>
                <w:color w:val="373737" w:themeColor="background1" w:themeShade="40"/>
                <w:sz w:val="20"/>
                <w:szCs w:val="20"/>
                <w:highlight w:val="yellow"/>
              </w:rPr>
            </w:pPr>
            <w:r w:rsidRPr="003726BE">
              <w:rPr>
                <w:b/>
                <w:color w:val="373737" w:themeColor="background1" w:themeShade="40"/>
                <w:sz w:val="20"/>
                <w:highlight w:val="yellow"/>
              </w:rPr>
              <w:t xml:space="preserve">R.3 </w:t>
            </w:r>
          </w:p>
          <w:p w14:paraId="33A36F2D" w14:textId="77777777" w:rsidR="00A07941" w:rsidRPr="003726BE" w:rsidRDefault="00A07941" w:rsidP="00BB2B06">
            <w:pPr>
              <w:spacing w:after="0"/>
              <w:ind w:left="66"/>
              <w:jc w:val="left"/>
              <w:rPr>
                <w:rFonts w:cs="Arial"/>
                <w:b/>
                <w:sz w:val="20"/>
                <w:szCs w:val="20"/>
                <w:highlight w:val="yellow"/>
              </w:rPr>
            </w:pPr>
            <w:r w:rsidRPr="003726BE">
              <w:rPr>
                <w:color w:val="546393" w:themeColor="accent3"/>
                <w:sz w:val="20"/>
                <w:highlight w:val="yellow"/>
              </w:rPr>
              <w:t>Nel definire gli obiettivi del sostegno agli investi</w:t>
            </w:r>
            <w:r w:rsidR="00BB2B06">
              <w:rPr>
                <w:color w:val="546393" w:themeColor="accent3"/>
                <w:sz w:val="20"/>
                <w:highlight w:val="yellow"/>
              </w:rPr>
              <w:t>menti si dovrebbe porre maggiormente l’accento sugli</w:t>
            </w:r>
            <w:r w:rsidRPr="003726BE">
              <w:rPr>
                <w:color w:val="546393" w:themeColor="accent3"/>
                <w:sz w:val="20"/>
                <w:highlight w:val="yellow"/>
              </w:rPr>
              <w:t xml:space="preserve"> sviluppi di nuovi prodotti, innovazioni ed effetti di adattamento delle capacità dei potenziali beneficiari. L'integrazione di questi gruppi deve riflettersi nei criteri di selezione dei progetti.</w:t>
            </w:r>
          </w:p>
        </w:tc>
      </w:tr>
      <w:tr w:rsidR="00A07941" w:rsidRPr="003726BE" w14:paraId="5551D2FB" w14:textId="77777777" w:rsidTr="00984473">
        <w:trPr>
          <w:trHeight w:val="414"/>
          <w:jc w:val="center"/>
        </w:trPr>
        <w:tc>
          <w:tcPr>
            <w:tcW w:w="4443" w:type="dxa"/>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14:paraId="5BC007DF" w14:textId="77777777" w:rsidR="00984473" w:rsidRPr="003726BE" w:rsidRDefault="00A07941" w:rsidP="0053042E">
            <w:pPr>
              <w:spacing w:after="0"/>
              <w:rPr>
                <w:rFonts w:cs="Arial"/>
                <w:b/>
                <w:sz w:val="20"/>
                <w:szCs w:val="20"/>
                <w:highlight w:val="yellow"/>
              </w:rPr>
            </w:pPr>
            <w:r w:rsidRPr="003726BE">
              <w:rPr>
                <w:b/>
                <w:color w:val="373737" w:themeColor="background1" w:themeShade="40"/>
                <w:sz w:val="20"/>
                <w:highlight w:val="yellow"/>
              </w:rPr>
              <w:t>C.4</w:t>
            </w:r>
            <w:r w:rsidRPr="003726BE">
              <w:rPr>
                <w:b/>
                <w:sz w:val="20"/>
                <w:highlight w:val="yellow"/>
              </w:rPr>
              <w:t xml:space="preserve"> </w:t>
            </w:r>
          </w:p>
          <w:p w14:paraId="70FADD7C" w14:textId="77777777" w:rsidR="00A07941" w:rsidRPr="003726BE" w:rsidRDefault="00A07941" w:rsidP="00B910D0">
            <w:pPr>
              <w:spacing w:after="0"/>
              <w:jc w:val="left"/>
              <w:rPr>
                <w:rFonts w:cs="Arial"/>
                <w:b/>
                <w:sz w:val="20"/>
                <w:szCs w:val="20"/>
                <w:highlight w:val="yellow"/>
              </w:rPr>
            </w:pPr>
            <w:r w:rsidRPr="003726BE">
              <w:rPr>
                <w:color w:val="546393" w:themeColor="accent3"/>
                <w:sz w:val="20"/>
                <w:highlight w:val="yellow"/>
              </w:rPr>
              <w:t xml:space="preserve">Il sostegno ha contribuito alla </w:t>
            </w:r>
            <w:r w:rsidR="00B910D0">
              <w:rPr>
                <w:color w:val="546393" w:themeColor="accent3"/>
                <w:sz w:val="20"/>
                <w:highlight w:val="yellow"/>
              </w:rPr>
              <w:t xml:space="preserve">prassi </w:t>
            </w:r>
            <w:r w:rsidRPr="003726BE">
              <w:rPr>
                <w:color w:val="546393" w:themeColor="accent3"/>
                <w:sz w:val="20"/>
                <w:highlight w:val="yellow"/>
              </w:rPr>
              <w:t>negativa presso molte aziende agricole di rinviare o addirittura annullare investimenti propri, in attesa di eventuali misure di sostegno future, a prescindere dalle reali esigenze, dalle tempistiche ottimali per il lancio di nuovi prodotti (ad esempio legati a recenti sviluppi del mercato).</w:t>
            </w:r>
          </w:p>
        </w:tc>
        <w:tc>
          <w:tcPr>
            <w:tcW w:w="4444"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14:paraId="630FD854" w14:textId="77777777" w:rsidR="00984473" w:rsidRPr="003726BE" w:rsidRDefault="00A07941" w:rsidP="001818F5">
            <w:pPr>
              <w:spacing w:after="0"/>
              <w:ind w:left="66"/>
              <w:rPr>
                <w:rFonts w:cs="Arial"/>
                <w:b/>
                <w:sz w:val="20"/>
                <w:szCs w:val="20"/>
                <w:highlight w:val="yellow"/>
              </w:rPr>
            </w:pPr>
            <w:r w:rsidRPr="003726BE">
              <w:rPr>
                <w:b/>
                <w:color w:val="373737" w:themeColor="background1" w:themeShade="40"/>
                <w:sz w:val="20"/>
                <w:highlight w:val="yellow"/>
              </w:rPr>
              <w:t>R.4</w:t>
            </w:r>
            <w:r w:rsidRPr="003726BE">
              <w:rPr>
                <w:b/>
                <w:sz w:val="20"/>
                <w:highlight w:val="yellow"/>
              </w:rPr>
              <w:t xml:space="preserve"> </w:t>
            </w:r>
          </w:p>
          <w:p w14:paraId="71EAF923" w14:textId="77777777" w:rsidR="00A07941" w:rsidRPr="003726BE" w:rsidRDefault="004D55B6" w:rsidP="001818F5">
            <w:pPr>
              <w:spacing w:after="0"/>
              <w:ind w:left="66"/>
              <w:jc w:val="left"/>
              <w:rPr>
                <w:rFonts w:cs="Arial"/>
                <w:color w:val="546393" w:themeColor="accent3"/>
                <w:sz w:val="20"/>
                <w:szCs w:val="20"/>
                <w:highlight w:val="yellow"/>
              </w:rPr>
            </w:pPr>
            <w:r>
              <w:rPr>
                <w:color w:val="546393" w:themeColor="accent3"/>
                <w:sz w:val="20"/>
                <w:highlight w:val="yellow"/>
              </w:rPr>
              <w:t>Migliorare</w:t>
            </w:r>
            <w:r w:rsidR="00B910D0">
              <w:rPr>
                <w:color w:val="546393" w:themeColor="accent3"/>
                <w:sz w:val="20"/>
                <w:highlight w:val="yellow"/>
              </w:rPr>
              <w:t xml:space="preserve"> la progettazione delle</w:t>
            </w:r>
            <w:r w:rsidR="00A07941" w:rsidRPr="003726BE">
              <w:rPr>
                <w:color w:val="546393" w:themeColor="accent3"/>
                <w:sz w:val="20"/>
                <w:highlight w:val="yellow"/>
              </w:rPr>
              <w:t xml:space="preserve"> misure/</w:t>
            </w:r>
            <w:r w:rsidR="00B910D0">
              <w:rPr>
                <w:color w:val="546393" w:themeColor="accent3"/>
                <w:sz w:val="20"/>
                <w:highlight w:val="yellow"/>
              </w:rPr>
              <w:t xml:space="preserve">dei </w:t>
            </w:r>
            <w:r w:rsidR="00A07941" w:rsidRPr="003726BE">
              <w:rPr>
                <w:color w:val="546393" w:themeColor="accent3"/>
                <w:sz w:val="20"/>
                <w:highlight w:val="yellow"/>
              </w:rPr>
              <w:t>programmi per evitare interventi inutili, in particolare quelli che aumentano le proprietà dell'azienda agricola senza incrementare la sua efficienza complessiva, c</w:t>
            </w:r>
            <w:r w:rsidR="00BB2B06">
              <w:rPr>
                <w:color w:val="546393" w:themeColor="accent3"/>
                <w:sz w:val="20"/>
                <w:highlight w:val="yellow"/>
              </w:rPr>
              <w:t>he hanno</w:t>
            </w:r>
            <w:r w:rsidR="00A07941" w:rsidRPr="003726BE">
              <w:rPr>
                <w:color w:val="546393" w:themeColor="accent3"/>
                <w:sz w:val="20"/>
                <w:highlight w:val="yellow"/>
              </w:rPr>
              <w:t xml:space="preserve"> </w:t>
            </w:r>
            <w:r w:rsidR="000A5BD4">
              <w:rPr>
                <w:color w:val="546393" w:themeColor="accent3"/>
                <w:sz w:val="20"/>
                <w:highlight w:val="yellow"/>
              </w:rPr>
              <w:t xml:space="preserve">una marcata </w:t>
            </w:r>
            <w:r w:rsidR="00A07941" w:rsidRPr="003726BE">
              <w:rPr>
                <w:color w:val="546393" w:themeColor="accent3"/>
                <w:sz w:val="20"/>
                <w:highlight w:val="yellow"/>
              </w:rPr>
              <w:t xml:space="preserve">perdita </w:t>
            </w:r>
            <w:r w:rsidR="000A5BD4">
              <w:rPr>
                <w:color w:val="546393" w:themeColor="accent3"/>
                <w:sz w:val="20"/>
                <w:highlight w:val="yellow"/>
              </w:rPr>
              <w:t>di efficienza</w:t>
            </w:r>
            <w:r w:rsidR="00A07941" w:rsidRPr="003726BE">
              <w:rPr>
                <w:color w:val="546393" w:themeColor="accent3"/>
                <w:sz w:val="20"/>
                <w:highlight w:val="yellow"/>
              </w:rPr>
              <w:t xml:space="preserve"> o </w:t>
            </w:r>
            <w:r w:rsidR="000A5BD4">
              <w:rPr>
                <w:color w:val="546393" w:themeColor="accent3"/>
                <w:sz w:val="20"/>
                <w:highlight w:val="yellow"/>
              </w:rPr>
              <w:t xml:space="preserve">che non presentano </w:t>
            </w:r>
            <w:r w:rsidR="00A07941" w:rsidRPr="003726BE">
              <w:rPr>
                <w:color w:val="546393" w:themeColor="accent3"/>
                <w:sz w:val="20"/>
                <w:highlight w:val="yellow"/>
              </w:rPr>
              <w:t>un chiaro potenziale di mercato.</w:t>
            </w:r>
          </w:p>
          <w:p w14:paraId="5E649FC3" w14:textId="77777777" w:rsidR="00A07941" w:rsidRPr="003726BE" w:rsidRDefault="00A07941" w:rsidP="001818F5">
            <w:pPr>
              <w:spacing w:after="0"/>
              <w:ind w:left="66"/>
              <w:jc w:val="left"/>
              <w:rPr>
                <w:rFonts w:cs="Arial"/>
                <w:b/>
                <w:sz w:val="20"/>
                <w:szCs w:val="20"/>
              </w:rPr>
            </w:pPr>
            <w:r w:rsidRPr="003726BE">
              <w:rPr>
                <w:color w:val="546393" w:themeColor="accent3"/>
                <w:sz w:val="20"/>
                <w:highlight w:val="yellow"/>
              </w:rPr>
              <w:t xml:space="preserve">Incrementare l'efficacia dell'assegnazione di </w:t>
            </w:r>
            <w:r w:rsidRPr="003726BE">
              <w:rPr>
                <w:color w:val="546393" w:themeColor="accent3"/>
                <w:sz w:val="20"/>
                <w:highlight w:val="yellow"/>
              </w:rPr>
              <w:lastRenderedPageBreak/>
              <w:t>stanziamenti a favore di gruppi di destinatari realmente mirati (ad esempio, riverifica delle aziende agricole sovvenzionate).</w:t>
            </w:r>
          </w:p>
        </w:tc>
      </w:tr>
    </w:tbl>
    <w:p w14:paraId="3F17CA8A" w14:textId="77777777" w:rsidR="00984473" w:rsidRPr="003726BE" w:rsidRDefault="00984473">
      <w:pPr>
        <w:spacing w:before="0" w:after="0" w:line="240" w:lineRule="auto"/>
        <w:jc w:val="left"/>
        <w:rPr>
          <w:rFonts w:cs="Arial"/>
          <w:b/>
          <w:color w:val="404040" w:themeColor="text2" w:themeTint="BF"/>
          <w:sz w:val="16"/>
          <w:szCs w:val="20"/>
        </w:rPr>
      </w:pPr>
      <w:r w:rsidRPr="003726BE">
        <w:lastRenderedPageBreak/>
        <w:br w:type="page"/>
      </w:r>
    </w:p>
    <w:p w14:paraId="0EC1E46E" w14:textId="77777777" w:rsidR="00E95C99" w:rsidRPr="00CB34A3" w:rsidRDefault="00E95C99" w:rsidP="00E95C99">
      <w:pPr>
        <w:pStyle w:val="HHeadingtables"/>
        <w:rPr>
          <w:rFonts w:cs="Arial"/>
          <w:lang w:val="en-GB"/>
        </w:rPr>
      </w:pPr>
      <w:bookmarkStart w:id="135" w:name="_Toc474132632"/>
      <w:r w:rsidRPr="00CB34A3">
        <w:rPr>
          <w:lang w:val="en-GB"/>
        </w:rPr>
        <w:lastRenderedPageBreak/>
        <w:t>SFC template for point 7 concerning programme specific evaluation ques</w:t>
      </w:r>
      <w:r w:rsidR="00E7404C">
        <w:rPr>
          <w:lang w:val="en-GB"/>
        </w:rPr>
        <w:t>tion linked programme specific</w:t>
      </w:r>
      <w:r w:rsidRPr="00CB34A3">
        <w:rPr>
          <w:lang w:val="en-GB"/>
        </w:rPr>
        <w:t xml:space="preserve"> focus area (empty example)</w:t>
      </w:r>
      <w:bookmarkEnd w:id="135"/>
    </w:p>
    <w:tbl>
      <w:tblPr>
        <w:tblW w:w="8887" w:type="dxa"/>
        <w:jc w:val="center"/>
        <w:tblLayout w:type="fixed"/>
        <w:tblCellMar>
          <w:left w:w="10" w:type="dxa"/>
          <w:right w:w="10" w:type="dxa"/>
        </w:tblCellMar>
        <w:tblLook w:val="0000" w:firstRow="0" w:lastRow="0" w:firstColumn="0" w:lastColumn="0" w:noHBand="0" w:noVBand="0"/>
      </w:tblPr>
      <w:tblGrid>
        <w:gridCol w:w="2962"/>
        <w:gridCol w:w="2962"/>
        <w:gridCol w:w="2963"/>
      </w:tblGrid>
      <w:tr w:rsidR="00080C42" w:rsidRPr="003726BE" w14:paraId="2EED2676" w14:textId="77777777" w:rsidTr="00984473">
        <w:trPr>
          <w:trHeight w:val="1215"/>
          <w:jc w:val="center"/>
        </w:trPr>
        <w:tc>
          <w:tcPr>
            <w:tcW w:w="8887" w:type="dxa"/>
            <w:gridSpan w:val="3"/>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14:paraId="3F6510B3" w14:textId="77777777" w:rsidR="00080C42" w:rsidRPr="00CB34A3" w:rsidRDefault="00080C42" w:rsidP="002F6E33">
            <w:pPr>
              <w:pStyle w:val="H-Heading2"/>
              <w:spacing w:line="240" w:lineRule="auto"/>
              <w:ind w:left="0" w:firstLine="0"/>
              <w:rPr>
                <w:rFonts w:ascii="Arial" w:hAnsi="Arial" w:cs="Arial"/>
                <w:color w:val="F07E31"/>
                <w:sz w:val="18"/>
                <w:szCs w:val="18"/>
                <w:lang w:val="en-GB"/>
              </w:rPr>
            </w:pPr>
            <w:r w:rsidRPr="00CB34A3">
              <w:rPr>
                <w:rFonts w:ascii="Arial" w:hAnsi="Arial"/>
                <w:color w:val="F07E31"/>
                <w:sz w:val="18"/>
                <w:lang w:val="en-GB"/>
              </w:rPr>
              <w:t>Programme specific focus area (PSEQ):</w:t>
            </w:r>
            <w:r w:rsidRPr="003726BE">
              <w:rPr>
                <w:rStyle w:val="FootnoteReference"/>
              </w:rPr>
              <w:footnoteReference w:id="126"/>
            </w:r>
          </w:p>
          <w:p w14:paraId="233E7A79" w14:textId="77777777" w:rsidR="00080C42" w:rsidRPr="003726BE" w:rsidRDefault="00080C42" w:rsidP="002F6E33">
            <w:pPr>
              <w:pStyle w:val="H-Heading2"/>
              <w:spacing w:line="240" w:lineRule="auto"/>
              <w:ind w:left="0" w:firstLine="0"/>
              <w:rPr>
                <w:rFonts w:ascii="Arial" w:hAnsi="Arial" w:cs="Arial"/>
                <w:sz w:val="18"/>
                <w:szCs w:val="18"/>
              </w:rPr>
            </w:pPr>
            <w:r w:rsidRPr="003726BE">
              <w:rPr>
                <w:rFonts w:ascii="Arial" w:hAnsi="Arial"/>
                <w:color w:val="F07E31"/>
                <w:sz w:val="18"/>
              </w:rPr>
              <w:t>Programme specific EVALUATION QUESTION No:</w:t>
            </w:r>
            <w:r w:rsidRPr="003726BE">
              <w:rPr>
                <w:rStyle w:val="FootnoteReference"/>
              </w:rPr>
              <w:footnoteReference w:id="127"/>
            </w:r>
          </w:p>
        </w:tc>
      </w:tr>
      <w:tr w:rsidR="00080C42" w:rsidRPr="003726BE" w14:paraId="471F94FC" w14:textId="77777777" w:rsidTr="00984473">
        <w:trPr>
          <w:trHeight w:val="711"/>
          <w:jc w:val="center"/>
        </w:trPr>
        <w:tc>
          <w:tcPr>
            <w:tcW w:w="8887" w:type="dxa"/>
            <w:gridSpan w:val="3"/>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14:paraId="5AE940AD" w14:textId="77777777" w:rsidR="00080C42" w:rsidRPr="00CB34A3" w:rsidRDefault="00080C42" w:rsidP="001A31FB">
            <w:pPr>
              <w:pStyle w:val="ListParagraph"/>
              <w:numPr>
                <w:ilvl w:val="0"/>
                <w:numId w:val="35"/>
              </w:numPr>
              <w:suppressAutoHyphens/>
              <w:autoSpaceDN w:val="0"/>
              <w:spacing w:after="0" w:line="240" w:lineRule="auto"/>
              <w:textAlignment w:val="baseline"/>
              <w:outlineLvl w:val="9"/>
              <w:rPr>
                <w:rFonts w:ascii="Arial" w:hAnsi="Arial" w:cs="Arial"/>
                <w:b/>
                <w:color w:val="F07E31"/>
                <w:sz w:val="18"/>
                <w:szCs w:val="18"/>
                <w:lang w:val="en-GB"/>
              </w:rPr>
            </w:pPr>
            <w:r w:rsidRPr="00CB34A3">
              <w:rPr>
                <w:rFonts w:ascii="Arial" w:hAnsi="Arial"/>
                <w:b/>
                <w:color w:val="F07E31"/>
                <w:sz w:val="18"/>
                <w:lang w:val="en-GB"/>
              </w:rPr>
              <w:t>Rational for programme specific focus area</w:t>
            </w:r>
            <w:r w:rsidRPr="003726BE">
              <w:rPr>
                <w:rStyle w:val="FootnoteReference"/>
              </w:rPr>
              <w:footnoteReference w:id="128"/>
            </w:r>
          </w:p>
          <w:p w14:paraId="41631573" w14:textId="77777777" w:rsidR="00080C42" w:rsidRPr="00CB34A3" w:rsidRDefault="00080C42" w:rsidP="002F6E33">
            <w:pPr>
              <w:spacing w:after="0"/>
              <w:rPr>
                <w:rFonts w:cs="Arial"/>
                <w:i/>
                <w:color w:val="546393" w:themeColor="accent3"/>
                <w:szCs w:val="18"/>
                <w:lang w:val="en-GB"/>
              </w:rPr>
            </w:pPr>
          </w:p>
          <w:p w14:paraId="113AA623" w14:textId="77777777" w:rsidR="00080C42" w:rsidRPr="003726BE" w:rsidRDefault="00080C42" w:rsidP="002F6E33">
            <w:pPr>
              <w:spacing w:after="0"/>
              <w:rPr>
                <w:rFonts w:cs="Arial"/>
                <w:i/>
                <w:color w:val="F7A833" w:themeColor="accent5"/>
                <w:szCs w:val="18"/>
              </w:rPr>
            </w:pPr>
            <w:r w:rsidRPr="00CB34A3">
              <w:rPr>
                <w:i/>
                <w:color w:val="F7A833" w:themeColor="accent5"/>
                <w:lang w:val="en-GB"/>
              </w:rPr>
              <w:t xml:space="preserve">[A maximum of 1,000 characters = approx. </w:t>
            </w:r>
            <w:r w:rsidRPr="003726BE">
              <w:rPr>
                <w:i/>
                <w:color w:val="F7A833" w:themeColor="accent5"/>
              </w:rPr>
              <w:t>¼ page – Mandatory]</w:t>
            </w:r>
          </w:p>
          <w:p w14:paraId="12043986" w14:textId="77777777" w:rsidR="00080C42" w:rsidRPr="003726BE" w:rsidRDefault="00080C42" w:rsidP="002F6E33">
            <w:pPr>
              <w:spacing w:after="0"/>
              <w:rPr>
                <w:rFonts w:cs="Arial"/>
                <w:i/>
                <w:color w:val="4BACC6"/>
                <w:szCs w:val="18"/>
              </w:rPr>
            </w:pPr>
          </w:p>
        </w:tc>
      </w:tr>
      <w:tr w:rsidR="00080C42" w:rsidRPr="003726BE" w14:paraId="5331E7A0" w14:textId="77777777" w:rsidTr="00984473">
        <w:trPr>
          <w:trHeight w:val="315"/>
          <w:jc w:val="center"/>
        </w:trPr>
        <w:tc>
          <w:tcPr>
            <w:tcW w:w="8887" w:type="dxa"/>
            <w:gridSpan w:val="3"/>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14:paraId="21A35014" w14:textId="77777777" w:rsidR="00080C42" w:rsidRPr="00CB34A3" w:rsidRDefault="00080C42" w:rsidP="001A31FB">
            <w:pPr>
              <w:pStyle w:val="ListParagraph"/>
              <w:numPr>
                <w:ilvl w:val="0"/>
                <w:numId w:val="35"/>
              </w:numPr>
              <w:suppressAutoHyphens/>
              <w:autoSpaceDN w:val="0"/>
              <w:spacing w:after="0" w:line="240" w:lineRule="auto"/>
              <w:textAlignment w:val="baseline"/>
              <w:outlineLvl w:val="9"/>
              <w:rPr>
                <w:rFonts w:ascii="Arial" w:hAnsi="Arial" w:cs="Arial"/>
                <w:b/>
                <w:color w:val="ED7D31"/>
                <w:sz w:val="18"/>
                <w:szCs w:val="18"/>
                <w:lang w:val="en-GB"/>
              </w:rPr>
            </w:pPr>
            <w:r w:rsidRPr="00CB34A3">
              <w:rPr>
                <w:rFonts w:ascii="Arial" w:hAnsi="Arial"/>
                <w:b/>
                <w:color w:val="ED7D31"/>
                <w:sz w:val="18"/>
                <w:lang w:val="en-GB"/>
              </w:rPr>
              <w:t xml:space="preserve">List of measures contributing to the programme specific FA </w:t>
            </w:r>
          </w:p>
          <w:p w14:paraId="1143E284" w14:textId="77777777" w:rsidR="00080C42" w:rsidRPr="00CB34A3" w:rsidRDefault="00080C42" w:rsidP="002F6E33">
            <w:pPr>
              <w:spacing w:after="0"/>
              <w:rPr>
                <w:rFonts w:cs="Arial"/>
                <w:b/>
                <w:szCs w:val="18"/>
                <w:lang w:val="en-GB"/>
              </w:rPr>
            </w:pPr>
          </w:p>
          <w:p w14:paraId="74558DDC" w14:textId="77777777" w:rsidR="00080C42" w:rsidRPr="00CB34A3" w:rsidRDefault="00080C42" w:rsidP="002F6E33">
            <w:pPr>
              <w:spacing w:after="0"/>
              <w:rPr>
                <w:rFonts w:cs="Arial"/>
                <w:b/>
                <w:color w:val="373737" w:themeColor="background1" w:themeShade="40"/>
                <w:szCs w:val="18"/>
                <w:lang w:val="en-GB"/>
              </w:rPr>
            </w:pPr>
            <w:r w:rsidRPr="00CB34A3">
              <w:rPr>
                <w:b/>
                <w:color w:val="373737" w:themeColor="background1" w:themeShade="40"/>
                <w:lang w:val="en-GB"/>
              </w:rPr>
              <w:t xml:space="preserve">Programmed measures/sub-measures: </w:t>
            </w:r>
          </w:p>
          <w:p w14:paraId="11301BB3" w14:textId="77777777" w:rsidR="00080C42" w:rsidRPr="00CB34A3" w:rsidRDefault="00080C42" w:rsidP="002F6E33">
            <w:pPr>
              <w:spacing w:after="0"/>
              <w:rPr>
                <w:rFonts w:cs="Arial"/>
                <w:b/>
                <w:color w:val="373737" w:themeColor="background1" w:themeShade="40"/>
                <w:szCs w:val="18"/>
                <w:lang w:val="en-GB"/>
              </w:rPr>
            </w:pPr>
          </w:p>
          <w:p w14:paraId="7DA34F5B" w14:textId="77777777" w:rsidR="00080C42" w:rsidRPr="00CB34A3" w:rsidRDefault="00080C42" w:rsidP="002F6E33">
            <w:pPr>
              <w:spacing w:after="0"/>
              <w:rPr>
                <w:rFonts w:cs="Arial"/>
                <w:b/>
                <w:color w:val="373737" w:themeColor="background1" w:themeShade="40"/>
                <w:szCs w:val="18"/>
                <w:lang w:val="en-GB"/>
              </w:rPr>
            </w:pPr>
            <w:r w:rsidRPr="00CB34A3">
              <w:rPr>
                <w:b/>
                <w:color w:val="373737" w:themeColor="background1" w:themeShade="40"/>
                <w:lang w:val="en-GB"/>
              </w:rPr>
              <w:t>Measures/sub-measures programmed under the other FAs (common and programme specific) which show secondary contributions to programme specific FA</w:t>
            </w:r>
            <w:r w:rsidRPr="003726BE">
              <w:rPr>
                <w:rStyle w:val="FootnoteReference"/>
              </w:rPr>
              <w:footnoteReference w:id="129"/>
            </w:r>
            <w:r w:rsidRPr="00CB34A3">
              <w:rPr>
                <w:b/>
                <w:color w:val="373737" w:themeColor="background1" w:themeShade="40"/>
                <w:lang w:val="en-GB"/>
              </w:rPr>
              <w:t xml:space="preserve">: </w:t>
            </w:r>
          </w:p>
          <w:p w14:paraId="7D285223" w14:textId="77777777" w:rsidR="00080C42" w:rsidRPr="00CB34A3" w:rsidRDefault="00080C42" w:rsidP="002F6E33">
            <w:pPr>
              <w:spacing w:after="0"/>
              <w:rPr>
                <w:rFonts w:cs="Arial"/>
                <w:b/>
                <w:color w:val="373737" w:themeColor="background1" w:themeShade="40"/>
                <w:szCs w:val="18"/>
                <w:lang w:val="en-GB"/>
              </w:rPr>
            </w:pPr>
          </w:p>
          <w:p w14:paraId="0EE40121" w14:textId="77777777" w:rsidR="00080C42" w:rsidRPr="003726BE" w:rsidRDefault="00080C42" w:rsidP="002F6E33">
            <w:pPr>
              <w:spacing w:after="0"/>
              <w:rPr>
                <w:rFonts w:cs="Arial"/>
                <w:i/>
                <w:color w:val="F7A833" w:themeColor="accent5"/>
                <w:szCs w:val="18"/>
              </w:rPr>
            </w:pPr>
            <w:r w:rsidRPr="00CB34A3">
              <w:rPr>
                <w:i/>
                <w:color w:val="F7A833" w:themeColor="accent5"/>
                <w:lang w:val="en-GB"/>
              </w:rPr>
              <w:t xml:space="preserve">[A maximum of 1,000 characters = approx. </w:t>
            </w:r>
            <w:r w:rsidRPr="003726BE">
              <w:rPr>
                <w:i/>
                <w:color w:val="F7A833" w:themeColor="accent5"/>
              </w:rPr>
              <w:t>¼ page – Mandatory]</w:t>
            </w:r>
          </w:p>
          <w:p w14:paraId="5C0BFE91" w14:textId="77777777" w:rsidR="00080C42" w:rsidRPr="003726BE" w:rsidRDefault="00080C42" w:rsidP="002F6E33">
            <w:pPr>
              <w:spacing w:after="0"/>
              <w:rPr>
                <w:rFonts w:cs="Arial"/>
                <w:i/>
                <w:color w:val="4BACC6"/>
                <w:szCs w:val="18"/>
              </w:rPr>
            </w:pPr>
          </w:p>
        </w:tc>
      </w:tr>
      <w:tr w:rsidR="00080C42" w:rsidRPr="003726BE" w14:paraId="15660A1E" w14:textId="77777777" w:rsidTr="00984473">
        <w:trPr>
          <w:trHeight w:val="1117"/>
          <w:jc w:val="center"/>
        </w:trPr>
        <w:tc>
          <w:tcPr>
            <w:tcW w:w="8887" w:type="dxa"/>
            <w:gridSpan w:val="3"/>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14:paraId="3C8FD4FE" w14:textId="77777777" w:rsidR="00080C42" w:rsidRPr="00CB34A3" w:rsidRDefault="00080C42" w:rsidP="001A31FB">
            <w:pPr>
              <w:pStyle w:val="ListParagraph"/>
              <w:numPr>
                <w:ilvl w:val="0"/>
                <w:numId w:val="35"/>
              </w:numPr>
              <w:suppressAutoHyphens/>
              <w:autoSpaceDN w:val="0"/>
              <w:spacing w:after="0" w:line="240" w:lineRule="auto"/>
              <w:textAlignment w:val="baseline"/>
              <w:outlineLvl w:val="9"/>
              <w:rPr>
                <w:rFonts w:ascii="Arial" w:hAnsi="Arial" w:cs="Arial"/>
                <w:b/>
                <w:sz w:val="18"/>
                <w:szCs w:val="18"/>
                <w:lang w:val="en-GB"/>
              </w:rPr>
            </w:pPr>
            <w:r w:rsidRPr="00CB34A3">
              <w:rPr>
                <w:rFonts w:ascii="Arial" w:hAnsi="Arial"/>
                <w:b/>
                <w:color w:val="ED7D31"/>
                <w:sz w:val="18"/>
                <w:lang w:val="en-GB"/>
              </w:rPr>
              <w:t>Link between judgment criteria and common and /or programme specific result indicators</w:t>
            </w:r>
            <w:r w:rsidRPr="003726BE">
              <w:rPr>
                <w:rStyle w:val="FootnoteReference"/>
              </w:rPr>
              <w:footnoteReference w:id="130"/>
            </w:r>
            <w:r w:rsidRPr="00CB34A3">
              <w:rPr>
                <w:rFonts w:ascii="Arial" w:hAnsi="Arial"/>
                <w:b/>
                <w:color w:val="ED7D31"/>
                <w:sz w:val="18"/>
                <w:lang w:val="en-GB"/>
              </w:rPr>
              <w:t xml:space="preserve"> used to answer the PSEQ</w:t>
            </w:r>
          </w:p>
          <w:p w14:paraId="74EAF561" w14:textId="77777777" w:rsidR="00080C42" w:rsidRPr="00CB34A3" w:rsidRDefault="00080C42" w:rsidP="002F6E33">
            <w:pPr>
              <w:spacing w:after="0"/>
              <w:rPr>
                <w:rFonts w:cs="Arial"/>
                <w:i/>
                <w:color w:val="F7A833" w:themeColor="accent5"/>
                <w:szCs w:val="18"/>
                <w:lang w:val="en-GB"/>
              </w:rPr>
            </w:pPr>
          </w:p>
          <w:p w14:paraId="74D473A9" w14:textId="77777777" w:rsidR="00080C42" w:rsidRPr="003726BE" w:rsidRDefault="00080C42" w:rsidP="002F6E33">
            <w:pPr>
              <w:spacing w:after="0"/>
              <w:rPr>
                <w:rFonts w:cs="Arial"/>
                <w:i/>
                <w:color w:val="4BACC6"/>
                <w:szCs w:val="18"/>
              </w:rPr>
            </w:pPr>
            <w:r w:rsidRPr="003726BE">
              <w:rPr>
                <w:i/>
                <w:color w:val="F7A833" w:themeColor="accent5"/>
              </w:rPr>
              <w:t>[Mandatory]</w:t>
            </w:r>
          </w:p>
        </w:tc>
      </w:tr>
      <w:tr w:rsidR="00080C42" w:rsidRPr="00F61F42" w14:paraId="64A497E6" w14:textId="77777777" w:rsidTr="00984473">
        <w:trPr>
          <w:trHeight w:val="20"/>
          <w:jc w:val="center"/>
        </w:trPr>
        <w:tc>
          <w:tcPr>
            <w:tcW w:w="2962" w:type="dxa"/>
            <w:tcBorders>
              <w:top w:val="single" w:sz="18" w:space="0" w:color="6F6F6F" w:themeColor="text1"/>
              <w:left w:val="single" w:sz="18" w:space="0" w:color="6F6F6F" w:themeColor="text1"/>
              <w:bottom w:val="single" w:sz="18" w:space="0" w:color="6F6F6F" w:themeColor="text1"/>
              <w:right w:val="single" w:sz="4" w:space="0" w:color="000000"/>
            </w:tcBorders>
            <w:shd w:val="clear" w:color="auto" w:fill="auto"/>
            <w:tcMar>
              <w:top w:w="0" w:type="dxa"/>
              <w:left w:w="108" w:type="dxa"/>
              <w:bottom w:w="0" w:type="dxa"/>
              <w:right w:w="108" w:type="dxa"/>
            </w:tcMar>
          </w:tcPr>
          <w:p w14:paraId="069ECDC9" w14:textId="77777777" w:rsidR="00080C42" w:rsidRPr="003726BE" w:rsidRDefault="00080C42" w:rsidP="00984473">
            <w:pPr>
              <w:pStyle w:val="ListParagraph"/>
              <w:tabs>
                <w:tab w:val="clear" w:pos="709"/>
              </w:tabs>
              <w:ind w:left="10" w:firstLine="0"/>
              <w:jc w:val="center"/>
              <w:rPr>
                <w:rFonts w:ascii="Arial" w:hAnsi="Arial" w:cs="Arial"/>
                <w:b/>
                <w:sz w:val="18"/>
                <w:szCs w:val="18"/>
              </w:rPr>
            </w:pPr>
            <w:r w:rsidRPr="003726BE">
              <w:rPr>
                <w:rFonts w:ascii="Arial" w:hAnsi="Arial"/>
                <w:b/>
                <w:color w:val="373737" w:themeColor="background1" w:themeShade="40"/>
                <w:sz w:val="18"/>
              </w:rPr>
              <w:t xml:space="preserve">Programme specific judgment criteria </w:t>
            </w:r>
            <w:r w:rsidRPr="003726BE">
              <w:rPr>
                <w:rStyle w:val="FootnoteReference"/>
              </w:rPr>
              <w:footnoteReference w:id="131"/>
            </w:r>
          </w:p>
          <w:p w14:paraId="154943EE" w14:textId="77777777" w:rsidR="00080C42" w:rsidRPr="003726BE" w:rsidRDefault="00080C42" w:rsidP="00984473">
            <w:pPr>
              <w:pStyle w:val="ListParagraph"/>
              <w:ind w:left="0" w:firstLine="10"/>
              <w:jc w:val="center"/>
              <w:rPr>
                <w:rFonts w:ascii="Arial" w:hAnsi="Arial" w:cs="Arial"/>
                <w:i/>
                <w:sz w:val="18"/>
                <w:szCs w:val="18"/>
              </w:rPr>
            </w:pPr>
            <w:r w:rsidRPr="003726BE">
              <w:rPr>
                <w:rFonts w:ascii="Arial" w:hAnsi="Arial"/>
                <w:i/>
                <w:color w:val="F7A833" w:themeColor="accent5"/>
                <w:sz w:val="18"/>
              </w:rPr>
              <w:t>[Max. 255 characters]</w:t>
            </w:r>
          </w:p>
        </w:tc>
        <w:tc>
          <w:tcPr>
            <w:tcW w:w="2962" w:type="dxa"/>
            <w:tcBorders>
              <w:top w:val="single" w:sz="18" w:space="0" w:color="6F6F6F" w:themeColor="text1"/>
              <w:left w:val="single" w:sz="4" w:space="0" w:color="000000"/>
              <w:bottom w:val="single" w:sz="18" w:space="0" w:color="6F6F6F" w:themeColor="text1"/>
              <w:right w:val="single" w:sz="4" w:space="0" w:color="000000"/>
            </w:tcBorders>
            <w:shd w:val="clear" w:color="auto" w:fill="auto"/>
            <w:tcMar>
              <w:top w:w="0" w:type="dxa"/>
              <w:left w:w="108" w:type="dxa"/>
              <w:bottom w:w="0" w:type="dxa"/>
              <w:right w:w="108" w:type="dxa"/>
            </w:tcMar>
          </w:tcPr>
          <w:p w14:paraId="36BFC5DF" w14:textId="77777777" w:rsidR="00080C42" w:rsidRPr="00CB34A3" w:rsidRDefault="00080C42" w:rsidP="002F6E33">
            <w:pPr>
              <w:pStyle w:val="ListParagraph"/>
              <w:jc w:val="center"/>
              <w:rPr>
                <w:rFonts w:ascii="Arial" w:hAnsi="Arial" w:cs="Arial"/>
                <w:sz w:val="18"/>
                <w:szCs w:val="18"/>
                <w:lang w:val="en-GB"/>
              </w:rPr>
            </w:pPr>
            <w:r w:rsidRPr="00CB34A3">
              <w:rPr>
                <w:rFonts w:ascii="Arial" w:hAnsi="Arial"/>
                <w:b/>
                <w:color w:val="373737" w:themeColor="background1" w:themeShade="40"/>
                <w:sz w:val="18"/>
                <w:lang w:val="en-GB"/>
              </w:rPr>
              <w:t>Common result indicators</w:t>
            </w:r>
            <w:r w:rsidRPr="003726BE">
              <w:rPr>
                <w:rStyle w:val="FootnoteReference"/>
              </w:rPr>
              <w:footnoteReference w:id="132"/>
            </w:r>
          </w:p>
          <w:p w14:paraId="7616CFA1" w14:textId="77777777" w:rsidR="00080C42" w:rsidRPr="00CB34A3" w:rsidRDefault="00080C42" w:rsidP="00984473">
            <w:pPr>
              <w:pStyle w:val="ListParagraph"/>
              <w:ind w:left="0" w:firstLine="23"/>
              <w:jc w:val="center"/>
              <w:rPr>
                <w:rFonts w:ascii="Arial" w:hAnsi="Arial" w:cs="Arial"/>
                <w:i/>
                <w:sz w:val="18"/>
                <w:szCs w:val="18"/>
                <w:lang w:val="en-GB"/>
              </w:rPr>
            </w:pPr>
            <w:r w:rsidRPr="00CB34A3">
              <w:rPr>
                <w:rFonts w:ascii="Arial" w:hAnsi="Arial"/>
                <w:i/>
                <w:color w:val="F7A833" w:themeColor="accent5"/>
                <w:sz w:val="18"/>
                <w:lang w:val="en-GB"/>
              </w:rPr>
              <w:t>[Max. 255 characters]</w:t>
            </w:r>
          </w:p>
        </w:tc>
        <w:tc>
          <w:tcPr>
            <w:tcW w:w="2963" w:type="dxa"/>
            <w:tcBorders>
              <w:top w:val="single" w:sz="18" w:space="0" w:color="6F6F6F" w:themeColor="text1"/>
              <w:left w:val="single" w:sz="4" w:space="0" w:color="000000"/>
              <w:bottom w:val="single" w:sz="18" w:space="0" w:color="6F6F6F" w:themeColor="text1"/>
              <w:right w:val="single" w:sz="18" w:space="0" w:color="6F6F6F" w:themeColor="text1"/>
            </w:tcBorders>
            <w:shd w:val="clear" w:color="auto" w:fill="auto"/>
            <w:tcMar>
              <w:top w:w="0" w:type="dxa"/>
              <w:left w:w="108" w:type="dxa"/>
              <w:bottom w:w="0" w:type="dxa"/>
              <w:right w:w="108" w:type="dxa"/>
            </w:tcMar>
          </w:tcPr>
          <w:p w14:paraId="64284899" w14:textId="77777777" w:rsidR="00080C42" w:rsidRPr="00CB34A3" w:rsidRDefault="00080C42" w:rsidP="00984473">
            <w:pPr>
              <w:pStyle w:val="ListParagraph"/>
              <w:tabs>
                <w:tab w:val="clear" w:pos="709"/>
              </w:tabs>
              <w:ind w:left="36" w:hanging="1"/>
              <w:jc w:val="center"/>
              <w:rPr>
                <w:rFonts w:ascii="Arial" w:hAnsi="Arial" w:cs="Arial"/>
                <w:b/>
                <w:sz w:val="18"/>
                <w:szCs w:val="18"/>
                <w:lang w:val="en-GB"/>
              </w:rPr>
            </w:pPr>
            <w:r w:rsidRPr="00CB34A3">
              <w:rPr>
                <w:rFonts w:ascii="Arial" w:hAnsi="Arial"/>
                <w:b/>
                <w:color w:val="373737" w:themeColor="background1" w:themeShade="40"/>
                <w:sz w:val="18"/>
                <w:lang w:val="en-GB"/>
              </w:rPr>
              <w:t>Programme specific result indicators</w:t>
            </w:r>
            <w:r w:rsidRPr="003726BE">
              <w:rPr>
                <w:rStyle w:val="FootnoteReference"/>
              </w:rPr>
              <w:footnoteReference w:id="133"/>
            </w:r>
          </w:p>
          <w:p w14:paraId="7876122F" w14:textId="77777777" w:rsidR="00080C42" w:rsidRPr="00CB34A3" w:rsidRDefault="00080C42" w:rsidP="00984473">
            <w:pPr>
              <w:pStyle w:val="ListParagraph"/>
              <w:ind w:left="0" w:firstLine="0"/>
              <w:jc w:val="center"/>
              <w:rPr>
                <w:rFonts w:ascii="Arial" w:hAnsi="Arial" w:cs="Arial"/>
                <w:i/>
                <w:sz w:val="18"/>
                <w:szCs w:val="18"/>
                <w:lang w:val="en-GB"/>
              </w:rPr>
            </w:pPr>
            <w:r w:rsidRPr="00CB34A3">
              <w:rPr>
                <w:rStyle w:val="EndnoteReference"/>
                <w:rFonts w:ascii="Arial" w:hAnsi="Arial"/>
                <w:b/>
                <w:sz w:val="18"/>
                <w:lang w:val="en-GB"/>
              </w:rPr>
              <w:t xml:space="preserve"> </w:t>
            </w:r>
            <w:r w:rsidRPr="00CB34A3">
              <w:rPr>
                <w:rFonts w:ascii="Arial" w:hAnsi="Arial"/>
                <w:i/>
                <w:color w:val="F7A833" w:themeColor="accent5"/>
                <w:sz w:val="18"/>
                <w:lang w:val="en-GB"/>
              </w:rPr>
              <w:t>[Max. 255 characters]</w:t>
            </w:r>
          </w:p>
        </w:tc>
      </w:tr>
      <w:tr w:rsidR="00080C42" w:rsidRPr="00F61F42" w14:paraId="65B7D0FB" w14:textId="77777777" w:rsidTr="00984473">
        <w:trPr>
          <w:trHeight w:val="20"/>
          <w:jc w:val="center"/>
        </w:trPr>
        <w:tc>
          <w:tcPr>
            <w:tcW w:w="2962" w:type="dxa"/>
            <w:tcBorders>
              <w:top w:val="single" w:sz="18" w:space="0" w:color="6F6F6F" w:themeColor="text1"/>
              <w:left w:val="single" w:sz="18" w:space="0" w:color="6F6F6F" w:themeColor="text1"/>
              <w:bottom w:val="single" w:sz="18" w:space="0" w:color="6F6F6F" w:themeColor="text1"/>
              <w:right w:val="single" w:sz="4" w:space="0" w:color="000000"/>
            </w:tcBorders>
            <w:shd w:val="clear" w:color="auto" w:fill="auto"/>
            <w:tcMar>
              <w:top w:w="0" w:type="dxa"/>
              <w:left w:w="108" w:type="dxa"/>
              <w:bottom w:w="0" w:type="dxa"/>
              <w:right w:w="108" w:type="dxa"/>
            </w:tcMar>
          </w:tcPr>
          <w:p w14:paraId="19643217" w14:textId="77777777" w:rsidR="00080C42" w:rsidRPr="00CB34A3" w:rsidRDefault="00080C42" w:rsidP="002F6E33">
            <w:pPr>
              <w:pStyle w:val="ListParagraph"/>
              <w:rPr>
                <w:rFonts w:ascii="Arial" w:hAnsi="Arial" w:cs="Arial"/>
                <w:b/>
                <w:sz w:val="18"/>
                <w:szCs w:val="18"/>
                <w:lang w:val="en-GB"/>
              </w:rPr>
            </w:pPr>
          </w:p>
        </w:tc>
        <w:tc>
          <w:tcPr>
            <w:tcW w:w="2962" w:type="dxa"/>
            <w:tcBorders>
              <w:top w:val="single" w:sz="18" w:space="0" w:color="6F6F6F" w:themeColor="text1"/>
              <w:left w:val="single" w:sz="4" w:space="0" w:color="000000"/>
              <w:bottom w:val="single" w:sz="18" w:space="0" w:color="6F6F6F" w:themeColor="text1"/>
              <w:right w:val="single" w:sz="4" w:space="0" w:color="000000"/>
            </w:tcBorders>
            <w:shd w:val="clear" w:color="auto" w:fill="auto"/>
            <w:tcMar>
              <w:top w:w="0" w:type="dxa"/>
              <w:left w:w="108" w:type="dxa"/>
              <w:bottom w:w="0" w:type="dxa"/>
              <w:right w:w="108" w:type="dxa"/>
            </w:tcMar>
          </w:tcPr>
          <w:p w14:paraId="33E26689" w14:textId="77777777" w:rsidR="00080C42" w:rsidRPr="00CB34A3" w:rsidRDefault="00080C42" w:rsidP="002F6E33">
            <w:pPr>
              <w:pStyle w:val="ListParagraph"/>
              <w:rPr>
                <w:rFonts w:ascii="Arial" w:hAnsi="Arial" w:cs="Arial"/>
                <w:b/>
                <w:sz w:val="18"/>
                <w:szCs w:val="18"/>
                <w:lang w:val="en-GB"/>
              </w:rPr>
            </w:pPr>
          </w:p>
        </w:tc>
        <w:tc>
          <w:tcPr>
            <w:tcW w:w="2963" w:type="dxa"/>
            <w:tcBorders>
              <w:top w:val="single" w:sz="18" w:space="0" w:color="6F6F6F" w:themeColor="text1"/>
              <w:left w:val="single" w:sz="4" w:space="0" w:color="000000"/>
              <w:bottom w:val="single" w:sz="18" w:space="0" w:color="6F6F6F" w:themeColor="text1"/>
              <w:right w:val="single" w:sz="18" w:space="0" w:color="6F6F6F" w:themeColor="text1"/>
            </w:tcBorders>
            <w:shd w:val="clear" w:color="auto" w:fill="auto"/>
            <w:tcMar>
              <w:top w:w="0" w:type="dxa"/>
              <w:left w:w="108" w:type="dxa"/>
              <w:bottom w:w="0" w:type="dxa"/>
              <w:right w:w="108" w:type="dxa"/>
            </w:tcMar>
          </w:tcPr>
          <w:p w14:paraId="0F8468DE" w14:textId="77777777" w:rsidR="00080C42" w:rsidRPr="00CB34A3" w:rsidRDefault="00080C42" w:rsidP="002F6E33">
            <w:pPr>
              <w:pStyle w:val="ListParagraph"/>
              <w:rPr>
                <w:rFonts w:ascii="Arial" w:hAnsi="Arial" w:cs="Arial"/>
                <w:b/>
                <w:sz w:val="18"/>
                <w:szCs w:val="18"/>
                <w:lang w:val="en-GB"/>
              </w:rPr>
            </w:pPr>
          </w:p>
        </w:tc>
      </w:tr>
      <w:tr w:rsidR="00080C42" w:rsidRPr="00F61F42" w14:paraId="010252DA" w14:textId="77777777" w:rsidTr="00984473">
        <w:trPr>
          <w:trHeight w:val="20"/>
          <w:jc w:val="center"/>
        </w:trPr>
        <w:tc>
          <w:tcPr>
            <w:tcW w:w="2962" w:type="dxa"/>
            <w:tcBorders>
              <w:top w:val="single" w:sz="18" w:space="0" w:color="6F6F6F" w:themeColor="text1"/>
              <w:left w:val="single" w:sz="18" w:space="0" w:color="6F6F6F" w:themeColor="text1"/>
              <w:bottom w:val="single" w:sz="18" w:space="0" w:color="6F6F6F" w:themeColor="text1"/>
              <w:right w:val="single" w:sz="4" w:space="0" w:color="000000"/>
            </w:tcBorders>
            <w:shd w:val="clear" w:color="auto" w:fill="auto"/>
            <w:tcMar>
              <w:top w:w="0" w:type="dxa"/>
              <w:left w:w="108" w:type="dxa"/>
              <w:bottom w:w="0" w:type="dxa"/>
              <w:right w:w="108" w:type="dxa"/>
            </w:tcMar>
          </w:tcPr>
          <w:p w14:paraId="57D92033" w14:textId="77777777" w:rsidR="00080C42" w:rsidRPr="00CB34A3" w:rsidRDefault="00080C42" w:rsidP="002F6E33">
            <w:pPr>
              <w:pStyle w:val="ListParagraph"/>
              <w:rPr>
                <w:rFonts w:ascii="Arial" w:hAnsi="Arial" w:cs="Arial"/>
                <w:b/>
                <w:sz w:val="18"/>
                <w:szCs w:val="18"/>
                <w:lang w:val="en-GB"/>
              </w:rPr>
            </w:pPr>
          </w:p>
        </w:tc>
        <w:tc>
          <w:tcPr>
            <w:tcW w:w="2962" w:type="dxa"/>
            <w:tcBorders>
              <w:top w:val="single" w:sz="18" w:space="0" w:color="6F6F6F" w:themeColor="text1"/>
              <w:left w:val="single" w:sz="4" w:space="0" w:color="000000"/>
              <w:bottom w:val="single" w:sz="18" w:space="0" w:color="6F6F6F" w:themeColor="text1"/>
              <w:right w:val="single" w:sz="4" w:space="0" w:color="000000"/>
            </w:tcBorders>
            <w:shd w:val="clear" w:color="auto" w:fill="auto"/>
            <w:tcMar>
              <w:top w:w="0" w:type="dxa"/>
              <w:left w:w="108" w:type="dxa"/>
              <w:bottom w:w="0" w:type="dxa"/>
              <w:right w:w="108" w:type="dxa"/>
            </w:tcMar>
          </w:tcPr>
          <w:p w14:paraId="3FB51766" w14:textId="77777777" w:rsidR="00080C42" w:rsidRPr="00CB34A3" w:rsidRDefault="00080C42" w:rsidP="002F6E33">
            <w:pPr>
              <w:pStyle w:val="ListParagraph"/>
              <w:rPr>
                <w:rFonts w:ascii="Arial" w:hAnsi="Arial" w:cs="Arial"/>
                <w:b/>
                <w:sz w:val="18"/>
                <w:szCs w:val="18"/>
                <w:lang w:val="en-GB"/>
              </w:rPr>
            </w:pPr>
          </w:p>
        </w:tc>
        <w:tc>
          <w:tcPr>
            <w:tcW w:w="2963" w:type="dxa"/>
            <w:tcBorders>
              <w:top w:val="single" w:sz="18" w:space="0" w:color="6F6F6F" w:themeColor="text1"/>
              <w:left w:val="single" w:sz="4" w:space="0" w:color="000000"/>
              <w:bottom w:val="single" w:sz="18" w:space="0" w:color="6F6F6F" w:themeColor="text1"/>
              <w:right w:val="single" w:sz="18" w:space="0" w:color="6F6F6F" w:themeColor="text1"/>
            </w:tcBorders>
            <w:shd w:val="clear" w:color="auto" w:fill="auto"/>
            <w:tcMar>
              <w:top w:w="0" w:type="dxa"/>
              <w:left w:w="108" w:type="dxa"/>
              <w:bottom w:w="0" w:type="dxa"/>
              <w:right w:w="108" w:type="dxa"/>
            </w:tcMar>
          </w:tcPr>
          <w:p w14:paraId="214F79DA" w14:textId="77777777" w:rsidR="00080C42" w:rsidRPr="00CB34A3" w:rsidRDefault="00080C42" w:rsidP="002F6E33">
            <w:pPr>
              <w:pStyle w:val="ListParagraph"/>
              <w:rPr>
                <w:rFonts w:ascii="Arial" w:hAnsi="Arial" w:cs="Arial"/>
                <w:b/>
                <w:sz w:val="18"/>
                <w:szCs w:val="18"/>
                <w:lang w:val="en-GB"/>
              </w:rPr>
            </w:pPr>
          </w:p>
        </w:tc>
      </w:tr>
      <w:tr w:rsidR="00080C42" w:rsidRPr="00F61F42" w14:paraId="07335D47" w14:textId="77777777" w:rsidTr="00984473">
        <w:trPr>
          <w:trHeight w:val="20"/>
          <w:jc w:val="center"/>
        </w:trPr>
        <w:tc>
          <w:tcPr>
            <w:tcW w:w="2962" w:type="dxa"/>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14:paraId="51312094" w14:textId="77777777" w:rsidR="00080C42" w:rsidRPr="00CB34A3" w:rsidRDefault="00080C42" w:rsidP="002F6E33">
            <w:pPr>
              <w:pStyle w:val="ListParagraph"/>
              <w:rPr>
                <w:rFonts w:ascii="Arial" w:hAnsi="Arial" w:cs="Arial"/>
                <w:b/>
                <w:sz w:val="18"/>
                <w:szCs w:val="18"/>
                <w:lang w:val="en-GB"/>
              </w:rPr>
            </w:pPr>
          </w:p>
        </w:tc>
        <w:tc>
          <w:tcPr>
            <w:tcW w:w="2962" w:type="dxa"/>
            <w:tcBorders>
              <w:top w:val="single" w:sz="18" w:space="0" w:color="6F6F6F" w:themeColor="text1"/>
              <w:left w:val="single" w:sz="4" w:space="0" w:color="auto"/>
              <w:bottom w:val="single" w:sz="18" w:space="0" w:color="6F6F6F" w:themeColor="text1"/>
              <w:right w:val="single" w:sz="4" w:space="0" w:color="auto"/>
            </w:tcBorders>
            <w:shd w:val="clear" w:color="auto" w:fill="auto"/>
            <w:tcMar>
              <w:top w:w="0" w:type="dxa"/>
              <w:left w:w="108" w:type="dxa"/>
              <w:bottom w:w="0" w:type="dxa"/>
              <w:right w:w="108" w:type="dxa"/>
            </w:tcMar>
          </w:tcPr>
          <w:p w14:paraId="64BBAE1F" w14:textId="77777777" w:rsidR="00080C42" w:rsidRPr="00CB34A3" w:rsidRDefault="00080C42" w:rsidP="002F6E33">
            <w:pPr>
              <w:pStyle w:val="ListParagraph"/>
              <w:rPr>
                <w:rFonts w:ascii="Arial" w:hAnsi="Arial" w:cs="Arial"/>
                <w:b/>
                <w:sz w:val="18"/>
                <w:szCs w:val="18"/>
                <w:lang w:val="en-GB"/>
              </w:rPr>
            </w:pPr>
          </w:p>
        </w:tc>
        <w:tc>
          <w:tcPr>
            <w:tcW w:w="2963"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Mar>
              <w:top w:w="0" w:type="dxa"/>
              <w:left w:w="108" w:type="dxa"/>
              <w:bottom w:w="0" w:type="dxa"/>
              <w:right w:w="108" w:type="dxa"/>
            </w:tcMar>
          </w:tcPr>
          <w:p w14:paraId="0F13D732" w14:textId="77777777" w:rsidR="00080C42" w:rsidRPr="00CB34A3" w:rsidRDefault="00080C42" w:rsidP="002F6E33">
            <w:pPr>
              <w:pStyle w:val="ListParagraph"/>
              <w:rPr>
                <w:rFonts w:ascii="Arial" w:hAnsi="Arial" w:cs="Arial"/>
                <w:b/>
                <w:sz w:val="18"/>
                <w:szCs w:val="18"/>
                <w:lang w:val="en-GB"/>
              </w:rPr>
            </w:pPr>
          </w:p>
        </w:tc>
      </w:tr>
      <w:tr w:rsidR="00080C42" w:rsidRPr="00F61F42" w14:paraId="2B06A082" w14:textId="77777777" w:rsidTr="00984473">
        <w:trPr>
          <w:trHeight w:val="20"/>
          <w:jc w:val="center"/>
        </w:trPr>
        <w:tc>
          <w:tcPr>
            <w:tcW w:w="2962" w:type="dxa"/>
            <w:tcBorders>
              <w:top w:val="single" w:sz="18" w:space="0" w:color="6F6F6F" w:themeColor="text1"/>
              <w:left w:val="single" w:sz="18" w:space="0" w:color="6F6F6F" w:themeColor="text1"/>
              <w:bottom w:val="single" w:sz="18" w:space="0" w:color="6F6F6F" w:themeColor="text1"/>
              <w:right w:val="single" w:sz="4" w:space="0" w:color="000000"/>
            </w:tcBorders>
            <w:shd w:val="clear" w:color="auto" w:fill="auto"/>
            <w:tcMar>
              <w:top w:w="0" w:type="dxa"/>
              <w:left w:w="108" w:type="dxa"/>
              <w:bottom w:w="0" w:type="dxa"/>
              <w:right w:w="108" w:type="dxa"/>
            </w:tcMar>
          </w:tcPr>
          <w:p w14:paraId="588E248A" w14:textId="77777777" w:rsidR="00080C42" w:rsidRPr="00CB34A3" w:rsidRDefault="00080C42" w:rsidP="002F6E33">
            <w:pPr>
              <w:pStyle w:val="ListParagraph"/>
              <w:tabs>
                <w:tab w:val="clear" w:pos="709"/>
                <w:tab w:val="left" w:pos="731"/>
              </w:tabs>
              <w:rPr>
                <w:rFonts w:ascii="Arial" w:hAnsi="Arial" w:cs="Arial"/>
                <w:b/>
                <w:sz w:val="18"/>
                <w:szCs w:val="18"/>
                <w:lang w:val="en-GB"/>
              </w:rPr>
            </w:pPr>
          </w:p>
        </w:tc>
        <w:tc>
          <w:tcPr>
            <w:tcW w:w="2962" w:type="dxa"/>
            <w:tcBorders>
              <w:top w:val="single" w:sz="18" w:space="0" w:color="6F6F6F" w:themeColor="text1"/>
              <w:left w:val="single" w:sz="4" w:space="0" w:color="000000"/>
              <w:bottom w:val="single" w:sz="18" w:space="0" w:color="6F6F6F" w:themeColor="text1"/>
              <w:right w:val="single" w:sz="4" w:space="0" w:color="000000"/>
            </w:tcBorders>
            <w:shd w:val="clear" w:color="auto" w:fill="auto"/>
            <w:tcMar>
              <w:top w:w="0" w:type="dxa"/>
              <w:left w:w="108" w:type="dxa"/>
              <w:bottom w:w="0" w:type="dxa"/>
              <w:right w:w="108" w:type="dxa"/>
            </w:tcMar>
          </w:tcPr>
          <w:p w14:paraId="601CA15D" w14:textId="77777777" w:rsidR="00080C42" w:rsidRPr="00CB34A3" w:rsidRDefault="00080C42" w:rsidP="002F6E33">
            <w:pPr>
              <w:pStyle w:val="ListParagraph"/>
              <w:ind w:left="41"/>
              <w:rPr>
                <w:rFonts w:ascii="Arial" w:hAnsi="Arial" w:cs="Arial"/>
                <w:b/>
                <w:sz w:val="18"/>
                <w:szCs w:val="18"/>
                <w:lang w:val="en-GB"/>
              </w:rPr>
            </w:pPr>
          </w:p>
        </w:tc>
        <w:tc>
          <w:tcPr>
            <w:tcW w:w="2963" w:type="dxa"/>
            <w:tcBorders>
              <w:top w:val="single" w:sz="18" w:space="0" w:color="6F6F6F" w:themeColor="text1"/>
              <w:left w:val="single" w:sz="4" w:space="0" w:color="000000"/>
              <w:bottom w:val="single" w:sz="18" w:space="0" w:color="6F6F6F" w:themeColor="text1"/>
              <w:right w:val="single" w:sz="18" w:space="0" w:color="6F6F6F" w:themeColor="text1"/>
            </w:tcBorders>
            <w:shd w:val="clear" w:color="auto" w:fill="auto"/>
            <w:tcMar>
              <w:top w:w="0" w:type="dxa"/>
              <w:left w:w="108" w:type="dxa"/>
              <w:bottom w:w="0" w:type="dxa"/>
              <w:right w:w="108" w:type="dxa"/>
            </w:tcMar>
          </w:tcPr>
          <w:p w14:paraId="456767D1" w14:textId="77777777" w:rsidR="00080C42" w:rsidRPr="00CB34A3" w:rsidRDefault="00080C42" w:rsidP="002F6E33">
            <w:pPr>
              <w:pStyle w:val="ListParagraph"/>
              <w:ind w:left="77"/>
              <w:rPr>
                <w:rFonts w:ascii="Arial" w:hAnsi="Arial" w:cs="Arial"/>
                <w:b/>
                <w:sz w:val="18"/>
                <w:szCs w:val="18"/>
                <w:lang w:val="en-GB"/>
              </w:rPr>
            </w:pPr>
          </w:p>
        </w:tc>
      </w:tr>
    </w:tbl>
    <w:p w14:paraId="38485E10" w14:textId="77777777" w:rsidR="004C0D64" w:rsidRPr="00CB34A3" w:rsidRDefault="004C0D64">
      <w:pPr>
        <w:rPr>
          <w:lang w:val="en-GB"/>
        </w:rPr>
      </w:pPr>
      <w:r w:rsidRPr="00CB34A3">
        <w:rPr>
          <w:lang w:val="en-GB"/>
        </w:rPr>
        <w:br w:type="page"/>
      </w:r>
    </w:p>
    <w:tbl>
      <w:tblPr>
        <w:tblW w:w="8887" w:type="dxa"/>
        <w:jc w:val="center"/>
        <w:tblLayout w:type="fixed"/>
        <w:tblCellMar>
          <w:left w:w="10" w:type="dxa"/>
          <w:right w:w="10" w:type="dxa"/>
        </w:tblCellMar>
        <w:tblLook w:val="0000" w:firstRow="0" w:lastRow="0" w:firstColumn="0" w:lastColumn="0" w:noHBand="0" w:noVBand="0"/>
      </w:tblPr>
      <w:tblGrid>
        <w:gridCol w:w="1335"/>
        <w:gridCol w:w="1336"/>
        <w:gridCol w:w="992"/>
        <w:gridCol w:w="780"/>
        <w:gridCol w:w="212"/>
        <w:gridCol w:w="992"/>
        <w:gridCol w:w="993"/>
        <w:gridCol w:w="2247"/>
      </w:tblGrid>
      <w:tr w:rsidR="00080C42" w:rsidRPr="003726BE" w14:paraId="74B92F17" w14:textId="77777777" w:rsidTr="00984473">
        <w:trPr>
          <w:trHeight w:val="35"/>
          <w:jc w:val="center"/>
        </w:trPr>
        <w:tc>
          <w:tcPr>
            <w:tcW w:w="8887" w:type="dxa"/>
            <w:gridSpan w:val="8"/>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14:paraId="4B4D668D" w14:textId="77777777" w:rsidR="00080C42" w:rsidRPr="003726BE" w:rsidRDefault="00080C42" w:rsidP="001A31FB">
            <w:pPr>
              <w:pStyle w:val="ListParagraph"/>
              <w:numPr>
                <w:ilvl w:val="0"/>
                <w:numId w:val="35"/>
              </w:numPr>
              <w:suppressAutoHyphens/>
              <w:autoSpaceDN w:val="0"/>
              <w:spacing w:after="0" w:line="240" w:lineRule="auto"/>
              <w:textAlignment w:val="baseline"/>
              <w:outlineLvl w:val="9"/>
              <w:rPr>
                <w:rFonts w:ascii="Arial" w:hAnsi="Arial" w:cs="Arial"/>
                <w:b/>
                <w:color w:val="373737" w:themeColor="background1" w:themeShade="40"/>
                <w:sz w:val="18"/>
                <w:szCs w:val="18"/>
              </w:rPr>
            </w:pPr>
            <w:r w:rsidRPr="003726BE">
              <w:rPr>
                <w:rFonts w:ascii="Arial" w:hAnsi="Arial"/>
                <w:b/>
                <w:color w:val="F07E31" w:themeColor="background2"/>
                <w:sz w:val="18"/>
              </w:rPr>
              <w:lastRenderedPageBreak/>
              <w:t>Methods applied</w:t>
            </w:r>
            <w:r w:rsidRPr="003726BE">
              <w:rPr>
                <w:rStyle w:val="FootnoteReference"/>
              </w:rPr>
              <w:footnoteReference w:id="134"/>
            </w:r>
          </w:p>
          <w:p w14:paraId="736407C9" w14:textId="77777777" w:rsidR="00080C42" w:rsidRPr="003726BE" w:rsidRDefault="00080C42" w:rsidP="002F6E33">
            <w:pPr>
              <w:spacing w:after="0"/>
              <w:rPr>
                <w:rFonts w:cs="Arial"/>
                <w:b/>
                <w:color w:val="373737" w:themeColor="background1" w:themeShade="40"/>
                <w:szCs w:val="18"/>
              </w:rPr>
            </w:pPr>
          </w:p>
          <w:p w14:paraId="5F8B9EAE" w14:textId="77777777" w:rsidR="00080C42" w:rsidRPr="003726BE" w:rsidRDefault="00080C42" w:rsidP="002F6E33">
            <w:pPr>
              <w:pStyle w:val="ListParagraph"/>
              <w:suppressAutoHyphens/>
              <w:autoSpaceDN w:val="0"/>
              <w:spacing w:after="0"/>
              <w:textAlignment w:val="baseline"/>
              <w:rPr>
                <w:rFonts w:ascii="Arial" w:hAnsi="Arial" w:cs="Arial"/>
                <w:b/>
                <w:color w:val="373737" w:themeColor="background1" w:themeShade="40"/>
                <w:sz w:val="18"/>
                <w:szCs w:val="18"/>
              </w:rPr>
            </w:pPr>
            <w:r w:rsidRPr="003726BE">
              <w:rPr>
                <w:rFonts w:ascii="Arial" w:hAnsi="Arial"/>
                <w:b/>
                <w:color w:val="373737" w:themeColor="background1" w:themeShade="40"/>
                <w:sz w:val="18"/>
              </w:rPr>
              <w:t>Quantitative methods</w:t>
            </w:r>
            <w:r w:rsidRPr="003726BE">
              <w:rPr>
                <w:rStyle w:val="FootnoteReference"/>
              </w:rPr>
              <w:footnoteReference w:id="135"/>
            </w:r>
            <w:r w:rsidRPr="003726BE">
              <w:rPr>
                <w:rFonts w:ascii="Arial" w:hAnsi="Arial"/>
                <w:b/>
                <w:color w:val="373737" w:themeColor="background1" w:themeShade="40"/>
                <w:sz w:val="18"/>
              </w:rPr>
              <w:t xml:space="preserve">: </w:t>
            </w:r>
          </w:p>
          <w:p w14:paraId="0A537260" w14:textId="77777777" w:rsidR="00080C42" w:rsidRPr="00E7404C" w:rsidRDefault="00E7404C" w:rsidP="001A31FB">
            <w:pPr>
              <w:pStyle w:val="ListParagraph"/>
              <w:numPr>
                <w:ilvl w:val="2"/>
                <w:numId w:val="36"/>
              </w:numPr>
              <w:suppressAutoHyphens/>
              <w:autoSpaceDN w:val="0"/>
              <w:spacing w:after="0" w:line="240" w:lineRule="auto"/>
              <w:textAlignment w:val="baseline"/>
              <w:outlineLvl w:val="9"/>
              <w:rPr>
                <w:rFonts w:ascii="Arial" w:hAnsi="Arial" w:cs="Arial"/>
                <w:color w:val="373737" w:themeColor="background1" w:themeShade="40"/>
                <w:sz w:val="18"/>
                <w:szCs w:val="18"/>
                <w:lang w:val="en-GB"/>
              </w:rPr>
            </w:pPr>
            <w:r w:rsidRPr="00E7404C">
              <w:rPr>
                <w:rFonts w:ascii="Arial" w:hAnsi="Arial"/>
                <w:color w:val="373737" w:themeColor="background1" w:themeShade="40"/>
                <w:sz w:val="18"/>
                <w:lang w:val="en-GB"/>
              </w:rPr>
              <w:t>Reasons for using the method</w:t>
            </w:r>
            <w:r w:rsidR="00080C42" w:rsidRPr="00E7404C">
              <w:rPr>
                <w:rFonts w:ascii="Arial" w:hAnsi="Arial"/>
                <w:color w:val="373737" w:themeColor="background1" w:themeShade="40"/>
                <w:sz w:val="18"/>
                <w:lang w:val="en-GB"/>
              </w:rPr>
              <w:t xml:space="preserve"> </w:t>
            </w:r>
          </w:p>
          <w:p w14:paraId="3E577556" w14:textId="77777777" w:rsidR="00080C42" w:rsidRPr="00CB34A3" w:rsidRDefault="00080C42" w:rsidP="001A31FB">
            <w:pPr>
              <w:pStyle w:val="ListParagraph"/>
              <w:numPr>
                <w:ilvl w:val="2"/>
                <w:numId w:val="36"/>
              </w:numPr>
              <w:suppressAutoHyphens/>
              <w:autoSpaceDN w:val="0"/>
              <w:spacing w:after="0" w:line="240" w:lineRule="auto"/>
              <w:textAlignment w:val="baseline"/>
              <w:outlineLvl w:val="9"/>
              <w:rPr>
                <w:rFonts w:ascii="Arial" w:hAnsi="Arial" w:cs="Arial"/>
                <w:color w:val="373737" w:themeColor="background1" w:themeShade="40"/>
                <w:sz w:val="18"/>
                <w:szCs w:val="18"/>
                <w:lang w:val="en-GB"/>
              </w:rPr>
            </w:pPr>
            <w:r w:rsidRPr="00CB34A3">
              <w:rPr>
                <w:rFonts w:ascii="Arial" w:hAnsi="Arial"/>
                <w:color w:val="373737" w:themeColor="background1" w:themeShade="40"/>
                <w:sz w:val="18"/>
                <w:lang w:val="en-GB"/>
              </w:rPr>
              <w:t>Description of methods to calculate ratios, gross or net (if</w:t>
            </w:r>
            <w:r w:rsidRPr="00CB34A3">
              <w:rPr>
                <w:rFonts w:ascii="Arial" w:hAnsi="Arial"/>
                <w:b/>
                <w:color w:val="373737" w:themeColor="background1" w:themeShade="40"/>
                <w:sz w:val="18"/>
                <w:lang w:val="en-GB"/>
              </w:rPr>
              <w:t xml:space="preserve"> </w:t>
            </w:r>
            <w:r w:rsidRPr="00CB34A3">
              <w:rPr>
                <w:rFonts w:ascii="Arial" w:hAnsi="Arial"/>
                <w:color w:val="373737" w:themeColor="background1" w:themeShade="40"/>
                <w:sz w:val="18"/>
                <w:lang w:val="en-GB"/>
              </w:rPr>
              <w:t>applicable) values of common and programme specific indicators</w:t>
            </w:r>
            <w:r w:rsidRPr="003726BE">
              <w:rPr>
                <w:rStyle w:val="FootnoteReference"/>
              </w:rPr>
              <w:footnoteReference w:id="136"/>
            </w:r>
          </w:p>
          <w:p w14:paraId="3C3D4161" w14:textId="77777777" w:rsidR="00080C42" w:rsidRPr="00CB34A3" w:rsidRDefault="00080C42" w:rsidP="001A31FB">
            <w:pPr>
              <w:pStyle w:val="ListParagraph"/>
              <w:numPr>
                <w:ilvl w:val="2"/>
                <w:numId w:val="36"/>
              </w:numPr>
              <w:suppressAutoHyphens/>
              <w:autoSpaceDN w:val="0"/>
              <w:spacing w:after="0" w:line="240" w:lineRule="auto"/>
              <w:textAlignment w:val="baseline"/>
              <w:outlineLvl w:val="9"/>
              <w:rPr>
                <w:rFonts w:ascii="Arial" w:hAnsi="Arial" w:cs="Arial"/>
                <w:color w:val="373737" w:themeColor="background1" w:themeShade="40"/>
                <w:sz w:val="18"/>
                <w:szCs w:val="18"/>
                <w:lang w:val="en-GB"/>
              </w:rPr>
            </w:pPr>
            <w:r w:rsidRPr="00CB34A3">
              <w:rPr>
                <w:rFonts w:ascii="Arial" w:hAnsi="Arial"/>
                <w:color w:val="373737" w:themeColor="background1" w:themeShade="40"/>
                <w:sz w:val="18"/>
                <w:lang w:val="en-GB"/>
              </w:rPr>
              <w:t>Challenges in the application of described methods and solutions encountered</w:t>
            </w:r>
          </w:p>
          <w:p w14:paraId="1501F79D" w14:textId="77777777" w:rsidR="00080C42" w:rsidRPr="003726BE" w:rsidRDefault="00E7404C" w:rsidP="002F6E33">
            <w:pPr>
              <w:pStyle w:val="ListParagraph"/>
              <w:suppressAutoHyphens/>
              <w:autoSpaceDN w:val="0"/>
              <w:spacing w:after="0"/>
              <w:textAlignment w:val="baseline"/>
              <w:rPr>
                <w:rFonts w:ascii="Arial" w:hAnsi="Arial" w:cs="Arial"/>
                <w:b/>
                <w:color w:val="373737" w:themeColor="background1" w:themeShade="40"/>
                <w:sz w:val="18"/>
                <w:szCs w:val="18"/>
              </w:rPr>
            </w:pPr>
            <w:r>
              <w:rPr>
                <w:rFonts w:ascii="Arial" w:hAnsi="Arial"/>
                <w:b/>
                <w:color w:val="373737" w:themeColor="background1" w:themeShade="40"/>
                <w:sz w:val="18"/>
              </w:rPr>
              <w:t xml:space="preserve">Qualitative methods: </w:t>
            </w:r>
          </w:p>
          <w:p w14:paraId="0784FF8E" w14:textId="77777777" w:rsidR="00080C42" w:rsidRPr="00CB34A3" w:rsidRDefault="00080C42" w:rsidP="001A31FB">
            <w:pPr>
              <w:pStyle w:val="ListParagraph"/>
              <w:numPr>
                <w:ilvl w:val="2"/>
                <w:numId w:val="37"/>
              </w:numPr>
              <w:suppressAutoHyphens/>
              <w:autoSpaceDN w:val="0"/>
              <w:spacing w:after="0" w:line="240" w:lineRule="auto"/>
              <w:textAlignment w:val="baseline"/>
              <w:outlineLvl w:val="9"/>
              <w:rPr>
                <w:rFonts w:ascii="Arial" w:hAnsi="Arial" w:cs="Arial"/>
                <w:color w:val="373737" w:themeColor="background1" w:themeShade="40"/>
                <w:sz w:val="18"/>
                <w:szCs w:val="18"/>
                <w:lang w:val="en-GB"/>
              </w:rPr>
            </w:pPr>
            <w:r w:rsidRPr="00CB34A3">
              <w:rPr>
                <w:rFonts w:ascii="Arial" w:hAnsi="Arial"/>
                <w:color w:val="373737" w:themeColor="background1" w:themeShade="40"/>
                <w:sz w:val="18"/>
                <w:lang w:val="en-GB"/>
              </w:rPr>
              <w:t>Reasons for using the method</w:t>
            </w:r>
            <w:r w:rsidRPr="003726BE">
              <w:rPr>
                <w:rStyle w:val="FootnoteReference"/>
              </w:rPr>
              <w:footnoteReference w:id="137"/>
            </w:r>
          </w:p>
          <w:p w14:paraId="144CA2EF" w14:textId="77777777" w:rsidR="00080C42" w:rsidRPr="003726BE" w:rsidRDefault="00080C42" w:rsidP="001A31FB">
            <w:pPr>
              <w:pStyle w:val="ListParagraph"/>
              <w:numPr>
                <w:ilvl w:val="2"/>
                <w:numId w:val="37"/>
              </w:numPr>
              <w:suppressAutoHyphens/>
              <w:autoSpaceDN w:val="0"/>
              <w:spacing w:after="0" w:line="240" w:lineRule="auto"/>
              <w:textAlignment w:val="baseline"/>
              <w:outlineLvl w:val="9"/>
              <w:rPr>
                <w:rFonts w:ascii="Arial" w:hAnsi="Arial" w:cs="Arial"/>
                <w:color w:val="373737" w:themeColor="background1" w:themeShade="40"/>
                <w:sz w:val="18"/>
                <w:szCs w:val="18"/>
              </w:rPr>
            </w:pPr>
            <w:r w:rsidRPr="003726BE">
              <w:rPr>
                <w:rFonts w:ascii="Arial" w:hAnsi="Arial"/>
                <w:color w:val="373737" w:themeColor="background1" w:themeShade="40"/>
                <w:sz w:val="18"/>
              </w:rPr>
              <w:t>Description of methods used</w:t>
            </w:r>
            <w:r w:rsidRPr="003726BE">
              <w:rPr>
                <w:rStyle w:val="FootnoteReference"/>
              </w:rPr>
              <w:footnoteReference w:id="138"/>
            </w:r>
          </w:p>
          <w:p w14:paraId="5B137514" w14:textId="77777777" w:rsidR="00080C42" w:rsidRPr="00CB34A3" w:rsidRDefault="00080C42" w:rsidP="001A31FB">
            <w:pPr>
              <w:pStyle w:val="ListParagraph"/>
              <w:numPr>
                <w:ilvl w:val="2"/>
                <w:numId w:val="37"/>
              </w:numPr>
              <w:suppressAutoHyphens/>
              <w:autoSpaceDN w:val="0"/>
              <w:spacing w:after="0" w:line="240" w:lineRule="auto"/>
              <w:textAlignment w:val="baseline"/>
              <w:outlineLvl w:val="9"/>
              <w:rPr>
                <w:rFonts w:ascii="Arial" w:hAnsi="Arial" w:cs="Arial"/>
                <w:color w:val="373737" w:themeColor="background1" w:themeShade="40"/>
                <w:sz w:val="18"/>
                <w:szCs w:val="18"/>
                <w:lang w:val="en-GB"/>
              </w:rPr>
            </w:pPr>
            <w:r w:rsidRPr="00CB34A3">
              <w:rPr>
                <w:rFonts w:ascii="Arial" w:hAnsi="Arial"/>
                <w:color w:val="373737" w:themeColor="background1" w:themeShade="40"/>
                <w:sz w:val="18"/>
                <w:lang w:val="en-GB"/>
              </w:rPr>
              <w:t>Challenges in the application of described methods and solutions encountered</w:t>
            </w:r>
          </w:p>
          <w:p w14:paraId="147F5A55" w14:textId="77777777" w:rsidR="00080C42" w:rsidRPr="003726BE" w:rsidRDefault="00080C42" w:rsidP="002F6E33">
            <w:pPr>
              <w:spacing w:after="0"/>
              <w:rPr>
                <w:rFonts w:cs="Arial"/>
                <w:color w:val="373737" w:themeColor="background1" w:themeShade="40"/>
                <w:szCs w:val="18"/>
              </w:rPr>
            </w:pPr>
            <w:r w:rsidRPr="00CB34A3">
              <w:rPr>
                <w:i/>
                <w:color w:val="F7A833" w:themeColor="accent5"/>
                <w:lang w:val="en-GB"/>
              </w:rPr>
              <w:t xml:space="preserve">[A maximum of 7,000 characters = approx. </w:t>
            </w:r>
            <w:r w:rsidRPr="003726BE">
              <w:rPr>
                <w:i/>
                <w:color w:val="F7A833" w:themeColor="accent5"/>
              </w:rPr>
              <w:t>2 pages – Mandatory]</w:t>
            </w:r>
          </w:p>
        </w:tc>
      </w:tr>
      <w:tr w:rsidR="00080C42" w:rsidRPr="003726BE" w14:paraId="59046F3C" w14:textId="77777777" w:rsidTr="00984473">
        <w:trPr>
          <w:trHeight w:val="285"/>
          <w:jc w:val="center"/>
        </w:trPr>
        <w:tc>
          <w:tcPr>
            <w:tcW w:w="8887" w:type="dxa"/>
            <w:gridSpan w:val="8"/>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14:paraId="7F5078BE" w14:textId="77777777" w:rsidR="00080C42" w:rsidRPr="00CB34A3" w:rsidRDefault="00080C42" w:rsidP="001A31FB">
            <w:pPr>
              <w:pStyle w:val="ListParagraph"/>
              <w:numPr>
                <w:ilvl w:val="0"/>
                <w:numId w:val="35"/>
              </w:numPr>
              <w:suppressAutoHyphens/>
              <w:autoSpaceDN w:val="0"/>
              <w:spacing w:after="0"/>
              <w:textAlignment w:val="baseline"/>
              <w:rPr>
                <w:rFonts w:ascii="Arial" w:hAnsi="Arial" w:cs="Arial"/>
                <w:b/>
                <w:sz w:val="18"/>
                <w:szCs w:val="18"/>
                <w:lang w:val="en-GB"/>
              </w:rPr>
            </w:pPr>
            <w:r w:rsidRPr="00CB34A3">
              <w:rPr>
                <w:rFonts w:ascii="Arial" w:hAnsi="Arial"/>
                <w:b/>
                <w:color w:val="ED7D31"/>
                <w:sz w:val="18"/>
                <w:lang w:val="en-GB"/>
              </w:rPr>
              <w:t>Quantitative values of indicators</w:t>
            </w:r>
            <w:r w:rsidRPr="003726BE">
              <w:rPr>
                <w:rStyle w:val="FootnoteReference"/>
              </w:rPr>
              <w:footnoteReference w:id="139"/>
            </w:r>
            <w:r w:rsidRPr="00CB34A3">
              <w:rPr>
                <w:rFonts w:ascii="Arial" w:hAnsi="Arial"/>
                <w:b/>
                <w:color w:val="ED7D31"/>
                <w:sz w:val="18"/>
                <w:lang w:val="en-GB"/>
              </w:rPr>
              <w:t xml:space="preserve"> and data sources </w:t>
            </w:r>
          </w:p>
          <w:p w14:paraId="4D3506BC" w14:textId="77777777" w:rsidR="00080C42" w:rsidRPr="00CB34A3" w:rsidRDefault="00080C42" w:rsidP="002F6E33">
            <w:pPr>
              <w:spacing w:after="0"/>
              <w:rPr>
                <w:rFonts w:cs="Arial"/>
                <w:b/>
                <w:szCs w:val="18"/>
                <w:lang w:val="en-GB"/>
              </w:rPr>
            </w:pPr>
          </w:p>
          <w:p w14:paraId="065041ED" w14:textId="77777777" w:rsidR="00080C42" w:rsidRPr="003726BE" w:rsidRDefault="00080C42" w:rsidP="002F6E33">
            <w:pPr>
              <w:spacing w:after="0"/>
              <w:rPr>
                <w:rFonts w:cs="Arial"/>
                <w:i/>
                <w:color w:val="F7A833" w:themeColor="accent5"/>
                <w:szCs w:val="18"/>
              </w:rPr>
            </w:pPr>
            <w:r w:rsidRPr="003726BE">
              <w:rPr>
                <w:i/>
                <w:color w:val="F7A833" w:themeColor="accent5"/>
              </w:rPr>
              <w:t>[Mandatory]</w:t>
            </w:r>
          </w:p>
          <w:p w14:paraId="4FFDDC97" w14:textId="77777777" w:rsidR="00080C42" w:rsidRPr="003726BE" w:rsidRDefault="00080C42" w:rsidP="002F6E33">
            <w:pPr>
              <w:spacing w:after="0"/>
              <w:rPr>
                <w:rFonts w:cs="Arial"/>
                <w:b/>
                <w:szCs w:val="18"/>
              </w:rPr>
            </w:pPr>
          </w:p>
        </w:tc>
      </w:tr>
      <w:tr w:rsidR="00080C42" w:rsidRPr="003726BE" w14:paraId="393EF322" w14:textId="77777777" w:rsidTr="00984473">
        <w:trPr>
          <w:trHeight w:val="572"/>
          <w:jc w:val="center"/>
        </w:trPr>
        <w:tc>
          <w:tcPr>
            <w:tcW w:w="2671" w:type="dxa"/>
            <w:gridSpan w:val="2"/>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14:paraId="1A2C3D98" w14:textId="77777777" w:rsidR="00080C42" w:rsidRPr="003726BE" w:rsidRDefault="00080C42" w:rsidP="002F6E33">
            <w:pPr>
              <w:rPr>
                <w:rFonts w:cs="Arial"/>
                <w:b/>
                <w:color w:val="373737" w:themeColor="background1" w:themeShade="40"/>
                <w:szCs w:val="18"/>
              </w:rPr>
            </w:pPr>
            <w:r w:rsidRPr="003726BE">
              <w:rPr>
                <w:b/>
                <w:color w:val="373737" w:themeColor="background1" w:themeShade="40"/>
              </w:rPr>
              <w:t xml:space="preserve">Indicator </w:t>
            </w:r>
          </w:p>
        </w:tc>
        <w:tc>
          <w:tcPr>
            <w:tcW w:w="992"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14:paraId="2E43C02B" w14:textId="77777777" w:rsidR="00080C42" w:rsidRPr="003726BE" w:rsidRDefault="00080C42" w:rsidP="00984473">
            <w:pPr>
              <w:spacing w:after="0"/>
              <w:jc w:val="left"/>
              <w:rPr>
                <w:rFonts w:cs="Arial"/>
                <w:b/>
                <w:color w:val="373737" w:themeColor="background1" w:themeShade="40"/>
                <w:szCs w:val="18"/>
              </w:rPr>
            </w:pPr>
            <w:r w:rsidRPr="003726BE">
              <w:rPr>
                <w:b/>
                <w:color w:val="373737" w:themeColor="background1" w:themeShade="40"/>
              </w:rPr>
              <w:t>Absolute value</w:t>
            </w:r>
            <w:r w:rsidRPr="003726BE">
              <w:rPr>
                <w:rStyle w:val="FootnoteReference"/>
              </w:rPr>
              <w:footnoteReference w:id="140"/>
            </w:r>
          </w:p>
        </w:tc>
        <w:tc>
          <w:tcPr>
            <w:tcW w:w="992" w:type="dxa"/>
            <w:gridSpan w:val="2"/>
            <w:tcBorders>
              <w:top w:val="single" w:sz="18" w:space="0" w:color="6F6F6F" w:themeColor="text1"/>
              <w:left w:val="single" w:sz="4" w:space="0" w:color="auto"/>
              <w:bottom w:val="single" w:sz="18" w:space="0" w:color="6F6F6F" w:themeColor="text1"/>
              <w:right w:val="single" w:sz="4" w:space="0" w:color="auto"/>
            </w:tcBorders>
            <w:shd w:val="clear" w:color="auto" w:fill="auto"/>
          </w:tcPr>
          <w:p w14:paraId="78300430" w14:textId="77777777" w:rsidR="00080C42" w:rsidRPr="003726BE" w:rsidRDefault="00080C42" w:rsidP="00984473">
            <w:pPr>
              <w:spacing w:after="0"/>
              <w:jc w:val="left"/>
              <w:rPr>
                <w:rFonts w:cs="Arial"/>
                <w:b/>
                <w:color w:val="373737" w:themeColor="background1" w:themeShade="40"/>
                <w:szCs w:val="18"/>
              </w:rPr>
            </w:pPr>
            <w:r w:rsidRPr="003726BE">
              <w:rPr>
                <w:b/>
                <w:color w:val="373737" w:themeColor="background1" w:themeShade="40"/>
              </w:rPr>
              <w:t>Ratio value</w:t>
            </w:r>
            <w:r w:rsidRPr="003726BE">
              <w:rPr>
                <w:rStyle w:val="FootnoteReference"/>
              </w:rPr>
              <w:footnoteReference w:id="141"/>
            </w:r>
          </w:p>
        </w:tc>
        <w:tc>
          <w:tcPr>
            <w:tcW w:w="992"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14:paraId="651DAC15" w14:textId="77777777" w:rsidR="00080C42" w:rsidRPr="003726BE" w:rsidRDefault="00080C42" w:rsidP="00984473">
            <w:pPr>
              <w:spacing w:after="0"/>
              <w:jc w:val="left"/>
              <w:rPr>
                <w:rFonts w:cs="Arial"/>
                <w:b/>
                <w:color w:val="373737" w:themeColor="background1" w:themeShade="40"/>
                <w:szCs w:val="18"/>
              </w:rPr>
            </w:pPr>
            <w:r w:rsidRPr="003726BE">
              <w:rPr>
                <w:b/>
                <w:color w:val="373737" w:themeColor="background1" w:themeShade="40"/>
              </w:rPr>
              <w:t>Calculated gross value</w:t>
            </w:r>
            <w:r w:rsidRPr="003726BE">
              <w:rPr>
                <w:rStyle w:val="FootnoteReference"/>
              </w:rPr>
              <w:footnoteReference w:id="142"/>
            </w:r>
          </w:p>
        </w:tc>
        <w:tc>
          <w:tcPr>
            <w:tcW w:w="993"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14:paraId="3E5F8B34" w14:textId="77777777" w:rsidR="00080C42" w:rsidRPr="003726BE" w:rsidRDefault="00080C42" w:rsidP="00984473">
            <w:pPr>
              <w:spacing w:after="0"/>
              <w:jc w:val="left"/>
              <w:rPr>
                <w:rFonts w:cs="Arial"/>
                <w:b/>
                <w:color w:val="373737" w:themeColor="background1" w:themeShade="40"/>
                <w:szCs w:val="18"/>
              </w:rPr>
            </w:pPr>
            <w:r w:rsidRPr="003726BE">
              <w:rPr>
                <w:b/>
                <w:color w:val="373737" w:themeColor="background1" w:themeShade="40"/>
              </w:rPr>
              <w:t>Calculated net value</w:t>
            </w:r>
            <w:r w:rsidRPr="003726BE">
              <w:rPr>
                <w:rStyle w:val="FootnoteReference"/>
              </w:rPr>
              <w:footnoteReference w:id="143"/>
            </w:r>
          </w:p>
        </w:tc>
        <w:tc>
          <w:tcPr>
            <w:tcW w:w="2247"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14:paraId="726C211B" w14:textId="77777777" w:rsidR="00080C42" w:rsidRPr="003726BE" w:rsidRDefault="00080C42" w:rsidP="00984473">
            <w:pPr>
              <w:jc w:val="left"/>
              <w:rPr>
                <w:rFonts w:cs="Arial"/>
                <w:b/>
                <w:color w:val="373737" w:themeColor="background1" w:themeShade="40"/>
                <w:szCs w:val="18"/>
              </w:rPr>
            </w:pPr>
            <w:r w:rsidRPr="003726BE">
              <w:rPr>
                <w:b/>
                <w:color w:val="373737" w:themeColor="background1" w:themeShade="40"/>
              </w:rPr>
              <w:t>Data and information sources</w:t>
            </w:r>
            <w:r w:rsidRPr="003726BE">
              <w:rPr>
                <w:rStyle w:val="FootnoteReference"/>
              </w:rPr>
              <w:footnoteReference w:id="144"/>
            </w:r>
          </w:p>
        </w:tc>
      </w:tr>
      <w:tr w:rsidR="00080C42" w:rsidRPr="003726BE" w14:paraId="1E744716" w14:textId="77777777" w:rsidTr="00984473">
        <w:trPr>
          <w:trHeight w:val="1050"/>
          <w:jc w:val="center"/>
        </w:trPr>
        <w:tc>
          <w:tcPr>
            <w:tcW w:w="1335" w:type="dxa"/>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14:paraId="3F022F9A" w14:textId="77777777" w:rsidR="00080C42" w:rsidRPr="003726BE" w:rsidRDefault="00080C42" w:rsidP="002F6E33">
            <w:pPr>
              <w:rPr>
                <w:rStyle w:val="FootnoteReference"/>
                <w:sz w:val="18"/>
                <w:szCs w:val="18"/>
              </w:rPr>
            </w:pPr>
            <w:r w:rsidRPr="003726BE">
              <w:rPr>
                <w:b/>
                <w:color w:val="373737" w:themeColor="background1" w:themeShade="40"/>
              </w:rPr>
              <w:t xml:space="preserve">Common output indicators </w:t>
            </w:r>
            <w:r w:rsidRPr="003726BE">
              <w:rPr>
                <w:rStyle w:val="FootnoteReference"/>
              </w:rPr>
              <w:footnoteReference w:id="145"/>
            </w:r>
          </w:p>
        </w:tc>
        <w:tc>
          <w:tcPr>
            <w:tcW w:w="1336"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14:paraId="51E8EF07" w14:textId="77777777" w:rsidR="00080C42" w:rsidRPr="003726BE" w:rsidRDefault="00080C42" w:rsidP="002F6E33">
            <w:pPr>
              <w:spacing w:after="0"/>
              <w:rPr>
                <w:rFonts w:cs="Arial"/>
                <w:b/>
                <w:szCs w:val="18"/>
              </w:rPr>
            </w:pPr>
          </w:p>
        </w:tc>
        <w:tc>
          <w:tcPr>
            <w:tcW w:w="992"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14:paraId="7026AF57" w14:textId="77777777" w:rsidR="00080C42" w:rsidRPr="003726BE" w:rsidRDefault="00080C42" w:rsidP="002F6E33">
            <w:pPr>
              <w:pStyle w:val="ListParagraph"/>
              <w:spacing w:after="0"/>
              <w:ind w:left="2160"/>
              <w:rPr>
                <w:rFonts w:ascii="Arial" w:hAnsi="Arial" w:cs="Arial"/>
                <w:b/>
                <w:color w:val="ED7D31"/>
                <w:sz w:val="18"/>
                <w:szCs w:val="18"/>
              </w:rPr>
            </w:pPr>
          </w:p>
        </w:tc>
        <w:tc>
          <w:tcPr>
            <w:tcW w:w="992" w:type="dxa"/>
            <w:gridSpan w:val="2"/>
            <w:tcBorders>
              <w:top w:val="single" w:sz="18" w:space="0" w:color="6F6F6F" w:themeColor="text1"/>
              <w:left w:val="single" w:sz="4" w:space="0" w:color="auto"/>
              <w:bottom w:val="single" w:sz="18" w:space="0" w:color="6F6F6F" w:themeColor="text1"/>
              <w:right w:val="single" w:sz="4" w:space="0" w:color="auto"/>
            </w:tcBorders>
            <w:shd w:val="reverseDiagStripe" w:color="auto" w:fill="DDDDDD"/>
          </w:tcPr>
          <w:p w14:paraId="1721879B" w14:textId="77777777" w:rsidR="00080C42" w:rsidRPr="003726BE" w:rsidRDefault="00080C42" w:rsidP="002F6E33">
            <w:pPr>
              <w:pStyle w:val="ListParagraph"/>
              <w:spacing w:after="0"/>
              <w:ind w:left="2160"/>
              <w:rPr>
                <w:rFonts w:ascii="Arial" w:hAnsi="Arial" w:cs="Arial"/>
                <w:b/>
                <w:color w:val="373737" w:themeColor="background1" w:themeShade="40"/>
                <w:sz w:val="18"/>
                <w:szCs w:val="18"/>
              </w:rPr>
            </w:pPr>
          </w:p>
        </w:tc>
        <w:tc>
          <w:tcPr>
            <w:tcW w:w="992" w:type="dxa"/>
            <w:tcBorders>
              <w:top w:val="single" w:sz="18" w:space="0" w:color="6F6F6F" w:themeColor="text1"/>
              <w:left w:val="single" w:sz="4" w:space="0" w:color="auto"/>
              <w:bottom w:val="single" w:sz="18" w:space="0" w:color="6F6F6F" w:themeColor="text1"/>
              <w:right w:val="single" w:sz="4" w:space="0" w:color="auto"/>
            </w:tcBorders>
            <w:shd w:val="reverseDiagStripe" w:color="auto" w:fill="DDDDDD"/>
          </w:tcPr>
          <w:p w14:paraId="7C5C0778" w14:textId="77777777" w:rsidR="00080C42" w:rsidRPr="003726BE" w:rsidRDefault="00080C42" w:rsidP="002F6E33">
            <w:pPr>
              <w:pStyle w:val="ListParagraph"/>
              <w:spacing w:after="0"/>
              <w:ind w:left="2160"/>
              <w:rPr>
                <w:rFonts w:ascii="Arial" w:hAnsi="Arial" w:cs="Arial"/>
                <w:b/>
                <w:color w:val="373737" w:themeColor="background1" w:themeShade="40"/>
                <w:sz w:val="18"/>
                <w:szCs w:val="18"/>
              </w:rPr>
            </w:pPr>
          </w:p>
        </w:tc>
        <w:tc>
          <w:tcPr>
            <w:tcW w:w="993" w:type="dxa"/>
            <w:tcBorders>
              <w:top w:val="single" w:sz="18" w:space="0" w:color="6F6F6F" w:themeColor="text1"/>
              <w:left w:val="single" w:sz="4" w:space="0" w:color="auto"/>
              <w:bottom w:val="single" w:sz="18" w:space="0" w:color="6F6F6F" w:themeColor="text1"/>
              <w:right w:val="single" w:sz="4" w:space="0" w:color="auto"/>
            </w:tcBorders>
            <w:shd w:val="reverseDiagStripe" w:color="auto" w:fill="DDDDDD"/>
          </w:tcPr>
          <w:p w14:paraId="71976F57" w14:textId="77777777" w:rsidR="00080C42" w:rsidRPr="003726BE" w:rsidRDefault="00080C42" w:rsidP="002F6E33">
            <w:pPr>
              <w:pStyle w:val="ListParagraph"/>
              <w:spacing w:after="0"/>
              <w:ind w:left="2160"/>
              <w:rPr>
                <w:rFonts w:ascii="Arial" w:hAnsi="Arial" w:cs="Arial"/>
                <w:b/>
                <w:color w:val="373737" w:themeColor="background1" w:themeShade="40"/>
                <w:sz w:val="18"/>
                <w:szCs w:val="18"/>
              </w:rPr>
            </w:pPr>
          </w:p>
        </w:tc>
        <w:tc>
          <w:tcPr>
            <w:tcW w:w="2247"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14:paraId="59975A69" w14:textId="77777777" w:rsidR="00080C42" w:rsidRPr="003726BE" w:rsidRDefault="00080C42" w:rsidP="001818F5">
            <w:pPr>
              <w:pStyle w:val="ListParagraph"/>
              <w:spacing w:after="0"/>
              <w:ind w:left="130" w:firstLine="0"/>
              <w:rPr>
                <w:rFonts w:ascii="Arial" w:hAnsi="Arial" w:cs="Arial"/>
                <w:b/>
                <w:color w:val="ED7D31"/>
                <w:sz w:val="18"/>
                <w:szCs w:val="18"/>
              </w:rPr>
            </w:pPr>
          </w:p>
        </w:tc>
      </w:tr>
      <w:tr w:rsidR="00080C42" w:rsidRPr="003726BE" w14:paraId="6090273D" w14:textId="77777777" w:rsidTr="00984473">
        <w:trPr>
          <w:trHeight w:val="555"/>
          <w:jc w:val="center"/>
        </w:trPr>
        <w:tc>
          <w:tcPr>
            <w:tcW w:w="1335" w:type="dxa"/>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14:paraId="6DD7E1C5" w14:textId="77777777" w:rsidR="00080C42" w:rsidRPr="003726BE" w:rsidRDefault="00080C42" w:rsidP="002F6E33">
            <w:pPr>
              <w:rPr>
                <w:rFonts w:cs="Arial"/>
                <w:b/>
                <w:color w:val="373737" w:themeColor="background1" w:themeShade="40"/>
                <w:szCs w:val="18"/>
              </w:rPr>
            </w:pPr>
            <w:r w:rsidRPr="003726BE">
              <w:rPr>
                <w:b/>
                <w:color w:val="373737" w:themeColor="background1" w:themeShade="40"/>
              </w:rPr>
              <w:t xml:space="preserve">Programme specific output indicators </w:t>
            </w:r>
            <w:r w:rsidRPr="003726BE">
              <w:rPr>
                <w:rStyle w:val="FootnoteReference"/>
              </w:rPr>
              <w:footnoteReference w:id="146"/>
            </w:r>
          </w:p>
        </w:tc>
        <w:tc>
          <w:tcPr>
            <w:tcW w:w="1336"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14:paraId="0DFD270C" w14:textId="77777777" w:rsidR="00080C42" w:rsidRPr="003726BE" w:rsidRDefault="00080C42" w:rsidP="002F6E33">
            <w:pPr>
              <w:spacing w:after="0"/>
              <w:rPr>
                <w:rFonts w:cs="Arial"/>
                <w:b/>
                <w:szCs w:val="18"/>
              </w:rPr>
            </w:pPr>
          </w:p>
        </w:tc>
        <w:tc>
          <w:tcPr>
            <w:tcW w:w="992"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14:paraId="43CFC12A" w14:textId="77777777" w:rsidR="00080C42" w:rsidRPr="003726BE" w:rsidRDefault="00080C42" w:rsidP="002F6E33">
            <w:pPr>
              <w:pStyle w:val="ListParagraph"/>
              <w:spacing w:after="0"/>
              <w:ind w:left="2160"/>
              <w:rPr>
                <w:rFonts w:ascii="Arial" w:hAnsi="Arial" w:cs="Arial"/>
                <w:b/>
                <w:color w:val="ED7D31"/>
                <w:sz w:val="18"/>
                <w:szCs w:val="18"/>
              </w:rPr>
            </w:pPr>
          </w:p>
        </w:tc>
        <w:tc>
          <w:tcPr>
            <w:tcW w:w="992" w:type="dxa"/>
            <w:gridSpan w:val="2"/>
            <w:tcBorders>
              <w:top w:val="single" w:sz="18" w:space="0" w:color="6F6F6F" w:themeColor="text1"/>
              <w:left w:val="single" w:sz="4" w:space="0" w:color="auto"/>
              <w:bottom w:val="single" w:sz="18" w:space="0" w:color="6F6F6F" w:themeColor="text1"/>
              <w:right w:val="single" w:sz="4" w:space="0" w:color="auto"/>
            </w:tcBorders>
            <w:shd w:val="reverseDiagStripe" w:color="auto" w:fill="DDDDDD"/>
          </w:tcPr>
          <w:p w14:paraId="14323EE1" w14:textId="77777777" w:rsidR="00080C42" w:rsidRPr="003726BE" w:rsidRDefault="00080C42" w:rsidP="002F6E33">
            <w:pPr>
              <w:pStyle w:val="ListParagraph"/>
              <w:spacing w:after="0"/>
              <w:ind w:left="2160"/>
              <w:rPr>
                <w:rFonts w:ascii="Arial" w:hAnsi="Arial" w:cs="Arial"/>
                <w:b/>
                <w:color w:val="373737" w:themeColor="background1" w:themeShade="40"/>
                <w:sz w:val="18"/>
                <w:szCs w:val="18"/>
              </w:rPr>
            </w:pPr>
          </w:p>
        </w:tc>
        <w:tc>
          <w:tcPr>
            <w:tcW w:w="992" w:type="dxa"/>
            <w:tcBorders>
              <w:top w:val="single" w:sz="18" w:space="0" w:color="6F6F6F" w:themeColor="text1"/>
              <w:left w:val="single" w:sz="4" w:space="0" w:color="auto"/>
              <w:bottom w:val="single" w:sz="18" w:space="0" w:color="6F6F6F" w:themeColor="text1"/>
              <w:right w:val="single" w:sz="4" w:space="0" w:color="auto"/>
            </w:tcBorders>
            <w:shd w:val="reverseDiagStripe" w:color="auto" w:fill="DDDDDD"/>
          </w:tcPr>
          <w:p w14:paraId="66A2F050" w14:textId="77777777" w:rsidR="00080C42" w:rsidRPr="003726BE" w:rsidRDefault="00080C42" w:rsidP="002F6E33">
            <w:pPr>
              <w:pStyle w:val="ListParagraph"/>
              <w:spacing w:after="0"/>
              <w:ind w:left="2160"/>
              <w:rPr>
                <w:rFonts w:ascii="Arial" w:hAnsi="Arial" w:cs="Arial"/>
                <w:b/>
                <w:color w:val="373737" w:themeColor="background1" w:themeShade="40"/>
                <w:sz w:val="18"/>
                <w:szCs w:val="18"/>
              </w:rPr>
            </w:pPr>
          </w:p>
        </w:tc>
        <w:tc>
          <w:tcPr>
            <w:tcW w:w="993" w:type="dxa"/>
            <w:tcBorders>
              <w:top w:val="single" w:sz="18" w:space="0" w:color="6F6F6F" w:themeColor="text1"/>
              <w:left w:val="single" w:sz="4" w:space="0" w:color="auto"/>
              <w:bottom w:val="single" w:sz="18" w:space="0" w:color="6F6F6F" w:themeColor="text1"/>
              <w:right w:val="single" w:sz="4" w:space="0" w:color="auto"/>
            </w:tcBorders>
            <w:shd w:val="reverseDiagStripe" w:color="auto" w:fill="DDDDDD"/>
          </w:tcPr>
          <w:p w14:paraId="13EA1E35" w14:textId="77777777" w:rsidR="00080C42" w:rsidRPr="003726BE" w:rsidRDefault="00080C42" w:rsidP="002F6E33">
            <w:pPr>
              <w:pStyle w:val="ListParagraph"/>
              <w:spacing w:after="0"/>
              <w:ind w:left="2160"/>
              <w:rPr>
                <w:rFonts w:ascii="Arial" w:hAnsi="Arial" w:cs="Arial"/>
                <w:b/>
                <w:color w:val="373737" w:themeColor="background1" w:themeShade="40"/>
                <w:sz w:val="18"/>
                <w:szCs w:val="18"/>
              </w:rPr>
            </w:pPr>
          </w:p>
        </w:tc>
        <w:tc>
          <w:tcPr>
            <w:tcW w:w="2247"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14:paraId="1795955F" w14:textId="77777777" w:rsidR="00080C42" w:rsidRPr="003726BE" w:rsidRDefault="00080C42" w:rsidP="001818F5">
            <w:pPr>
              <w:pStyle w:val="ListParagraph"/>
              <w:spacing w:after="0"/>
              <w:ind w:left="130" w:firstLine="0"/>
              <w:rPr>
                <w:rFonts w:ascii="Arial" w:hAnsi="Arial" w:cs="Arial"/>
                <w:b/>
                <w:color w:val="ED7D31"/>
                <w:sz w:val="18"/>
                <w:szCs w:val="18"/>
              </w:rPr>
            </w:pPr>
          </w:p>
        </w:tc>
      </w:tr>
      <w:tr w:rsidR="00080C42" w:rsidRPr="003726BE" w14:paraId="73FCEF61" w14:textId="77777777" w:rsidTr="00984473">
        <w:trPr>
          <w:trHeight w:val="291"/>
          <w:jc w:val="center"/>
        </w:trPr>
        <w:tc>
          <w:tcPr>
            <w:tcW w:w="1335" w:type="dxa"/>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14:paraId="153E452D" w14:textId="77777777" w:rsidR="00080C42" w:rsidRPr="003726BE" w:rsidRDefault="00080C42" w:rsidP="002F6E33">
            <w:pPr>
              <w:rPr>
                <w:rFonts w:cs="Arial"/>
                <w:b/>
                <w:color w:val="373737" w:themeColor="background1" w:themeShade="40"/>
                <w:szCs w:val="18"/>
              </w:rPr>
            </w:pPr>
            <w:r w:rsidRPr="003726BE">
              <w:rPr>
                <w:b/>
                <w:color w:val="373737" w:themeColor="background1" w:themeShade="40"/>
              </w:rPr>
              <w:t>Common indicators</w:t>
            </w:r>
            <w:r w:rsidRPr="003726BE">
              <w:rPr>
                <w:rStyle w:val="FootnoteReference"/>
              </w:rPr>
              <w:footnoteReference w:id="147"/>
            </w:r>
          </w:p>
        </w:tc>
        <w:tc>
          <w:tcPr>
            <w:tcW w:w="1336"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14:paraId="10F0860C" w14:textId="77777777" w:rsidR="00080C42" w:rsidRPr="003726BE" w:rsidRDefault="00080C42" w:rsidP="001A31FB">
            <w:pPr>
              <w:pStyle w:val="H-Heading2"/>
              <w:numPr>
                <w:ilvl w:val="0"/>
                <w:numId w:val="30"/>
              </w:numPr>
              <w:suppressAutoHyphens/>
              <w:autoSpaceDN w:val="0"/>
              <w:spacing w:before="0" w:after="0" w:line="240" w:lineRule="auto"/>
              <w:ind w:left="0"/>
              <w:textAlignment w:val="baseline"/>
              <w:rPr>
                <w:rFonts w:ascii="Arial" w:hAnsi="Arial" w:cs="Arial"/>
                <w:bCs w:val="0"/>
                <w:color w:val="auto"/>
                <w:sz w:val="18"/>
                <w:szCs w:val="18"/>
              </w:rPr>
            </w:pPr>
          </w:p>
        </w:tc>
        <w:tc>
          <w:tcPr>
            <w:tcW w:w="992"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14:paraId="765344C3" w14:textId="77777777" w:rsidR="00080C42" w:rsidRPr="003726BE" w:rsidRDefault="00080C42" w:rsidP="002F6E33">
            <w:pPr>
              <w:pStyle w:val="ListParagraph"/>
              <w:spacing w:after="0"/>
              <w:ind w:left="2160"/>
              <w:rPr>
                <w:rFonts w:ascii="Arial" w:hAnsi="Arial" w:cs="Arial"/>
                <w:b/>
                <w:color w:val="ED7D31"/>
                <w:sz w:val="18"/>
                <w:szCs w:val="18"/>
              </w:rPr>
            </w:pPr>
          </w:p>
        </w:tc>
        <w:tc>
          <w:tcPr>
            <w:tcW w:w="992" w:type="dxa"/>
            <w:gridSpan w:val="2"/>
            <w:tcBorders>
              <w:top w:val="single" w:sz="18" w:space="0" w:color="6F6F6F" w:themeColor="text1"/>
              <w:left w:val="single" w:sz="4" w:space="0" w:color="auto"/>
              <w:bottom w:val="single" w:sz="18" w:space="0" w:color="6F6F6F" w:themeColor="text1"/>
              <w:right w:val="single" w:sz="4" w:space="0" w:color="auto"/>
            </w:tcBorders>
            <w:shd w:val="clear" w:color="auto" w:fill="auto"/>
          </w:tcPr>
          <w:p w14:paraId="7381D4D6" w14:textId="77777777" w:rsidR="00080C42" w:rsidRPr="003726BE" w:rsidRDefault="00080C42" w:rsidP="002F6E33">
            <w:pPr>
              <w:pStyle w:val="ListParagraph"/>
              <w:spacing w:after="0"/>
              <w:ind w:left="2160"/>
              <w:rPr>
                <w:rFonts w:ascii="Arial" w:hAnsi="Arial" w:cs="Arial"/>
                <w:b/>
                <w:color w:val="ED7D31"/>
                <w:sz w:val="18"/>
                <w:szCs w:val="18"/>
              </w:rPr>
            </w:pPr>
          </w:p>
        </w:tc>
        <w:tc>
          <w:tcPr>
            <w:tcW w:w="992"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14:paraId="56CF1A70" w14:textId="77777777" w:rsidR="00080C42" w:rsidRPr="003726BE" w:rsidRDefault="00080C42" w:rsidP="002F6E33">
            <w:pPr>
              <w:pStyle w:val="ListParagraph"/>
              <w:spacing w:after="0"/>
              <w:ind w:left="2160"/>
              <w:rPr>
                <w:rFonts w:ascii="Arial" w:hAnsi="Arial" w:cs="Arial"/>
                <w:b/>
                <w:color w:val="ED7D31"/>
                <w:sz w:val="18"/>
                <w:szCs w:val="18"/>
              </w:rPr>
            </w:pPr>
          </w:p>
        </w:tc>
        <w:tc>
          <w:tcPr>
            <w:tcW w:w="993"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14:paraId="62362EE6" w14:textId="77777777" w:rsidR="00080C42" w:rsidRPr="003726BE" w:rsidRDefault="00080C42" w:rsidP="002F6E33">
            <w:pPr>
              <w:pStyle w:val="ListParagraph"/>
              <w:spacing w:after="0"/>
              <w:ind w:left="2160"/>
              <w:rPr>
                <w:rFonts w:ascii="Arial" w:hAnsi="Arial" w:cs="Arial"/>
                <w:b/>
                <w:color w:val="ED7D31"/>
                <w:sz w:val="18"/>
                <w:szCs w:val="18"/>
              </w:rPr>
            </w:pPr>
          </w:p>
        </w:tc>
        <w:tc>
          <w:tcPr>
            <w:tcW w:w="2247"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14:paraId="53B22331" w14:textId="77777777" w:rsidR="00080C42" w:rsidRPr="003726BE" w:rsidRDefault="00080C42" w:rsidP="001818F5">
            <w:pPr>
              <w:pStyle w:val="ListParagraph"/>
              <w:spacing w:after="0"/>
              <w:ind w:left="130" w:firstLine="0"/>
              <w:rPr>
                <w:rFonts w:ascii="Arial" w:hAnsi="Arial" w:cs="Arial"/>
                <w:b/>
                <w:color w:val="ED7D31"/>
                <w:sz w:val="18"/>
                <w:szCs w:val="18"/>
              </w:rPr>
            </w:pPr>
          </w:p>
        </w:tc>
      </w:tr>
      <w:tr w:rsidR="00080C42" w:rsidRPr="003726BE" w14:paraId="12103D5F" w14:textId="77777777" w:rsidTr="00984473">
        <w:trPr>
          <w:trHeight w:val="1590"/>
          <w:jc w:val="center"/>
        </w:trPr>
        <w:tc>
          <w:tcPr>
            <w:tcW w:w="1335" w:type="dxa"/>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14:paraId="4978619C" w14:textId="77777777" w:rsidR="00080C42" w:rsidRPr="003726BE" w:rsidRDefault="00080C42" w:rsidP="002F6E33">
            <w:pPr>
              <w:rPr>
                <w:rFonts w:cs="Arial"/>
                <w:b/>
                <w:color w:val="373737" w:themeColor="background1" w:themeShade="40"/>
                <w:szCs w:val="18"/>
              </w:rPr>
            </w:pPr>
            <w:r w:rsidRPr="003726BE">
              <w:rPr>
                <w:b/>
                <w:color w:val="373737" w:themeColor="background1" w:themeShade="40"/>
              </w:rPr>
              <w:lastRenderedPageBreak/>
              <w:t>Programme specific indicators</w:t>
            </w:r>
            <w:r w:rsidRPr="003726BE">
              <w:rPr>
                <w:rStyle w:val="FootnoteReference"/>
              </w:rPr>
              <w:footnoteReference w:id="148"/>
            </w:r>
          </w:p>
        </w:tc>
        <w:tc>
          <w:tcPr>
            <w:tcW w:w="1336"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14:paraId="2A4583CD" w14:textId="77777777" w:rsidR="00080C42" w:rsidRPr="003726BE" w:rsidRDefault="00080C42" w:rsidP="001A31FB">
            <w:pPr>
              <w:pStyle w:val="H-Heading2"/>
              <w:numPr>
                <w:ilvl w:val="0"/>
                <w:numId w:val="30"/>
              </w:numPr>
              <w:suppressAutoHyphens/>
              <w:autoSpaceDN w:val="0"/>
              <w:spacing w:before="0" w:after="0" w:line="240" w:lineRule="auto"/>
              <w:ind w:left="0"/>
              <w:textAlignment w:val="baseline"/>
              <w:rPr>
                <w:rFonts w:ascii="Arial" w:hAnsi="Arial" w:cs="Arial"/>
                <w:bCs w:val="0"/>
                <w:color w:val="auto"/>
                <w:sz w:val="18"/>
                <w:szCs w:val="18"/>
              </w:rPr>
            </w:pPr>
          </w:p>
        </w:tc>
        <w:tc>
          <w:tcPr>
            <w:tcW w:w="992"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14:paraId="47DE190D" w14:textId="77777777" w:rsidR="00080C42" w:rsidRPr="003726BE" w:rsidRDefault="00080C42" w:rsidP="002F6E33">
            <w:pPr>
              <w:pStyle w:val="ListParagraph"/>
              <w:spacing w:after="0"/>
              <w:ind w:left="2160"/>
              <w:rPr>
                <w:rFonts w:ascii="Arial" w:hAnsi="Arial" w:cs="Arial"/>
                <w:b/>
                <w:color w:val="ED7D31"/>
                <w:sz w:val="18"/>
                <w:szCs w:val="18"/>
              </w:rPr>
            </w:pPr>
          </w:p>
        </w:tc>
        <w:tc>
          <w:tcPr>
            <w:tcW w:w="992" w:type="dxa"/>
            <w:gridSpan w:val="2"/>
            <w:tcBorders>
              <w:top w:val="single" w:sz="18" w:space="0" w:color="6F6F6F" w:themeColor="text1"/>
              <w:left w:val="single" w:sz="4" w:space="0" w:color="auto"/>
              <w:bottom w:val="single" w:sz="18" w:space="0" w:color="6F6F6F" w:themeColor="text1"/>
              <w:right w:val="single" w:sz="4" w:space="0" w:color="auto"/>
            </w:tcBorders>
            <w:shd w:val="clear" w:color="auto" w:fill="auto"/>
          </w:tcPr>
          <w:p w14:paraId="2E73EFCD" w14:textId="77777777" w:rsidR="00080C42" w:rsidRPr="003726BE" w:rsidRDefault="00080C42" w:rsidP="002F6E33">
            <w:pPr>
              <w:pStyle w:val="ListParagraph"/>
              <w:spacing w:after="0"/>
              <w:ind w:left="2160"/>
              <w:rPr>
                <w:rFonts w:ascii="Arial" w:hAnsi="Arial" w:cs="Arial"/>
                <w:b/>
                <w:color w:val="ED7D31"/>
                <w:sz w:val="18"/>
                <w:szCs w:val="18"/>
              </w:rPr>
            </w:pPr>
          </w:p>
        </w:tc>
        <w:tc>
          <w:tcPr>
            <w:tcW w:w="992"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14:paraId="30C34A6A" w14:textId="77777777" w:rsidR="00080C42" w:rsidRPr="003726BE" w:rsidRDefault="00080C42" w:rsidP="002F6E33">
            <w:pPr>
              <w:pStyle w:val="ListParagraph"/>
              <w:spacing w:after="0"/>
              <w:ind w:left="2160"/>
              <w:rPr>
                <w:rFonts w:ascii="Arial" w:hAnsi="Arial" w:cs="Arial"/>
                <w:b/>
                <w:color w:val="ED7D31"/>
                <w:sz w:val="18"/>
                <w:szCs w:val="18"/>
              </w:rPr>
            </w:pPr>
          </w:p>
        </w:tc>
        <w:tc>
          <w:tcPr>
            <w:tcW w:w="993"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14:paraId="4F0A8E29" w14:textId="77777777" w:rsidR="00080C42" w:rsidRPr="003726BE" w:rsidRDefault="00080C42" w:rsidP="002F6E33">
            <w:pPr>
              <w:pStyle w:val="ListParagraph"/>
              <w:spacing w:after="0"/>
              <w:ind w:left="2160"/>
              <w:rPr>
                <w:rFonts w:ascii="Arial" w:hAnsi="Arial" w:cs="Arial"/>
                <w:b/>
                <w:color w:val="ED7D31"/>
                <w:sz w:val="18"/>
                <w:szCs w:val="18"/>
              </w:rPr>
            </w:pPr>
          </w:p>
        </w:tc>
        <w:tc>
          <w:tcPr>
            <w:tcW w:w="2247"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14:paraId="62FCA9F0" w14:textId="77777777" w:rsidR="00080C42" w:rsidRPr="003726BE" w:rsidRDefault="00080C42" w:rsidP="002F6E33">
            <w:pPr>
              <w:pStyle w:val="ListParagraph"/>
              <w:spacing w:after="0"/>
              <w:ind w:left="2160"/>
              <w:rPr>
                <w:rFonts w:ascii="Arial" w:hAnsi="Arial" w:cs="Arial"/>
                <w:b/>
                <w:color w:val="ED7D31"/>
                <w:sz w:val="18"/>
                <w:szCs w:val="18"/>
              </w:rPr>
            </w:pPr>
          </w:p>
        </w:tc>
      </w:tr>
      <w:tr w:rsidR="00080C42" w:rsidRPr="003726BE" w14:paraId="5EE56DEF" w14:textId="77777777" w:rsidTr="00984473">
        <w:trPr>
          <w:trHeight w:val="45"/>
          <w:jc w:val="center"/>
        </w:trPr>
        <w:tc>
          <w:tcPr>
            <w:tcW w:w="8887" w:type="dxa"/>
            <w:gridSpan w:val="8"/>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14:paraId="140F2F8B" w14:textId="77777777" w:rsidR="00080C42" w:rsidRPr="00CB34A3" w:rsidRDefault="00080C42" w:rsidP="001A31FB">
            <w:pPr>
              <w:pStyle w:val="ListParagraph"/>
              <w:numPr>
                <w:ilvl w:val="0"/>
                <w:numId w:val="35"/>
              </w:numPr>
              <w:suppressAutoHyphens/>
              <w:autoSpaceDN w:val="0"/>
              <w:spacing w:after="0" w:line="240" w:lineRule="auto"/>
              <w:textAlignment w:val="baseline"/>
              <w:rPr>
                <w:rFonts w:ascii="Arial" w:hAnsi="Arial" w:cs="Arial"/>
                <w:color w:val="ED7D31"/>
                <w:sz w:val="18"/>
                <w:szCs w:val="18"/>
                <w:lang w:val="en-GB"/>
              </w:rPr>
            </w:pPr>
            <w:r w:rsidRPr="00CB34A3">
              <w:rPr>
                <w:rFonts w:ascii="Arial" w:hAnsi="Arial"/>
                <w:b/>
                <w:color w:val="ED7D31"/>
                <w:sz w:val="18"/>
                <w:lang w:val="en-GB"/>
              </w:rPr>
              <w:t>Problems encountered influencing the validity and reliability of evaluation findings</w:t>
            </w:r>
            <w:r w:rsidRPr="003726BE">
              <w:rPr>
                <w:rStyle w:val="FootnoteReference"/>
              </w:rPr>
              <w:footnoteReference w:id="149"/>
            </w:r>
            <w:r w:rsidRPr="00CB34A3">
              <w:rPr>
                <w:rFonts w:ascii="Arial" w:hAnsi="Arial"/>
                <w:color w:val="ED7D31"/>
                <w:sz w:val="18"/>
                <w:lang w:val="en-GB"/>
              </w:rPr>
              <w:t xml:space="preserve"> </w:t>
            </w:r>
          </w:p>
          <w:p w14:paraId="259FACA8" w14:textId="77777777" w:rsidR="00080C42" w:rsidRPr="00CB34A3" w:rsidRDefault="00080C42" w:rsidP="002F6E33">
            <w:pPr>
              <w:spacing w:after="0"/>
              <w:rPr>
                <w:rFonts w:cs="Arial"/>
                <w:szCs w:val="18"/>
                <w:lang w:val="en-GB"/>
              </w:rPr>
            </w:pPr>
          </w:p>
          <w:p w14:paraId="79AF759B" w14:textId="77777777" w:rsidR="00080C42" w:rsidRPr="003726BE" w:rsidRDefault="00080C42" w:rsidP="002F6E33">
            <w:pPr>
              <w:spacing w:after="0"/>
              <w:rPr>
                <w:rFonts w:cs="Arial"/>
                <w:i/>
                <w:color w:val="F7A833" w:themeColor="accent5"/>
                <w:szCs w:val="18"/>
              </w:rPr>
            </w:pPr>
            <w:r w:rsidRPr="00CB34A3">
              <w:rPr>
                <w:i/>
                <w:color w:val="F7A833" w:themeColor="accent5"/>
                <w:lang w:val="en-GB"/>
              </w:rPr>
              <w:t xml:space="preserve">[A maximum of 1,750 characters = approx. </w:t>
            </w:r>
            <w:r w:rsidRPr="003726BE">
              <w:rPr>
                <w:i/>
                <w:color w:val="F7A833" w:themeColor="accent5"/>
              </w:rPr>
              <w:t>½ page – Non-mandatory]</w:t>
            </w:r>
          </w:p>
          <w:p w14:paraId="5B3FAD93" w14:textId="77777777" w:rsidR="00080C42" w:rsidRPr="003726BE" w:rsidRDefault="00080C42" w:rsidP="002F6E33">
            <w:pPr>
              <w:spacing w:after="0"/>
              <w:rPr>
                <w:rFonts w:cs="Arial"/>
                <w:szCs w:val="18"/>
              </w:rPr>
            </w:pPr>
          </w:p>
          <w:p w14:paraId="34F2BA64" w14:textId="77777777" w:rsidR="00080C42" w:rsidRPr="003726BE" w:rsidRDefault="00080C42" w:rsidP="002F6E33">
            <w:pPr>
              <w:spacing w:after="0"/>
              <w:rPr>
                <w:rFonts w:cs="Arial"/>
                <w:szCs w:val="18"/>
              </w:rPr>
            </w:pPr>
          </w:p>
        </w:tc>
      </w:tr>
      <w:tr w:rsidR="00080C42" w:rsidRPr="003726BE" w14:paraId="2AB85A3B" w14:textId="77777777" w:rsidTr="00984473">
        <w:trPr>
          <w:trHeight w:val="75"/>
          <w:jc w:val="center"/>
        </w:trPr>
        <w:tc>
          <w:tcPr>
            <w:tcW w:w="8887" w:type="dxa"/>
            <w:gridSpan w:val="8"/>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14:paraId="22B76156" w14:textId="77777777" w:rsidR="00080C42" w:rsidRPr="003726BE" w:rsidRDefault="00080C42" w:rsidP="001A31FB">
            <w:pPr>
              <w:pStyle w:val="ListParagraph"/>
              <w:numPr>
                <w:ilvl w:val="0"/>
                <w:numId w:val="35"/>
              </w:numPr>
              <w:suppressAutoHyphens/>
              <w:autoSpaceDN w:val="0"/>
              <w:spacing w:after="0" w:line="240" w:lineRule="auto"/>
              <w:textAlignment w:val="baseline"/>
              <w:rPr>
                <w:rFonts w:ascii="Arial" w:hAnsi="Arial" w:cs="Arial"/>
                <w:b/>
                <w:color w:val="ED7D31"/>
                <w:sz w:val="18"/>
                <w:szCs w:val="18"/>
              </w:rPr>
            </w:pPr>
            <w:r w:rsidRPr="003726BE">
              <w:rPr>
                <w:rFonts w:ascii="Arial" w:hAnsi="Arial"/>
                <w:b/>
                <w:color w:val="ED7D31"/>
                <w:sz w:val="18"/>
              </w:rPr>
              <w:t>Answer to evaluation question</w:t>
            </w:r>
            <w:r w:rsidRPr="003726BE">
              <w:rPr>
                <w:rStyle w:val="FootnoteReference"/>
              </w:rPr>
              <w:footnoteReference w:id="150"/>
            </w:r>
            <w:r w:rsidRPr="003726BE">
              <w:rPr>
                <w:rFonts w:ascii="Arial" w:hAnsi="Arial"/>
                <w:b/>
                <w:color w:val="ED7D31"/>
                <w:sz w:val="18"/>
              </w:rPr>
              <w:t xml:space="preserve"> </w:t>
            </w:r>
          </w:p>
          <w:p w14:paraId="701DEF37" w14:textId="77777777" w:rsidR="00080C42" w:rsidRPr="003726BE" w:rsidRDefault="00080C42" w:rsidP="002F6E33">
            <w:pPr>
              <w:spacing w:after="0"/>
              <w:rPr>
                <w:rFonts w:cs="Arial"/>
                <w:b/>
                <w:color w:val="ED7D31"/>
                <w:szCs w:val="18"/>
              </w:rPr>
            </w:pPr>
          </w:p>
          <w:p w14:paraId="476EFC0E" w14:textId="77777777" w:rsidR="00080C42" w:rsidRPr="003726BE" w:rsidRDefault="00080C42" w:rsidP="002F6E33">
            <w:pPr>
              <w:spacing w:after="0"/>
              <w:rPr>
                <w:rFonts w:cs="Arial"/>
                <w:i/>
                <w:color w:val="F7A833" w:themeColor="accent5"/>
                <w:szCs w:val="18"/>
              </w:rPr>
            </w:pPr>
            <w:r w:rsidRPr="00CB34A3">
              <w:rPr>
                <w:i/>
                <w:color w:val="F7A833" w:themeColor="accent5"/>
                <w:lang w:val="en-GB"/>
              </w:rPr>
              <w:t xml:space="preserve">[A maximum of 10,500 characters = approx. </w:t>
            </w:r>
            <w:r w:rsidRPr="003726BE">
              <w:rPr>
                <w:i/>
                <w:color w:val="F7A833" w:themeColor="accent5"/>
              </w:rPr>
              <w:t>3 pages – Mandatory]</w:t>
            </w:r>
          </w:p>
          <w:p w14:paraId="07C86E4B" w14:textId="77777777" w:rsidR="00080C42" w:rsidRPr="003726BE" w:rsidRDefault="00080C42" w:rsidP="002F6E33">
            <w:pPr>
              <w:spacing w:after="0"/>
              <w:rPr>
                <w:rFonts w:cs="Arial"/>
                <w:b/>
                <w:color w:val="ED7D31"/>
                <w:szCs w:val="18"/>
              </w:rPr>
            </w:pPr>
          </w:p>
          <w:p w14:paraId="2F3BF87B" w14:textId="77777777" w:rsidR="00080C42" w:rsidRPr="003726BE" w:rsidRDefault="00080C42" w:rsidP="002F6E33">
            <w:pPr>
              <w:spacing w:after="0"/>
              <w:rPr>
                <w:rFonts w:cs="Arial"/>
                <w:szCs w:val="18"/>
              </w:rPr>
            </w:pPr>
            <w:r w:rsidRPr="003726BE">
              <w:t xml:space="preserve"> </w:t>
            </w:r>
          </w:p>
        </w:tc>
      </w:tr>
      <w:tr w:rsidR="00080C42" w:rsidRPr="003726BE" w14:paraId="66AD3B0B" w14:textId="77777777" w:rsidTr="00984473">
        <w:trPr>
          <w:trHeight w:val="57"/>
          <w:jc w:val="center"/>
        </w:trPr>
        <w:tc>
          <w:tcPr>
            <w:tcW w:w="8887" w:type="dxa"/>
            <w:gridSpan w:val="8"/>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14:paraId="7D6A5136" w14:textId="77777777" w:rsidR="00080C42" w:rsidRPr="003726BE" w:rsidRDefault="00080C42" w:rsidP="001A31FB">
            <w:pPr>
              <w:pStyle w:val="ListParagraph"/>
              <w:numPr>
                <w:ilvl w:val="0"/>
                <w:numId w:val="35"/>
              </w:numPr>
              <w:suppressAutoHyphens/>
              <w:autoSpaceDN w:val="0"/>
              <w:spacing w:after="0" w:line="240" w:lineRule="auto"/>
              <w:textAlignment w:val="baseline"/>
              <w:rPr>
                <w:rFonts w:ascii="Arial" w:hAnsi="Arial" w:cs="Arial"/>
                <w:b/>
                <w:color w:val="ED7D31"/>
                <w:sz w:val="18"/>
                <w:szCs w:val="18"/>
              </w:rPr>
            </w:pPr>
            <w:r w:rsidRPr="003726BE">
              <w:rPr>
                <w:rFonts w:ascii="Arial" w:hAnsi="Arial"/>
                <w:b/>
                <w:color w:val="ED7D31"/>
                <w:sz w:val="18"/>
              </w:rPr>
              <w:t>Conclusions and recommendations</w:t>
            </w:r>
            <w:r w:rsidRPr="003726BE">
              <w:rPr>
                <w:rStyle w:val="FootnoteReference"/>
              </w:rPr>
              <w:footnoteReference w:id="151"/>
            </w:r>
          </w:p>
          <w:p w14:paraId="72BA8544" w14:textId="77777777" w:rsidR="00080C42" w:rsidRPr="003726BE" w:rsidRDefault="00080C42" w:rsidP="002F6E33">
            <w:pPr>
              <w:spacing w:after="0"/>
              <w:rPr>
                <w:rFonts w:cs="Arial"/>
                <w:b/>
                <w:color w:val="ED7D31"/>
                <w:szCs w:val="18"/>
              </w:rPr>
            </w:pPr>
          </w:p>
          <w:p w14:paraId="78977D42" w14:textId="77777777" w:rsidR="00080C42" w:rsidRPr="003726BE" w:rsidRDefault="00080C42" w:rsidP="002F6E33">
            <w:pPr>
              <w:spacing w:after="0"/>
              <w:rPr>
                <w:rFonts w:cs="Arial"/>
                <w:b/>
                <w:szCs w:val="18"/>
              </w:rPr>
            </w:pPr>
          </w:p>
        </w:tc>
      </w:tr>
      <w:tr w:rsidR="00080C42" w:rsidRPr="003726BE" w14:paraId="5DEC3F16" w14:textId="77777777" w:rsidTr="00984473">
        <w:trPr>
          <w:trHeight w:val="414"/>
          <w:jc w:val="center"/>
        </w:trPr>
        <w:tc>
          <w:tcPr>
            <w:tcW w:w="4443" w:type="dxa"/>
            <w:gridSpan w:val="4"/>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14:paraId="1EBF0EC2" w14:textId="77777777" w:rsidR="00080C42" w:rsidRPr="003726BE" w:rsidRDefault="00080C42" w:rsidP="002F6E33">
            <w:pPr>
              <w:spacing w:after="0"/>
              <w:rPr>
                <w:rFonts w:cs="Arial"/>
                <w:b/>
                <w:color w:val="373737" w:themeColor="background1" w:themeShade="40"/>
                <w:szCs w:val="18"/>
              </w:rPr>
            </w:pPr>
            <w:r w:rsidRPr="003726BE">
              <w:rPr>
                <w:b/>
                <w:color w:val="373737" w:themeColor="background1" w:themeShade="40"/>
              </w:rPr>
              <w:t>Conclusion</w:t>
            </w:r>
          </w:p>
          <w:p w14:paraId="22A5E253" w14:textId="77777777" w:rsidR="00080C42" w:rsidRPr="003726BE" w:rsidRDefault="00080C42" w:rsidP="002F6E33">
            <w:pPr>
              <w:spacing w:after="0"/>
              <w:rPr>
                <w:rFonts w:cs="Arial"/>
                <w:b/>
                <w:color w:val="373737" w:themeColor="background1" w:themeShade="40"/>
                <w:szCs w:val="18"/>
              </w:rPr>
            </w:pPr>
          </w:p>
          <w:p w14:paraId="50E84652" w14:textId="77777777" w:rsidR="00080C42" w:rsidRPr="003726BE" w:rsidRDefault="00080C42" w:rsidP="002F6E33">
            <w:pPr>
              <w:spacing w:after="0"/>
              <w:rPr>
                <w:rFonts w:cs="Arial"/>
                <w:i/>
                <w:color w:val="F7A833" w:themeColor="accent5"/>
                <w:szCs w:val="18"/>
              </w:rPr>
            </w:pPr>
            <w:r w:rsidRPr="003726BE">
              <w:rPr>
                <w:i/>
                <w:color w:val="F7A833" w:themeColor="accent5"/>
              </w:rPr>
              <w:t>[Approx. 1,000 characters - Mandatory]</w:t>
            </w:r>
          </w:p>
          <w:p w14:paraId="79DE8C28" w14:textId="77777777" w:rsidR="00080C42" w:rsidRPr="003726BE" w:rsidRDefault="00080C42" w:rsidP="002F6E33">
            <w:pPr>
              <w:spacing w:after="0"/>
              <w:rPr>
                <w:rFonts w:cs="Arial"/>
                <w:b/>
                <w:color w:val="373737" w:themeColor="background1" w:themeShade="40"/>
                <w:szCs w:val="18"/>
              </w:rPr>
            </w:pPr>
          </w:p>
        </w:tc>
        <w:tc>
          <w:tcPr>
            <w:tcW w:w="4444" w:type="dxa"/>
            <w:gridSpan w:val="4"/>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14:paraId="69B3C899" w14:textId="77777777" w:rsidR="00080C42" w:rsidRPr="003726BE" w:rsidRDefault="00080C42" w:rsidP="001818F5">
            <w:pPr>
              <w:spacing w:after="0"/>
              <w:ind w:left="66"/>
              <w:rPr>
                <w:rFonts w:cs="Arial"/>
                <w:b/>
                <w:color w:val="373737" w:themeColor="background1" w:themeShade="40"/>
                <w:szCs w:val="18"/>
              </w:rPr>
            </w:pPr>
            <w:r w:rsidRPr="003726BE">
              <w:rPr>
                <w:b/>
                <w:color w:val="373737" w:themeColor="background1" w:themeShade="40"/>
              </w:rPr>
              <w:t>Recommendation</w:t>
            </w:r>
          </w:p>
          <w:p w14:paraId="31238F57" w14:textId="77777777" w:rsidR="00080C42" w:rsidRPr="003726BE" w:rsidRDefault="00080C42" w:rsidP="001818F5">
            <w:pPr>
              <w:spacing w:after="0"/>
              <w:ind w:left="66"/>
              <w:rPr>
                <w:rFonts w:cs="Arial"/>
                <w:b/>
                <w:color w:val="373737" w:themeColor="background1" w:themeShade="40"/>
                <w:szCs w:val="18"/>
              </w:rPr>
            </w:pPr>
          </w:p>
          <w:p w14:paraId="3C3EDCD0" w14:textId="77777777" w:rsidR="00080C42" w:rsidRPr="003726BE" w:rsidRDefault="00080C42" w:rsidP="001818F5">
            <w:pPr>
              <w:spacing w:after="0"/>
              <w:ind w:left="66"/>
              <w:rPr>
                <w:rFonts w:cs="Arial"/>
                <w:i/>
                <w:color w:val="F7A833" w:themeColor="accent5"/>
                <w:szCs w:val="18"/>
              </w:rPr>
            </w:pPr>
            <w:r w:rsidRPr="003726BE">
              <w:rPr>
                <w:i/>
                <w:color w:val="F7A833" w:themeColor="accent5"/>
              </w:rPr>
              <w:t>[Approx. 1,000 characters – Non-mandatory]</w:t>
            </w:r>
          </w:p>
          <w:p w14:paraId="52A9FA18" w14:textId="77777777" w:rsidR="00080C42" w:rsidRPr="003726BE" w:rsidRDefault="00080C42" w:rsidP="001818F5">
            <w:pPr>
              <w:spacing w:after="0"/>
              <w:ind w:left="66"/>
              <w:rPr>
                <w:rFonts w:cs="Arial"/>
                <w:b/>
                <w:color w:val="373737" w:themeColor="background1" w:themeShade="40"/>
                <w:szCs w:val="18"/>
              </w:rPr>
            </w:pPr>
          </w:p>
        </w:tc>
      </w:tr>
      <w:tr w:rsidR="00080C42" w:rsidRPr="003726BE" w14:paraId="06746B98" w14:textId="77777777" w:rsidTr="00984473">
        <w:trPr>
          <w:trHeight w:val="414"/>
          <w:jc w:val="center"/>
        </w:trPr>
        <w:tc>
          <w:tcPr>
            <w:tcW w:w="4443" w:type="dxa"/>
            <w:gridSpan w:val="4"/>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14:paraId="4B3D1D10" w14:textId="77777777" w:rsidR="00080C42" w:rsidRPr="003726BE" w:rsidRDefault="00080C42" w:rsidP="002F6E33">
            <w:pPr>
              <w:spacing w:after="0"/>
              <w:rPr>
                <w:rFonts w:cs="Arial"/>
                <w:b/>
                <w:color w:val="373737" w:themeColor="background1" w:themeShade="40"/>
                <w:szCs w:val="18"/>
              </w:rPr>
            </w:pPr>
            <w:r w:rsidRPr="003726BE">
              <w:rPr>
                <w:b/>
                <w:color w:val="373737" w:themeColor="background1" w:themeShade="40"/>
              </w:rPr>
              <w:t>C.1</w:t>
            </w:r>
          </w:p>
        </w:tc>
        <w:tc>
          <w:tcPr>
            <w:tcW w:w="4444" w:type="dxa"/>
            <w:gridSpan w:val="4"/>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14:paraId="0290C223" w14:textId="77777777" w:rsidR="00080C42" w:rsidRPr="003726BE" w:rsidRDefault="00080C42" w:rsidP="001818F5">
            <w:pPr>
              <w:spacing w:after="0"/>
              <w:ind w:left="66"/>
              <w:rPr>
                <w:rFonts w:cs="Arial"/>
                <w:b/>
                <w:color w:val="373737" w:themeColor="background1" w:themeShade="40"/>
                <w:szCs w:val="18"/>
              </w:rPr>
            </w:pPr>
            <w:r w:rsidRPr="003726BE">
              <w:rPr>
                <w:b/>
                <w:color w:val="373737" w:themeColor="background1" w:themeShade="40"/>
              </w:rPr>
              <w:t>R.1</w:t>
            </w:r>
          </w:p>
        </w:tc>
      </w:tr>
      <w:tr w:rsidR="00080C42" w:rsidRPr="003726BE" w14:paraId="4C6C3B38" w14:textId="77777777" w:rsidTr="00984473">
        <w:trPr>
          <w:trHeight w:val="414"/>
          <w:jc w:val="center"/>
        </w:trPr>
        <w:tc>
          <w:tcPr>
            <w:tcW w:w="4443" w:type="dxa"/>
            <w:gridSpan w:val="4"/>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14:paraId="3B506683" w14:textId="77777777" w:rsidR="00080C42" w:rsidRPr="003726BE" w:rsidRDefault="00080C42" w:rsidP="002F6E33">
            <w:pPr>
              <w:spacing w:after="0"/>
              <w:rPr>
                <w:rFonts w:cs="Arial"/>
                <w:b/>
                <w:color w:val="373737" w:themeColor="background1" w:themeShade="40"/>
                <w:szCs w:val="18"/>
              </w:rPr>
            </w:pPr>
            <w:r w:rsidRPr="003726BE">
              <w:rPr>
                <w:b/>
                <w:color w:val="373737" w:themeColor="background1" w:themeShade="40"/>
              </w:rPr>
              <w:t>C.2</w:t>
            </w:r>
          </w:p>
        </w:tc>
        <w:tc>
          <w:tcPr>
            <w:tcW w:w="4444" w:type="dxa"/>
            <w:gridSpan w:val="4"/>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14:paraId="16797438" w14:textId="77777777" w:rsidR="00080C42" w:rsidRPr="003726BE" w:rsidRDefault="00080C42" w:rsidP="001818F5">
            <w:pPr>
              <w:spacing w:after="0"/>
              <w:ind w:left="66"/>
              <w:rPr>
                <w:rFonts w:cs="Arial"/>
                <w:b/>
                <w:color w:val="373737" w:themeColor="background1" w:themeShade="40"/>
                <w:szCs w:val="18"/>
              </w:rPr>
            </w:pPr>
            <w:r w:rsidRPr="003726BE">
              <w:rPr>
                <w:b/>
                <w:color w:val="373737" w:themeColor="background1" w:themeShade="40"/>
              </w:rPr>
              <w:t>R.2</w:t>
            </w:r>
          </w:p>
        </w:tc>
      </w:tr>
      <w:tr w:rsidR="00080C42" w:rsidRPr="003726BE" w14:paraId="6EB9F527" w14:textId="77777777" w:rsidTr="00984473">
        <w:trPr>
          <w:trHeight w:val="414"/>
          <w:jc w:val="center"/>
        </w:trPr>
        <w:tc>
          <w:tcPr>
            <w:tcW w:w="4443" w:type="dxa"/>
            <w:gridSpan w:val="4"/>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14:paraId="6F28B9FE" w14:textId="77777777" w:rsidR="00080C42" w:rsidRPr="003726BE" w:rsidRDefault="00080C42" w:rsidP="002F6E33">
            <w:pPr>
              <w:spacing w:after="0"/>
              <w:rPr>
                <w:rFonts w:cs="Arial"/>
                <w:b/>
                <w:color w:val="373737" w:themeColor="background1" w:themeShade="40"/>
                <w:szCs w:val="18"/>
              </w:rPr>
            </w:pPr>
            <w:r w:rsidRPr="003726BE">
              <w:rPr>
                <w:b/>
                <w:color w:val="373737" w:themeColor="background1" w:themeShade="40"/>
              </w:rPr>
              <w:t>C.3</w:t>
            </w:r>
          </w:p>
        </w:tc>
        <w:tc>
          <w:tcPr>
            <w:tcW w:w="4444" w:type="dxa"/>
            <w:gridSpan w:val="4"/>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14:paraId="08743FA3" w14:textId="77777777" w:rsidR="00080C42" w:rsidRPr="003726BE" w:rsidRDefault="00080C42" w:rsidP="001818F5">
            <w:pPr>
              <w:spacing w:after="0"/>
              <w:ind w:left="66"/>
              <w:rPr>
                <w:rFonts w:cs="Arial"/>
                <w:b/>
                <w:color w:val="373737" w:themeColor="background1" w:themeShade="40"/>
                <w:szCs w:val="18"/>
              </w:rPr>
            </w:pPr>
            <w:r w:rsidRPr="003726BE">
              <w:rPr>
                <w:b/>
                <w:color w:val="373737" w:themeColor="background1" w:themeShade="40"/>
              </w:rPr>
              <w:t>R.3</w:t>
            </w:r>
          </w:p>
        </w:tc>
      </w:tr>
    </w:tbl>
    <w:p w14:paraId="6EFEC80F" w14:textId="77777777" w:rsidR="003726BE" w:rsidRDefault="003726BE" w:rsidP="003726BE">
      <w:pPr>
        <w:pStyle w:val="HHeadingtables"/>
        <w:numPr>
          <w:ilvl w:val="0"/>
          <w:numId w:val="0"/>
        </w:numPr>
        <w:rPr>
          <w:rFonts w:cs="Arial"/>
          <w:highlight w:val="yellow"/>
        </w:rPr>
      </w:pPr>
    </w:p>
    <w:p w14:paraId="3F4DE10F" w14:textId="77777777" w:rsidR="003726BE" w:rsidRDefault="003726BE" w:rsidP="003726BE">
      <w:pPr>
        <w:pStyle w:val="HStandard"/>
        <w:rPr>
          <w:color w:val="404040" w:themeColor="text2" w:themeTint="BF"/>
          <w:sz w:val="16"/>
          <w:highlight w:val="yellow"/>
        </w:rPr>
      </w:pPr>
      <w:r>
        <w:rPr>
          <w:highlight w:val="yellow"/>
        </w:rPr>
        <w:br w:type="page"/>
      </w:r>
    </w:p>
    <w:p w14:paraId="29BFCECC" w14:textId="77777777" w:rsidR="00E95C99" w:rsidRPr="003726BE" w:rsidRDefault="00E95C99" w:rsidP="00E95C99">
      <w:pPr>
        <w:pStyle w:val="HHeadingtables"/>
        <w:rPr>
          <w:rFonts w:cs="Arial"/>
          <w:highlight w:val="yellow"/>
        </w:rPr>
      </w:pPr>
      <w:bookmarkStart w:id="136" w:name="_Toc474132633"/>
      <w:r w:rsidRPr="003726BE">
        <w:rPr>
          <w:highlight w:val="yellow"/>
        </w:rPr>
        <w:lastRenderedPageBreak/>
        <w:t>Modello SFC per il punto 7 relativo programma alla domanda di valutazione specifica del programma collegata all'aspetto specifico del programma (esempio compilato)</w:t>
      </w:r>
      <w:bookmarkEnd w:id="136"/>
    </w:p>
    <w:tbl>
      <w:tblPr>
        <w:tblW w:w="8887" w:type="dxa"/>
        <w:jc w:val="center"/>
        <w:tblLayout w:type="fixed"/>
        <w:tblCellMar>
          <w:left w:w="10" w:type="dxa"/>
          <w:right w:w="10" w:type="dxa"/>
        </w:tblCellMar>
        <w:tblLook w:val="0000" w:firstRow="0" w:lastRow="0" w:firstColumn="0" w:lastColumn="0" w:noHBand="0" w:noVBand="0"/>
      </w:tblPr>
      <w:tblGrid>
        <w:gridCol w:w="8887"/>
      </w:tblGrid>
      <w:tr w:rsidR="00E95C99" w:rsidRPr="003726BE" w14:paraId="0DAD8CDF" w14:textId="77777777" w:rsidTr="00473407">
        <w:trPr>
          <w:trHeight w:val="1215"/>
          <w:jc w:val="center"/>
        </w:trPr>
        <w:tc>
          <w:tcPr>
            <w:tcW w:w="8887" w:type="dxa"/>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14:paraId="3E6D337D" w14:textId="77777777" w:rsidR="00E95C99" w:rsidRPr="003726BE" w:rsidRDefault="00E95C99" w:rsidP="00B529DB">
            <w:pPr>
              <w:pStyle w:val="H-Heading1"/>
              <w:numPr>
                <w:ilvl w:val="0"/>
                <w:numId w:val="0"/>
              </w:numPr>
              <w:rPr>
                <w:caps w:val="0"/>
                <w:sz w:val="18"/>
                <w:szCs w:val="18"/>
                <w:highlight w:val="yellow"/>
              </w:rPr>
            </w:pPr>
            <w:r w:rsidRPr="003726BE">
              <w:rPr>
                <w:rFonts w:ascii="Arial" w:hAnsi="Arial"/>
                <w:caps w:val="0"/>
                <w:snapToGrid w:val="0"/>
                <w:kern w:val="0"/>
                <w:sz w:val="18"/>
                <w:highlight w:val="yellow"/>
              </w:rPr>
              <w:t>Aspetto specifico del programma</w:t>
            </w:r>
            <w:r w:rsidRPr="003726BE">
              <w:rPr>
                <w:caps w:val="0"/>
                <w:sz w:val="18"/>
                <w:highlight w:val="yellow"/>
              </w:rPr>
              <w:t>:</w:t>
            </w:r>
            <w:r w:rsidRPr="003726BE">
              <w:rPr>
                <w:rStyle w:val="FootnoteReference"/>
                <w:caps w:val="0"/>
                <w:highlight w:val="yellow"/>
              </w:rPr>
              <w:footnoteReference w:id="152"/>
            </w:r>
          </w:p>
          <w:p w14:paraId="7E5D11E8" w14:textId="77777777" w:rsidR="00E95C99" w:rsidRPr="003726BE" w:rsidRDefault="00E95C99" w:rsidP="002F6E33">
            <w:pPr>
              <w:pStyle w:val="H-Heading2"/>
              <w:spacing w:line="240" w:lineRule="auto"/>
              <w:ind w:left="0" w:firstLine="0"/>
              <w:jc w:val="both"/>
              <w:rPr>
                <w:rFonts w:ascii="Arial" w:hAnsi="Arial" w:cs="Arial"/>
                <w:b w:val="0"/>
                <w:color w:val="373737" w:themeColor="background1" w:themeShade="40"/>
                <w:sz w:val="18"/>
                <w:szCs w:val="18"/>
                <w:highlight w:val="yellow"/>
              </w:rPr>
            </w:pPr>
            <w:r w:rsidRPr="003726BE">
              <w:rPr>
                <w:rFonts w:ascii="Arial" w:hAnsi="Arial"/>
                <w:b w:val="0"/>
                <w:color w:val="373737" w:themeColor="background1" w:themeShade="40"/>
                <w:sz w:val="18"/>
                <w:highlight w:val="yellow"/>
              </w:rPr>
              <w:t>FA 2C - Migliorare le prestazioni economiche e la competitività delle aziende forestali al fine di incrementare la loro partecipazione al mercato</w:t>
            </w:r>
          </w:p>
          <w:p w14:paraId="5384E6C5" w14:textId="77777777" w:rsidR="00E95C99" w:rsidRPr="003726BE" w:rsidRDefault="00E95C99" w:rsidP="00626F04">
            <w:pPr>
              <w:pStyle w:val="H-Heading1"/>
              <w:numPr>
                <w:ilvl w:val="0"/>
                <w:numId w:val="0"/>
              </w:numPr>
              <w:rPr>
                <w:rFonts w:ascii="Arial" w:hAnsi="Arial" w:cs="Arial"/>
                <w:caps w:val="0"/>
                <w:color w:val="DC9045"/>
                <w:sz w:val="18"/>
                <w:szCs w:val="18"/>
                <w:highlight w:val="yellow"/>
              </w:rPr>
            </w:pPr>
            <w:r w:rsidRPr="003726BE">
              <w:rPr>
                <w:rFonts w:ascii="Arial" w:hAnsi="Arial"/>
                <w:caps w:val="0"/>
                <w:snapToGrid w:val="0"/>
                <w:kern w:val="0"/>
                <w:sz w:val="18"/>
                <w:highlight w:val="yellow"/>
              </w:rPr>
              <w:t>Domanda di valutazione specifica del programma (DVSP) n.</w:t>
            </w:r>
            <w:r w:rsidRPr="003726BE">
              <w:rPr>
                <w:rFonts w:ascii="Arial" w:hAnsi="Arial"/>
                <w:caps w:val="0"/>
                <w:sz w:val="18"/>
                <w:highlight w:val="yellow"/>
              </w:rPr>
              <w:t>:</w:t>
            </w:r>
            <w:r w:rsidRPr="003726BE">
              <w:rPr>
                <w:rStyle w:val="FootnoteReference"/>
                <w:caps w:val="0"/>
                <w:highlight w:val="yellow"/>
              </w:rPr>
              <w:footnoteReference w:id="153"/>
            </w:r>
          </w:p>
          <w:p w14:paraId="2C95E637" w14:textId="77777777" w:rsidR="00E95C99" w:rsidRPr="003726BE" w:rsidRDefault="00E95C99" w:rsidP="002F6E33">
            <w:pPr>
              <w:pStyle w:val="H-Heading2"/>
              <w:spacing w:line="240" w:lineRule="auto"/>
              <w:ind w:left="0" w:firstLine="0"/>
              <w:jc w:val="both"/>
              <w:rPr>
                <w:rFonts w:ascii="Arial" w:hAnsi="Arial" w:cs="Arial"/>
                <w:b w:val="0"/>
                <w:sz w:val="18"/>
                <w:szCs w:val="18"/>
                <w:highlight w:val="yellow"/>
              </w:rPr>
            </w:pPr>
            <w:r w:rsidRPr="003726BE">
              <w:rPr>
                <w:rFonts w:ascii="Arial" w:hAnsi="Arial"/>
                <w:b w:val="0"/>
                <w:color w:val="373737" w:themeColor="background1" w:themeShade="40"/>
                <w:sz w:val="18"/>
                <w:highlight w:val="yellow"/>
              </w:rPr>
              <w:t>In che misura gli interventi del PSR hanno sostenuto il miglioramento delle prestazioni economiche, della competitività e della partecipazione al mercato delle aziende forestali?</w:t>
            </w:r>
          </w:p>
        </w:tc>
      </w:tr>
      <w:tr w:rsidR="00E95C99" w:rsidRPr="003726BE" w14:paraId="5CD80744" w14:textId="77777777" w:rsidTr="00473407">
        <w:trPr>
          <w:trHeight w:val="711"/>
          <w:jc w:val="center"/>
        </w:trPr>
        <w:tc>
          <w:tcPr>
            <w:tcW w:w="8887" w:type="dxa"/>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14:paraId="56020607" w14:textId="77777777" w:rsidR="00E95C99" w:rsidRPr="003726BE" w:rsidRDefault="00E95C99" w:rsidP="001A31FB">
            <w:pPr>
              <w:pStyle w:val="ListParagraph"/>
              <w:numPr>
                <w:ilvl w:val="0"/>
                <w:numId w:val="41"/>
              </w:numPr>
              <w:suppressAutoHyphens/>
              <w:autoSpaceDN w:val="0"/>
              <w:spacing w:after="0" w:line="240" w:lineRule="auto"/>
              <w:textAlignment w:val="baseline"/>
              <w:outlineLvl w:val="9"/>
              <w:rPr>
                <w:rFonts w:ascii="Arial" w:hAnsi="Arial" w:cs="Arial"/>
                <w:b/>
                <w:color w:val="F07E31"/>
                <w:sz w:val="18"/>
                <w:szCs w:val="18"/>
                <w:highlight w:val="yellow"/>
              </w:rPr>
            </w:pPr>
            <w:r w:rsidRPr="003726BE">
              <w:rPr>
                <w:rFonts w:ascii="Arial" w:hAnsi="Arial"/>
                <w:b/>
                <w:color w:val="F07E31"/>
                <w:sz w:val="18"/>
                <w:highlight w:val="yellow"/>
              </w:rPr>
              <w:t>Logica per l'aspetto specifico del programma</w:t>
            </w:r>
            <w:r w:rsidRPr="003726BE">
              <w:rPr>
                <w:rStyle w:val="FootnoteReference"/>
                <w:highlight w:val="yellow"/>
              </w:rPr>
              <w:footnoteReference w:id="154"/>
            </w:r>
          </w:p>
          <w:p w14:paraId="26AE0B2B" w14:textId="77777777" w:rsidR="00E95C99" w:rsidRPr="003726BE" w:rsidRDefault="00E95C99" w:rsidP="001818F5">
            <w:pPr>
              <w:spacing w:before="120" w:after="0"/>
              <w:rPr>
                <w:rFonts w:cs="Arial"/>
                <w:color w:val="373737" w:themeColor="background1" w:themeShade="40"/>
                <w:szCs w:val="18"/>
                <w:highlight w:val="yellow"/>
              </w:rPr>
            </w:pPr>
            <w:r w:rsidRPr="003726BE">
              <w:rPr>
                <w:color w:val="373737" w:themeColor="background1" w:themeShade="40"/>
                <w:highlight w:val="yellow"/>
              </w:rPr>
              <w:t xml:space="preserve">L'analisi SWOT ha mostrato che, nonostante la rilevanza del settore relativo alla silvicoltura per l'aspetto del programma e la sua economia, il settore non presenta ancora risultati economici soddisfacenti. Ciò è dovuto principalmente alla difficoltà di accesso al mercato causata dalla mancanza di organizzazione e da elevati costi di transazione per entrare nel mercato. Anche la valutazione delle esigenze ha confermato che i gestori delle aziende forestali devono migliorare le loro capacità di gestione e stabilire una maggiore cooperazione tra di loro al fine di abbassare i costi di accesso e partecipazione al mercato. Infine, il FA 2C (e le sue misure) si integra perfettamente con il resto della strategia, che sostiene con forza tutte le industrie pertinenti in questo aspetto del programma. </w:t>
            </w:r>
          </w:p>
          <w:p w14:paraId="7DEF352D" w14:textId="77777777" w:rsidR="00E95C99" w:rsidRPr="003726BE" w:rsidRDefault="00E95C99" w:rsidP="002F6E33">
            <w:pPr>
              <w:spacing w:after="0"/>
              <w:rPr>
                <w:rFonts w:cs="Arial"/>
                <w:i/>
                <w:color w:val="F7A833" w:themeColor="accent5"/>
                <w:szCs w:val="18"/>
                <w:highlight w:val="yellow"/>
              </w:rPr>
            </w:pPr>
            <w:r w:rsidRPr="003726BE">
              <w:rPr>
                <w:i/>
                <w:color w:val="F7A833" w:themeColor="accent5"/>
                <w:highlight w:val="yellow"/>
              </w:rPr>
              <w:t>[Massimo 1 000 caratteri = circa ¼ di pagina – obbligatorio]</w:t>
            </w:r>
          </w:p>
        </w:tc>
      </w:tr>
      <w:tr w:rsidR="00E95C99" w:rsidRPr="003726BE" w14:paraId="47574058" w14:textId="77777777" w:rsidTr="00473407">
        <w:trPr>
          <w:trHeight w:val="315"/>
          <w:jc w:val="center"/>
        </w:trPr>
        <w:tc>
          <w:tcPr>
            <w:tcW w:w="8887" w:type="dxa"/>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14:paraId="669BA8B9" w14:textId="77777777" w:rsidR="00E95C99" w:rsidRPr="003726BE" w:rsidRDefault="00E95C99" w:rsidP="001A31FB">
            <w:pPr>
              <w:pStyle w:val="ListParagraph"/>
              <w:numPr>
                <w:ilvl w:val="0"/>
                <w:numId w:val="41"/>
              </w:numPr>
              <w:suppressAutoHyphens/>
              <w:autoSpaceDN w:val="0"/>
              <w:spacing w:after="0" w:line="240" w:lineRule="auto"/>
              <w:textAlignment w:val="baseline"/>
              <w:outlineLvl w:val="9"/>
              <w:rPr>
                <w:rFonts w:ascii="Arial" w:hAnsi="Arial" w:cs="Arial"/>
                <w:b/>
                <w:color w:val="ED7D31"/>
                <w:sz w:val="18"/>
                <w:szCs w:val="18"/>
                <w:highlight w:val="yellow"/>
              </w:rPr>
            </w:pPr>
            <w:r w:rsidRPr="003726BE">
              <w:rPr>
                <w:rFonts w:ascii="Arial" w:hAnsi="Arial"/>
                <w:b/>
                <w:color w:val="ED7D31"/>
                <w:sz w:val="18"/>
                <w:highlight w:val="yellow"/>
              </w:rPr>
              <w:t xml:space="preserve">Elenco delle misure che contribuiscono al FA del programma </w:t>
            </w:r>
          </w:p>
          <w:p w14:paraId="7CA4A60F" w14:textId="77777777" w:rsidR="00E95C99" w:rsidRPr="003726BE" w:rsidRDefault="00E95C99" w:rsidP="002F6E33">
            <w:pPr>
              <w:spacing w:after="0"/>
              <w:rPr>
                <w:rFonts w:cs="Arial"/>
                <w:b/>
                <w:szCs w:val="18"/>
                <w:highlight w:val="yellow"/>
              </w:rPr>
            </w:pPr>
          </w:p>
          <w:p w14:paraId="53837A05" w14:textId="77777777" w:rsidR="00E95C99" w:rsidRPr="003726BE" w:rsidRDefault="00E95C99" w:rsidP="002F6E33">
            <w:pPr>
              <w:spacing w:after="0"/>
              <w:rPr>
                <w:rFonts w:cs="Arial"/>
                <w:b/>
                <w:color w:val="373737" w:themeColor="background1" w:themeShade="40"/>
                <w:szCs w:val="18"/>
                <w:highlight w:val="yellow"/>
              </w:rPr>
            </w:pPr>
            <w:r w:rsidRPr="003726BE">
              <w:rPr>
                <w:b/>
                <w:color w:val="373737" w:themeColor="background1" w:themeShade="40"/>
                <w:highlight w:val="yellow"/>
              </w:rPr>
              <w:t xml:space="preserve">Misure/sottomisure programmate: </w:t>
            </w:r>
          </w:p>
          <w:p w14:paraId="75ECF34C" w14:textId="77777777" w:rsidR="00E95C99" w:rsidRPr="003726BE" w:rsidRDefault="00E95C99" w:rsidP="001A31FB">
            <w:pPr>
              <w:pStyle w:val="ListParagraph"/>
              <w:numPr>
                <w:ilvl w:val="0"/>
                <w:numId w:val="39"/>
              </w:numPr>
              <w:tabs>
                <w:tab w:val="clear" w:pos="709"/>
              </w:tabs>
              <w:spacing w:before="120" w:after="0" w:line="240" w:lineRule="auto"/>
              <w:ind w:left="714" w:hanging="357"/>
              <w:contextualSpacing/>
              <w:jc w:val="both"/>
              <w:outlineLvl w:val="9"/>
              <w:rPr>
                <w:rFonts w:ascii="Arial" w:hAnsi="Arial" w:cs="Arial"/>
                <w:color w:val="373737" w:themeColor="background1" w:themeShade="40"/>
                <w:sz w:val="18"/>
                <w:szCs w:val="18"/>
                <w:highlight w:val="yellow"/>
              </w:rPr>
            </w:pPr>
            <w:r w:rsidRPr="003726BE">
              <w:rPr>
                <w:rFonts w:ascii="Arial" w:hAnsi="Arial"/>
                <w:color w:val="373737" w:themeColor="background1" w:themeShade="40"/>
                <w:sz w:val="18"/>
                <w:highlight w:val="yellow"/>
              </w:rPr>
              <w:t xml:space="preserve">M 2.1 sostegno allo scopo di aiutare gli aventi diritto ad avvalersi di servizi di consulenza; </w:t>
            </w:r>
          </w:p>
          <w:p w14:paraId="1E3E9084" w14:textId="77777777" w:rsidR="00E95C99" w:rsidRPr="003726BE" w:rsidRDefault="00E95C99" w:rsidP="001A31FB">
            <w:pPr>
              <w:pStyle w:val="ListParagraph"/>
              <w:numPr>
                <w:ilvl w:val="0"/>
                <w:numId w:val="39"/>
              </w:numPr>
              <w:tabs>
                <w:tab w:val="clear" w:pos="709"/>
              </w:tabs>
              <w:spacing w:before="120" w:after="0" w:line="240" w:lineRule="auto"/>
              <w:ind w:left="714" w:hanging="357"/>
              <w:contextualSpacing/>
              <w:jc w:val="both"/>
              <w:outlineLvl w:val="9"/>
              <w:rPr>
                <w:rFonts w:ascii="Arial" w:hAnsi="Arial" w:cs="Arial"/>
                <w:color w:val="373737" w:themeColor="background1" w:themeShade="40"/>
                <w:sz w:val="18"/>
                <w:szCs w:val="18"/>
                <w:highlight w:val="yellow"/>
              </w:rPr>
            </w:pPr>
            <w:r w:rsidRPr="003726BE">
              <w:rPr>
                <w:rFonts w:ascii="Arial" w:hAnsi="Arial"/>
                <w:color w:val="373737" w:themeColor="background1" w:themeShade="40"/>
                <w:sz w:val="18"/>
                <w:highlight w:val="yellow"/>
              </w:rPr>
              <w:t xml:space="preserve">M 8.6 sostegno agli investimenti in tecnologie silvicole e nella trasformazione, mobilitazione e commercializzazione dei prodotti delle foreste; </w:t>
            </w:r>
          </w:p>
          <w:p w14:paraId="613ACCA0" w14:textId="77777777" w:rsidR="00E95C99" w:rsidRPr="003726BE" w:rsidRDefault="00E95C99" w:rsidP="001A31FB">
            <w:pPr>
              <w:pStyle w:val="ListParagraph"/>
              <w:numPr>
                <w:ilvl w:val="0"/>
                <w:numId w:val="39"/>
              </w:numPr>
              <w:tabs>
                <w:tab w:val="clear" w:pos="709"/>
              </w:tabs>
              <w:spacing w:before="120" w:after="0" w:line="240" w:lineRule="auto"/>
              <w:ind w:left="714" w:hanging="357"/>
              <w:contextualSpacing/>
              <w:jc w:val="both"/>
              <w:outlineLvl w:val="9"/>
              <w:rPr>
                <w:rFonts w:ascii="Arial" w:hAnsi="Arial" w:cs="Arial"/>
                <w:color w:val="373737" w:themeColor="background1" w:themeShade="40"/>
                <w:sz w:val="18"/>
                <w:szCs w:val="18"/>
                <w:highlight w:val="yellow"/>
              </w:rPr>
            </w:pPr>
            <w:r w:rsidRPr="003726BE">
              <w:rPr>
                <w:rFonts w:ascii="Arial" w:hAnsi="Arial"/>
                <w:color w:val="373737" w:themeColor="background1" w:themeShade="40"/>
                <w:sz w:val="18"/>
                <w:highlight w:val="yellow"/>
              </w:rPr>
              <w:t xml:space="preserve">M16.3 cooperazione tra piccoli operatori per organizzare processi di lavoro in comune e condividere impianti e risorse, nonché per lo sviluppo e la commercializzazione dei servizi turistici. </w:t>
            </w:r>
          </w:p>
          <w:p w14:paraId="27C90A91" w14:textId="77777777" w:rsidR="00E95C99" w:rsidRPr="003726BE" w:rsidRDefault="00E95C99" w:rsidP="002F6E33">
            <w:pPr>
              <w:spacing w:after="0"/>
              <w:rPr>
                <w:rFonts w:cs="Arial"/>
                <w:b/>
                <w:color w:val="373737" w:themeColor="background1" w:themeShade="40"/>
                <w:szCs w:val="18"/>
                <w:highlight w:val="yellow"/>
              </w:rPr>
            </w:pPr>
            <w:r w:rsidRPr="003726BE">
              <w:rPr>
                <w:b/>
                <w:color w:val="373737" w:themeColor="background1" w:themeShade="40"/>
                <w:highlight w:val="yellow"/>
              </w:rPr>
              <w:t>Misure/sottomisure programmate ai sensi di altri FA (comuni e specifici del programma) che mostrano contributi secondari al FA del programma</w:t>
            </w:r>
            <w:r w:rsidRPr="003726BE">
              <w:rPr>
                <w:rStyle w:val="FootnoteReference"/>
                <w:highlight w:val="yellow"/>
              </w:rPr>
              <w:footnoteReference w:id="155"/>
            </w:r>
            <w:r w:rsidRPr="003726BE">
              <w:rPr>
                <w:b/>
                <w:color w:val="373737" w:themeColor="background1" w:themeShade="40"/>
                <w:highlight w:val="yellow"/>
              </w:rPr>
              <w:t xml:space="preserve">: </w:t>
            </w:r>
          </w:p>
          <w:p w14:paraId="66A71A7D" w14:textId="77777777" w:rsidR="00E95C99" w:rsidRPr="003726BE" w:rsidRDefault="00E95C99" w:rsidP="001A31FB">
            <w:pPr>
              <w:pStyle w:val="ListParagraph"/>
              <w:numPr>
                <w:ilvl w:val="0"/>
                <w:numId w:val="40"/>
              </w:numPr>
              <w:tabs>
                <w:tab w:val="clear" w:pos="709"/>
              </w:tabs>
              <w:spacing w:before="120" w:after="0" w:line="240" w:lineRule="auto"/>
              <w:ind w:left="714" w:hanging="357"/>
              <w:contextualSpacing/>
              <w:jc w:val="both"/>
              <w:outlineLvl w:val="9"/>
              <w:rPr>
                <w:rFonts w:ascii="Arial" w:hAnsi="Arial" w:cs="Arial"/>
                <w:color w:val="373737" w:themeColor="background1" w:themeShade="40"/>
                <w:sz w:val="18"/>
                <w:szCs w:val="18"/>
                <w:highlight w:val="yellow"/>
              </w:rPr>
            </w:pPr>
            <w:r w:rsidRPr="003726BE">
              <w:rPr>
                <w:rFonts w:ascii="Arial" w:hAnsi="Arial"/>
                <w:color w:val="373737" w:themeColor="background1" w:themeShade="40"/>
                <w:sz w:val="18"/>
                <w:highlight w:val="yellow"/>
              </w:rPr>
              <w:t xml:space="preserve">M12.2 pagamento compensativo per le zone forestali Natura 2000. </w:t>
            </w:r>
          </w:p>
          <w:p w14:paraId="33B027FE" w14:textId="77777777" w:rsidR="00E95C99" w:rsidRPr="003726BE" w:rsidRDefault="00E95C99" w:rsidP="002F6E33">
            <w:pPr>
              <w:spacing w:after="0"/>
              <w:rPr>
                <w:rFonts w:cs="Arial"/>
                <w:szCs w:val="18"/>
                <w:highlight w:val="yellow"/>
              </w:rPr>
            </w:pPr>
          </w:p>
          <w:p w14:paraId="07FB1B69" w14:textId="77777777" w:rsidR="00E95C99" w:rsidRPr="003726BE" w:rsidRDefault="00E95C99" w:rsidP="002F6E33">
            <w:pPr>
              <w:spacing w:after="0"/>
              <w:rPr>
                <w:rFonts w:cs="Arial"/>
                <w:i/>
                <w:color w:val="4BACC6"/>
                <w:szCs w:val="18"/>
              </w:rPr>
            </w:pPr>
            <w:r w:rsidRPr="003726BE">
              <w:rPr>
                <w:i/>
                <w:color w:val="4BACC6"/>
                <w:highlight w:val="yellow"/>
              </w:rPr>
              <w:t xml:space="preserve"> </w:t>
            </w:r>
            <w:r w:rsidRPr="003726BE">
              <w:rPr>
                <w:i/>
                <w:color w:val="F7A833" w:themeColor="accent5"/>
                <w:highlight w:val="yellow"/>
              </w:rPr>
              <w:t>[Massimo 1 000 caratteri = circa ¼ di pagina – obbligatorio]</w:t>
            </w:r>
          </w:p>
        </w:tc>
      </w:tr>
    </w:tbl>
    <w:p w14:paraId="794C4875" w14:textId="77777777" w:rsidR="004C0D64" w:rsidRPr="003726BE" w:rsidRDefault="004C0D64">
      <w:r w:rsidRPr="003726BE">
        <w:br w:type="page"/>
      </w:r>
    </w:p>
    <w:tbl>
      <w:tblPr>
        <w:tblW w:w="8887" w:type="dxa"/>
        <w:jc w:val="center"/>
        <w:tblLayout w:type="fixed"/>
        <w:tblCellMar>
          <w:left w:w="10" w:type="dxa"/>
          <w:right w:w="10" w:type="dxa"/>
        </w:tblCellMar>
        <w:tblLook w:val="0000" w:firstRow="0" w:lastRow="0" w:firstColumn="0" w:lastColumn="0" w:noHBand="0" w:noVBand="0"/>
      </w:tblPr>
      <w:tblGrid>
        <w:gridCol w:w="1397"/>
        <w:gridCol w:w="1274"/>
        <w:gridCol w:w="291"/>
        <w:gridCol w:w="701"/>
        <w:gridCol w:w="780"/>
        <w:gridCol w:w="208"/>
        <w:gridCol w:w="1140"/>
        <w:gridCol w:w="1276"/>
        <w:gridCol w:w="1820"/>
      </w:tblGrid>
      <w:tr w:rsidR="00E95C99" w:rsidRPr="003726BE" w14:paraId="6B6294EC" w14:textId="77777777" w:rsidTr="00473407">
        <w:trPr>
          <w:trHeight w:val="1089"/>
          <w:jc w:val="center"/>
        </w:trPr>
        <w:tc>
          <w:tcPr>
            <w:tcW w:w="8887" w:type="dxa"/>
            <w:gridSpan w:val="9"/>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14:paraId="7E849E32" w14:textId="77777777" w:rsidR="00E95C99" w:rsidRPr="003726BE" w:rsidRDefault="00E95C99" w:rsidP="001A31FB">
            <w:pPr>
              <w:pStyle w:val="ListParagraph"/>
              <w:numPr>
                <w:ilvl w:val="0"/>
                <w:numId w:val="41"/>
              </w:numPr>
              <w:suppressAutoHyphens/>
              <w:autoSpaceDN w:val="0"/>
              <w:spacing w:after="0" w:line="240" w:lineRule="auto"/>
              <w:textAlignment w:val="baseline"/>
              <w:outlineLvl w:val="9"/>
              <w:rPr>
                <w:rFonts w:ascii="Arial" w:hAnsi="Arial" w:cs="Arial"/>
                <w:b/>
                <w:color w:val="F07E31"/>
                <w:sz w:val="18"/>
                <w:szCs w:val="18"/>
                <w:highlight w:val="yellow"/>
              </w:rPr>
            </w:pPr>
            <w:r w:rsidRPr="003726BE">
              <w:rPr>
                <w:rFonts w:ascii="Arial" w:hAnsi="Arial"/>
                <w:b/>
                <w:color w:val="F07E31"/>
                <w:sz w:val="18"/>
                <w:highlight w:val="yellow"/>
              </w:rPr>
              <w:lastRenderedPageBreak/>
              <w:t>Collegamento tra i criteri di giudizio e gli indicatori di risultato comuni e/o specifici per programma</w:t>
            </w:r>
            <w:r w:rsidRPr="003726BE">
              <w:rPr>
                <w:rStyle w:val="FootnoteReference"/>
                <w:highlight w:val="yellow"/>
              </w:rPr>
              <w:footnoteReference w:id="156"/>
            </w:r>
            <w:r w:rsidRPr="003726BE">
              <w:rPr>
                <w:rStyle w:val="FootnoteReference"/>
                <w:sz w:val="18"/>
                <w:highlight w:val="yellow"/>
              </w:rPr>
              <w:t xml:space="preserve"> </w:t>
            </w:r>
            <w:r w:rsidRPr="003726BE">
              <w:rPr>
                <w:rFonts w:ascii="Arial" w:hAnsi="Arial"/>
                <w:b/>
                <w:color w:val="F07E31"/>
                <w:sz w:val="18"/>
                <w:highlight w:val="yellow"/>
              </w:rPr>
              <w:t>utilizzati per rispondere alla DVSP</w:t>
            </w:r>
          </w:p>
          <w:p w14:paraId="40B5E15F" w14:textId="77777777" w:rsidR="00E95C99" w:rsidRPr="003726BE" w:rsidRDefault="00E95C99" w:rsidP="002F6E33">
            <w:pPr>
              <w:spacing w:after="0"/>
              <w:rPr>
                <w:rFonts w:cs="Arial"/>
                <w:i/>
                <w:color w:val="4BACC6"/>
                <w:szCs w:val="18"/>
                <w:highlight w:val="yellow"/>
              </w:rPr>
            </w:pPr>
          </w:p>
          <w:p w14:paraId="1C93C112" w14:textId="77777777" w:rsidR="00E95C99" w:rsidRPr="003726BE" w:rsidRDefault="00E95C99" w:rsidP="002F6E33">
            <w:pPr>
              <w:spacing w:after="0"/>
              <w:rPr>
                <w:rFonts w:cs="Arial"/>
                <w:i/>
                <w:color w:val="4BACC6"/>
                <w:szCs w:val="18"/>
                <w:highlight w:val="yellow"/>
              </w:rPr>
            </w:pPr>
            <w:r w:rsidRPr="003726BE">
              <w:rPr>
                <w:i/>
                <w:color w:val="F7A833" w:themeColor="accent5"/>
                <w:highlight w:val="yellow"/>
              </w:rPr>
              <w:t>[Obbligatorio].</w:t>
            </w:r>
          </w:p>
        </w:tc>
      </w:tr>
      <w:tr w:rsidR="00E95C99" w:rsidRPr="003726BE" w14:paraId="117BDC44" w14:textId="77777777" w:rsidTr="00473407">
        <w:trPr>
          <w:trHeight w:val="20"/>
          <w:jc w:val="center"/>
        </w:trPr>
        <w:tc>
          <w:tcPr>
            <w:tcW w:w="2962" w:type="dxa"/>
            <w:gridSpan w:val="3"/>
            <w:tcBorders>
              <w:top w:val="single" w:sz="18" w:space="0" w:color="6F6F6F" w:themeColor="text1"/>
              <w:left w:val="single" w:sz="18" w:space="0" w:color="6F6F6F" w:themeColor="text1"/>
              <w:bottom w:val="single" w:sz="18" w:space="0" w:color="6F6F6F" w:themeColor="text1"/>
              <w:right w:val="single" w:sz="4" w:space="0" w:color="000000"/>
            </w:tcBorders>
            <w:shd w:val="clear" w:color="auto" w:fill="auto"/>
            <w:tcMar>
              <w:top w:w="0" w:type="dxa"/>
              <w:left w:w="108" w:type="dxa"/>
              <w:bottom w:w="0" w:type="dxa"/>
              <w:right w:w="108" w:type="dxa"/>
            </w:tcMar>
          </w:tcPr>
          <w:p w14:paraId="3FF80337" w14:textId="77777777" w:rsidR="00E95C99" w:rsidRPr="003726BE" w:rsidRDefault="00E95C99" w:rsidP="00473407">
            <w:pPr>
              <w:pStyle w:val="ListParagraph"/>
              <w:tabs>
                <w:tab w:val="clear" w:pos="709"/>
              </w:tabs>
              <w:ind w:left="10" w:hanging="10"/>
              <w:jc w:val="center"/>
              <w:rPr>
                <w:rFonts w:ascii="Arial" w:hAnsi="Arial" w:cs="Arial"/>
                <w:b/>
                <w:color w:val="373737" w:themeColor="background1" w:themeShade="40"/>
                <w:sz w:val="18"/>
                <w:szCs w:val="18"/>
                <w:highlight w:val="yellow"/>
              </w:rPr>
            </w:pPr>
            <w:r w:rsidRPr="003726BE">
              <w:rPr>
                <w:rFonts w:ascii="Arial" w:hAnsi="Arial"/>
                <w:b/>
                <w:color w:val="373737" w:themeColor="background1" w:themeShade="40"/>
                <w:sz w:val="18"/>
                <w:highlight w:val="yellow"/>
              </w:rPr>
              <w:t>Criteri di giudizio specifici del programma</w:t>
            </w:r>
            <w:r w:rsidRPr="003726BE">
              <w:rPr>
                <w:rStyle w:val="FootnoteReference"/>
                <w:highlight w:val="yellow"/>
              </w:rPr>
              <w:footnoteReference w:id="157"/>
            </w:r>
          </w:p>
          <w:p w14:paraId="28A03AF6" w14:textId="77777777" w:rsidR="00E95C99" w:rsidRPr="003726BE" w:rsidRDefault="00E95C99" w:rsidP="00473407">
            <w:pPr>
              <w:pStyle w:val="ListParagraph"/>
              <w:tabs>
                <w:tab w:val="clear" w:pos="709"/>
              </w:tabs>
              <w:ind w:left="10" w:hanging="10"/>
              <w:jc w:val="center"/>
              <w:rPr>
                <w:rFonts w:ascii="Arial" w:hAnsi="Arial" w:cs="Arial"/>
                <w:i/>
                <w:sz w:val="18"/>
                <w:szCs w:val="18"/>
                <w:highlight w:val="yellow"/>
              </w:rPr>
            </w:pPr>
            <w:r w:rsidRPr="003726BE">
              <w:rPr>
                <w:rFonts w:ascii="Arial" w:hAnsi="Arial"/>
                <w:i/>
                <w:color w:val="F7A833" w:themeColor="accent5"/>
                <w:sz w:val="18"/>
                <w:highlight w:val="yellow"/>
              </w:rPr>
              <w:t>[Max. 255 caratteri]</w:t>
            </w:r>
          </w:p>
        </w:tc>
        <w:tc>
          <w:tcPr>
            <w:tcW w:w="2829" w:type="dxa"/>
            <w:gridSpan w:val="4"/>
            <w:tcBorders>
              <w:top w:val="single" w:sz="18" w:space="0" w:color="6F6F6F" w:themeColor="text1"/>
              <w:left w:val="single" w:sz="4" w:space="0" w:color="000000"/>
              <w:bottom w:val="single" w:sz="18" w:space="0" w:color="6F6F6F" w:themeColor="text1"/>
              <w:right w:val="single" w:sz="4" w:space="0" w:color="000000"/>
            </w:tcBorders>
            <w:shd w:val="clear" w:color="auto" w:fill="auto"/>
            <w:tcMar>
              <w:top w:w="0" w:type="dxa"/>
              <w:left w:w="108" w:type="dxa"/>
              <w:bottom w:w="0" w:type="dxa"/>
              <w:right w:w="108" w:type="dxa"/>
            </w:tcMar>
          </w:tcPr>
          <w:p w14:paraId="2602AB03" w14:textId="77777777" w:rsidR="00E95C99" w:rsidRPr="003726BE" w:rsidRDefault="00E95C99" w:rsidP="00473407">
            <w:pPr>
              <w:pStyle w:val="ListParagraph"/>
              <w:tabs>
                <w:tab w:val="clear" w:pos="709"/>
              </w:tabs>
              <w:ind w:left="23" w:hanging="23"/>
              <w:jc w:val="center"/>
              <w:rPr>
                <w:rFonts w:ascii="Arial" w:hAnsi="Arial" w:cs="Arial"/>
                <w:color w:val="373737" w:themeColor="background1" w:themeShade="40"/>
                <w:sz w:val="18"/>
                <w:szCs w:val="18"/>
                <w:highlight w:val="yellow"/>
              </w:rPr>
            </w:pPr>
            <w:r w:rsidRPr="003726BE">
              <w:rPr>
                <w:rFonts w:ascii="Arial" w:hAnsi="Arial"/>
                <w:b/>
                <w:color w:val="373737" w:themeColor="background1" w:themeShade="40"/>
                <w:sz w:val="18"/>
                <w:highlight w:val="yellow"/>
              </w:rPr>
              <w:t>Indicatori comuni di risultato</w:t>
            </w:r>
            <w:r w:rsidRPr="003726BE">
              <w:rPr>
                <w:rStyle w:val="FootnoteReference"/>
                <w:highlight w:val="yellow"/>
              </w:rPr>
              <w:footnoteReference w:id="158"/>
            </w:r>
          </w:p>
          <w:p w14:paraId="4F675C0B" w14:textId="77777777" w:rsidR="00E95C99" w:rsidRPr="003726BE" w:rsidRDefault="00E95C99" w:rsidP="00473407">
            <w:pPr>
              <w:pStyle w:val="ListParagraph"/>
              <w:tabs>
                <w:tab w:val="clear" w:pos="709"/>
              </w:tabs>
              <w:ind w:left="23" w:hanging="23"/>
              <w:jc w:val="center"/>
              <w:rPr>
                <w:rFonts w:ascii="Arial" w:hAnsi="Arial" w:cs="Arial"/>
                <w:i/>
                <w:sz w:val="18"/>
                <w:szCs w:val="18"/>
                <w:highlight w:val="yellow"/>
              </w:rPr>
            </w:pPr>
            <w:r w:rsidRPr="003726BE">
              <w:rPr>
                <w:rFonts w:ascii="Arial" w:hAnsi="Arial"/>
                <w:i/>
                <w:color w:val="F7A833" w:themeColor="accent5"/>
                <w:sz w:val="18"/>
                <w:highlight w:val="yellow"/>
              </w:rPr>
              <w:t>[Max. 255 caratteri]</w:t>
            </w:r>
          </w:p>
        </w:tc>
        <w:tc>
          <w:tcPr>
            <w:tcW w:w="3096" w:type="dxa"/>
            <w:gridSpan w:val="2"/>
            <w:tcBorders>
              <w:top w:val="single" w:sz="18" w:space="0" w:color="6F6F6F" w:themeColor="text1"/>
              <w:left w:val="single" w:sz="4" w:space="0" w:color="000000"/>
              <w:bottom w:val="single" w:sz="18" w:space="0" w:color="6F6F6F" w:themeColor="text1"/>
              <w:right w:val="single" w:sz="18" w:space="0" w:color="6F6F6F" w:themeColor="text1"/>
            </w:tcBorders>
            <w:shd w:val="clear" w:color="auto" w:fill="auto"/>
            <w:tcMar>
              <w:top w:w="0" w:type="dxa"/>
              <w:left w:w="108" w:type="dxa"/>
              <w:bottom w:w="0" w:type="dxa"/>
              <w:right w:w="108" w:type="dxa"/>
            </w:tcMar>
          </w:tcPr>
          <w:p w14:paraId="4B42F68D" w14:textId="77777777" w:rsidR="00E95C99" w:rsidRPr="003726BE" w:rsidRDefault="00E95C99" w:rsidP="00473407">
            <w:pPr>
              <w:pStyle w:val="ListParagraph"/>
              <w:tabs>
                <w:tab w:val="clear" w:pos="709"/>
              </w:tabs>
              <w:ind w:left="0" w:firstLine="0"/>
              <w:jc w:val="center"/>
              <w:rPr>
                <w:rFonts w:ascii="Arial" w:hAnsi="Arial" w:cs="Arial"/>
                <w:b/>
                <w:color w:val="373737" w:themeColor="background1" w:themeShade="40"/>
                <w:sz w:val="18"/>
                <w:szCs w:val="18"/>
                <w:highlight w:val="yellow"/>
              </w:rPr>
            </w:pPr>
            <w:r w:rsidRPr="003726BE">
              <w:rPr>
                <w:rFonts w:ascii="Arial" w:hAnsi="Arial"/>
                <w:b/>
                <w:color w:val="373737" w:themeColor="background1" w:themeShade="40"/>
                <w:sz w:val="18"/>
                <w:highlight w:val="yellow"/>
              </w:rPr>
              <w:t>Indicatori di risultato specifici per programma</w:t>
            </w:r>
            <w:r w:rsidRPr="003726BE">
              <w:rPr>
                <w:rStyle w:val="FootnoteReference"/>
                <w:highlight w:val="yellow"/>
              </w:rPr>
              <w:footnoteReference w:id="159"/>
            </w:r>
          </w:p>
          <w:p w14:paraId="62F94FEB" w14:textId="77777777" w:rsidR="00E95C99" w:rsidRPr="003726BE" w:rsidRDefault="00E95C99" w:rsidP="00473407">
            <w:pPr>
              <w:pStyle w:val="ListParagraph"/>
              <w:tabs>
                <w:tab w:val="clear" w:pos="709"/>
              </w:tabs>
              <w:ind w:left="0" w:firstLine="0"/>
              <w:jc w:val="center"/>
              <w:rPr>
                <w:rFonts w:ascii="Arial" w:hAnsi="Arial" w:cs="Arial"/>
                <w:i/>
                <w:sz w:val="18"/>
                <w:szCs w:val="18"/>
                <w:highlight w:val="yellow"/>
              </w:rPr>
            </w:pPr>
            <w:r w:rsidRPr="003726BE">
              <w:rPr>
                <w:rFonts w:ascii="Arial" w:hAnsi="Arial"/>
                <w:i/>
                <w:color w:val="F7A833" w:themeColor="accent5"/>
                <w:sz w:val="18"/>
                <w:highlight w:val="yellow"/>
              </w:rPr>
              <w:t>[Max. 255 caratteri]</w:t>
            </w:r>
          </w:p>
        </w:tc>
      </w:tr>
      <w:tr w:rsidR="00E95C99" w:rsidRPr="003726BE" w14:paraId="33BF463C" w14:textId="77777777" w:rsidTr="00473407">
        <w:trPr>
          <w:trHeight w:val="20"/>
          <w:jc w:val="center"/>
        </w:trPr>
        <w:tc>
          <w:tcPr>
            <w:tcW w:w="2962" w:type="dxa"/>
            <w:gridSpan w:val="3"/>
            <w:tcBorders>
              <w:top w:val="single" w:sz="18" w:space="0" w:color="6F6F6F" w:themeColor="text1"/>
              <w:left w:val="single" w:sz="18" w:space="0" w:color="6F6F6F" w:themeColor="text1"/>
              <w:bottom w:val="single" w:sz="18" w:space="0" w:color="6F6F6F" w:themeColor="text1"/>
              <w:right w:val="single" w:sz="4" w:space="0" w:color="000000"/>
            </w:tcBorders>
            <w:shd w:val="clear" w:color="auto" w:fill="auto"/>
            <w:tcMar>
              <w:top w:w="0" w:type="dxa"/>
              <w:left w:w="108" w:type="dxa"/>
              <w:bottom w:w="0" w:type="dxa"/>
              <w:right w:w="108" w:type="dxa"/>
            </w:tcMar>
          </w:tcPr>
          <w:p w14:paraId="57BDD3C6" w14:textId="77777777" w:rsidR="00E95C99" w:rsidRPr="003726BE" w:rsidRDefault="00E95C99" w:rsidP="00473407">
            <w:pPr>
              <w:jc w:val="left"/>
              <w:rPr>
                <w:rFonts w:cs="Arial"/>
                <w:color w:val="373737" w:themeColor="background1" w:themeShade="40"/>
                <w:szCs w:val="18"/>
                <w:highlight w:val="yellow"/>
              </w:rPr>
            </w:pPr>
            <w:r w:rsidRPr="003726BE">
              <w:rPr>
                <w:color w:val="373737" w:themeColor="background1" w:themeShade="40"/>
                <w:highlight w:val="yellow"/>
              </w:rPr>
              <w:t>La produttività della manodopera nelle aziende forestali sovvenzionate è aumentata</w:t>
            </w:r>
          </w:p>
        </w:tc>
        <w:tc>
          <w:tcPr>
            <w:tcW w:w="2829" w:type="dxa"/>
            <w:gridSpan w:val="4"/>
            <w:vMerge w:val="restart"/>
            <w:tcBorders>
              <w:top w:val="single" w:sz="18" w:space="0" w:color="6F6F6F" w:themeColor="text1"/>
              <w:left w:val="single" w:sz="4" w:space="0" w:color="000000"/>
              <w:bottom w:val="single" w:sz="18" w:space="0" w:color="6F6F6F" w:themeColor="text1"/>
              <w:right w:val="single" w:sz="4" w:space="0" w:color="000000"/>
            </w:tcBorders>
            <w:shd w:val="clear" w:color="auto" w:fill="auto"/>
            <w:tcMar>
              <w:top w:w="0" w:type="dxa"/>
              <w:left w:w="108" w:type="dxa"/>
              <w:bottom w:w="0" w:type="dxa"/>
              <w:right w:w="108" w:type="dxa"/>
            </w:tcMar>
          </w:tcPr>
          <w:p w14:paraId="2872402D" w14:textId="77777777" w:rsidR="00E95C99" w:rsidRPr="003726BE" w:rsidRDefault="00E95C99" w:rsidP="002F6E33">
            <w:pPr>
              <w:pStyle w:val="ListParagraph"/>
              <w:rPr>
                <w:rFonts w:ascii="Arial" w:hAnsi="Arial" w:cs="Arial"/>
                <w:sz w:val="18"/>
                <w:szCs w:val="18"/>
                <w:highlight w:val="yellow"/>
              </w:rPr>
            </w:pPr>
          </w:p>
        </w:tc>
        <w:tc>
          <w:tcPr>
            <w:tcW w:w="3096" w:type="dxa"/>
            <w:gridSpan w:val="2"/>
            <w:tcBorders>
              <w:top w:val="single" w:sz="18" w:space="0" w:color="6F6F6F" w:themeColor="text1"/>
              <w:left w:val="single" w:sz="4" w:space="0" w:color="000000"/>
              <w:bottom w:val="single" w:sz="18" w:space="0" w:color="6F6F6F" w:themeColor="text1"/>
              <w:right w:val="single" w:sz="18" w:space="0" w:color="6F6F6F" w:themeColor="text1"/>
            </w:tcBorders>
            <w:shd w:val="clear" w:color="auto" w:fill="auto"/>
            <w:tcMar>
              <w:top w:w="0" w:type="dxa"/>
              <w:left w:w="108" w:type="dxa"/>
              <w:bottom w:w="0" w:type="dxa"/>
              <w:right w:w="108" w:type="dxa"/>
            </w:tcMar>
          </w:tcPr>
          <w:p w14:paraId="4214D1BE" w14:textId="77777777" w:rsidR="00E95C99" w:rsidRPr="003726BE" w:rsidRDefault="00E95C99" w:rsidP="00473407">
            <w:pPr>
              <w:jc w:val="left"/>
              <w:rPr>
                <w:rFonts w:cs="Arial"/>
                <w:color w:val="373737" w:themeColor="background1" w:themeShade="40"/>
                <w:szCs w:val="18"/>
                <w:highlight w:val="yellow"/>
              </w:rPr>
            </w:pPr>
            <w:r w:rsidRPr="003726BE">
              <w:rPr>
                <w:color w:val="373737" w:themeColor="background1" w:themeShade="40"/>
                <w:highlight w:val="yellow"/>
              </w:rPr>
              <w:t xml:space="preserve">PSRI2C/1 - % di aziende forestali che fruiscono del sostegno del PSR per investimenti in tecnologie silvicole </w:t>
            </w:r>
          </w:p>
        </w:tc>
      </w:tr>
      <w:tr w:rsidR="00E95C99" w:rsidRPr="003726BE" w14:paraId="27B0DF7D" w14:textId="77777777" w:rsidTr="00473407">
        <w:trPr>
          <w:trHeight w:val="440"/>
          <w:jc w:val="center"/>
        </w:trPr>
        <w:tc>
          <w:tcPr>
            <w:tcW w:w="2962" w:type="dxa"/>
            <w:gridSpan w:val="3"/>
            <w:vMerge w:val="restart"/>
            <w:tcBorders>
              <w:top w:val="single" w:sz="18" w:space="0" w:color="6F6F6F" w:themeColor="text1"/>
              <w:left w:val="single" w:sz="18" w:space="0" w:color="6F6F6F" w:themeColor="text1"/>
              <w:bottom w:val="single" w:sz="18" w:space="0" w:color="6F6F6F" w:themeColor="text1"/>
              <w:right w:val="single" w:sz="4" w:space="0" w:color="000000"/>
            </w:tcBorders>
            <w:shd w:val="clear" w:color="auto" w:fill="auto"/>
            <w:tcMar>
              <w:top w:w="0" w:type="dxa"/>
              <w:left w:w="108" w:type="dxa"/>
              <w:bottom w:w="0" w:type="dxa"/>
              <w:right w:w="108" w:type="dxa"/>
            </w:tcMar>
          </w:tcPr>
          <w:p w14:paraId="4BF627F7" w14:textId="77777777" w:rsidR="00E95C99" w:rsidRPr="003726BE" w:rsidRDefault="00E95C99" w:rsidP="00B529DB">
            <w:pPr>
              <w:jc w:val="left"/>
              <w:rPr>
                <w:rFonts w:cs="Arial"/>
                <w:color w:val="373737" w:themeColor="background1" w:themeShade="40"/>
                <w:szCs w:val="18"/>
                <w:highlight w:val="yellow"/>
              </w:rPr>
            </w:pPr>
            <w:r w:rsidRPr="003726BE">
              <w:rPr>
                <w:color w:val="373737" w:themeColor="background1" w:themeShade="40"/>
                <w:highlight w:val="yellow"/>
              </w:rPr>
              <w:t>La partecipazione al mercato delle aziende forestali è cresciuta</w:t>
            </w:r>
          </w:p>
        </w:tc>
        <w:tc>
          <w:tcPr>
            <w:tcW w:w="2829" w:type="dxa"/>
            <w:gridSpan w:val="4"/>
            <w:vMerge/>
            <w:tcBorders>
              <w:top w:val="single" w:sz="18" w:space="0" w:color="6F6F6F" w:themeColor="text1"/>
              <w:left w:val="single" w:sz="4" w:space="0" w:color="000000"/>
              <w:bottom w:val="single" w:sz="18" w:space="0" w:color="6F6F6F" w:themeColor="text1"/>
              <w:right w:val="single" w:sz="4" w:space="0" w:color="000000"/>
            </w:tcBorders>
            <w:shd w:val="clear" w:color="auto" w:fill="auto"/>
            <w:tcMar>
              <w:top w:w="0" w:type="dxa"/>
              <w:left w:w="108" w:type="dxa"/>
              <w:bottom w:w="0" w:type="dxa"/>
              <w:right w:w="108" w:type="dxa"/>
            </w:tcMar>
          </w:tcPr>
          <w:p w14:paraId="3D68031A" w14:textId="77777777" w:rsidR="00E95C99" w:rsidRPr="003726BE" w:rsidRDefault="00E95C99" w:rsidP="002F6E33">
            <w:pPr>
              <w:pStyle w:val="ListParagraph"/>
              <w:rPr>
                <w:rFonts w:ascii="Arial" w:hAnsi="Arial" w:cs="Arial"/>
                <w:sz w:val="18"/>
                <w:szCs w:val="18"/>
                <w:highlight w:val="yellow"/>
              </w:rPr>
            </w:pPr>
          </w:p>
        </w:tc>
        <w:tc>
          <w:tcPr>
            <w:tcW w:w="3096" w:type="dxa"/>
            <w:gridSpan w:val="2"/>
            <w:tcBorders>
              <w:top w:val="single" w:sz="18" w:space="0" w:color="6F6F6F" w:themeColor="text1"/>
              <w:left w:val="single" w:sz="4" w:space="0" w:color="000000"/>
              <w:bottom w:val="single" w:sz="18" w:space="0" w:color="6F6F6F" w:themeColor="text1"/>
              <w:right w:val="single" w:sz="18" w:space="0" w:color="6F6F6F" w:themeColor="text1"/>
            </w:tcBorders>
            <w:shd w:val="clear" w:color="auto" w:fill="auto"/>
            <w:tcMar>
              <w:top w:w="0" w:type="dxa"/>
              <w:left w:w="108" w:type="dxa"/>
              <w:bottom w:w="0" w:type="dxa"/>
              <w:right w:w="108" w:type="dxa"/>
            </w:tcMar>
          </w:tcPr>
          <w:p w14:paraId="5A4BC427" w14:textId="77777777" w:rsidR="00E95C99" w:rsidRPr="003726BE" w:rsidRDefault="00E95C99" w:rsidP="00473407">
            <w:pPr>
              <w:jc w:val="left"/>
              <w:rPr>
                <w:rFonts w:cs="Arial"/>
                <w:color w:val="373737" w:themeColor="background1" w:themeShade="40"/>
                <w:szCs w:val="18"/>
                <w:highlight w:val="yellow"/>
              </w:rPr>
            </w:pPr>
            <w:r w:rsidRPr="003726BE">
              <w:rPr>
                <w:color w:val="373737" w:themeColor="background1" w:themeShade="40"/>
                <w:highlight w:val="yellow"/>
              </w:rPr>
              <w:t>PSRI2C/2 - Vendite/produzione totale</w:t>
            </w:r>
          </w:p>
        </w:tc>
      </w:tr>
      <w:tr w:rsidR="00E95C99" w:rsidRPr="003726BE" w14:paraId="64E1B33A" w14:textId="77777777" w:rsidTr="00473407">
        <w:trPr>
          <w:trHeight w:val="470"/>
          <w:jc w:val="center"/>
        </w:trPr>
        <w:tc>
          <w:tcPr>
            <w:tcW w:w="2962" w:type="dxa"/>
            <w:gridSpan w:val="3"/>
            <w:vMerge/>
            <w:tcBorders>
              <w:top w:val="single" w:sz="18" w:space="0" w:color="6F6F6F" w:themeColor="text1"/>
              <w:left w:val="single" w:sz="18" w:space="0" w:color="6F6F6F" w:themeColor="text1"/>
              <w:bottom w:val="single" w:sz="18" w:space="0" w:color="6F6F6F" w:themeColor="text1"/>
              <w:right w:val="single" w:sz="4" w:space="0" w:color="000000"/>
            </w:tcBorders>
            <w:shd w:val="clear" w:color="auto" w:fill="auto"/>
            <w:tcMar>
              <w:top w:w="0" w:type="dxa"/>
              <w:left w:w="108" w:type="dxa"/>
              <w:bottom w:w="0" w:type="dxa"/>
              <w:right w:w="108" w:type="dxa"/>
            </w:tcMar>
          </w:tcPr>
          <w:p w14:paraId="477A97A6" w14:textId="77777777" w:rsidR="00E95C99" w:rsidRPr="003726BE" w:rsidRDefault="00E95C99" w:rsidP="001A31FB">
            <w:pPr>
              <w:pStyle w:val="ListParagraph"/>
              <w:numPr>
                <w:ilvl w:val="0"/>
                <w:numId w:val="38"/>
              </w:numPr>
              <w:tabs>
                <w:tab w:val="clear" w:pos="709"/>
              </w:tabs>
              <w:spacing w:line="240" w:lineRule="auto"/>
              <w:contextualSpacing/>
              <w:jc w:val="both"/>
              <w:outlineLvl w:val="9"/>
              <w:rPr>
                <w:rFonts w:ascii="Arial" w:hAnsi="Arial" w:cs="Arial"/>
                <w:sz w:val="18"/>
                <w:szCs w:val="18"/>
                <w:highlight w:val="yellow"/>
              </w:rPr>
            </w:pPr>
          </w:p>
        </w:tc>
        <w:tc>
          <w:tcPr>
            <w:tcW w:w="2829" w:type="dxa"/>
            <w:gridSpan w:val="4"/>
            <w:vMerge/>
            <w:tcBorders>
              <w:top w:val="single" w:sz="18" w:space="0" w:color="6F6F6F" w:themeColor="text1"/>
              <w:left w:val="single" w:sz="4" w:space="0" w:color="000000"/>
              <w:bottom w:val="single" w:sz="18" w:space="0" w:color="6F6F6F" w:themeColor="text1"/>
              <w:right w:val="single" w:sz="4" w:space="0" w:color="000000"/>
            </w:tcBorders>
            <w:shd w:val="clear" w:color="auto" w:fill="auto"/>
            <w:tcMar>
              <w:top w:w="0" w:type="dxa"/>
              <w:left w:w="108" w:type="dxa"/>
              <w:bottom w:w="0" w:type="dxa"/>
              <w:right w:w="108" w:type="dxa"/>
            </w:tcMar>
          </w:tcPr>
          <w:p w14:paraId="4518A1F5" w14:textId="77777777" w:rsidR="00E95C99" w:rsidRPr="003726BE" w:rsidRDefault="00E95C99" w:rsidP="002F6E33">
            <w:pPr>
              <w:pStyle w:val="ListParagraph"/>
              <w:rPr>
                <w:rFonts w:ascii="Arial" w:hAnsi="Arial" w:cs="Arial"/>
                <w:sz w:val="18"/>
                <w:szCs w:val="18"/>
                <w:highlight w:val="yellow"/>
              </w:rPr>
            </w:pPr>
          </w:p>
        </w:tc>
        <w:tc>
          <w:tcPr>
            <w:tcW w:w="3096" w:type="dxa"/>
            <w:gridSpan w:val="2"/>
            <w:tcBorders>
              <w:top w:val="single" w:sz="18" w:space="0" w:color="6F6F6F" w:themeColor="text1"/>
              <w:left w:val="single" w:sz="4" w:space="0" w:color="000000"/>
              <w:bottom w:val="single" w:sz="18" w:space="0" w:color="6F6F6F" w:themeColor="text1"/>
              <w:right w:val="single" w:sz="18" w:space="0" w:color="6F6F6F" w:themeColor="text1"/>
            </w:tcBorders>
            <w:shd w:val="clear" w:color="auto" w:fill="auto"/>
            <w:tcMar>
              <w:top w:w="0" w:type="dxa"/>
              <w:left w:w="108" w:type="dxa"/>
              <w:bottom w:w="0" w:type="dxa"/>
              <w:right w:w="108" w:type="dxa"/>
            </w:tcMar>
          </w:tcPr>
          <w:p w14:paraId="5D0A07FF" w14:textId="77777777" w:rsidR="00E95C99" w:rsidRPr="003726BE" w:rsidRDefault="00E95C99" w:rsidP="00473407">
            <w:pPr>
              <w:jc w:val="left"/>
              <w:rPr>
                <w:rFonts w:cs="Arial"/>
                <w:color w:val="373737" w:themeColor="background1" w:themeShade="40"/>
                <w:szCs w:val="18"/>
                <w:highlight w:val="yellow"/>
              </w:rPr>
            </w:pPr>
            <w:r w:rsidRPr="003726BE">
              <w:rPr>
                <w:color w:val="373737" w:themeColor="background1" w:themeShade="40"/>
                <w:highlight w:val="yellow"/>
              </w:rPr>
              <w:t xml:space="preserve">PSRI2C/3 – Produttività della manodopera nel settore forestale (anche CMES CCI 15) </w:t>
            </w:r>
          </w:p>
        </w:tc>
      </w:tr>
      <w:tr w:rsidR="00E95C99" w:rsidRPr="003726BE" w14:paraId="5C1F0038" w14:textId="77777777" w:rsidTr="00473407">
        <w:trPr>
          <w:trHeight w:val="35"/>
          <w:jc w:val="center"/>
        </w:trPr>
        <w:tc>
          <w:tcPr>
            <w:tcW w:w="8887" w:type="dxa"/>
            <w:gridSpan w:val="9"/>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14:paraId="41A59FFF" w14:textId="77777777" w:rsidR="00E95C99" w:rsidRPr="003726BE" w:rsidRDefault="00E95C99" w:rsidP="001A31FB">
            <w:pPr>
              <w:pStyle w:val="ListParagraph"/>
              <w:numPr>
                <w:ilvl w:val="0"/>
                <w:numId w:val="41"/>
              </w:numPr>
              <w:suppressAutoHyphens/>
              <w:autoSpaceDN w:val="0"/>
              <w:spacing w:after="0" w:line="240" w:lineRule="auto"/>
              <w:textAlignment w:val="baseline"/>
              <w:outlineLvl w:val="9"/>
              <w:rPr>
                <w:rFonts w:ascii="Arial" w:hAnsi="Arial" w:cs="Arial"/>
                <w:b/>
                <w:color w:val="ED7D31"/>
                <w:sz w:val="18"/>
                <w:szCs w:val="18"/>
                <w:highlight w:val="yellow"/>
              </w:rPr>
            </w:pPr>
            <w:r w:rsidRPr="003726BE">
              <w:rPr>
                <w:rFonts w:ascii="Arial" w:hAnsi="Arial"/>
                <w:b/>
                <w:color w:val="ED7D31"/>
                <w:sz w:val="18"/>
                <w:highlight w:val="yellow"/>
              </w:rPr>
              <w:t>Metodo applicato</w:t>
            </w:r>
            <w:r w:rsidRPr="003726BE">
              <w:rPr>
                <w:rStyle w:val="FootnoteReference"/>
                <w:highlight w:val="yellow"/>
              </w:rPr>
              <w:footnoteReference w:id="160"/>
            </w:r>
          </w:p>
          <w:p w14:paraId="09F7D102" w14:textId="77777777" w:rsidR="00E95C99" w:rsidRPr="003726BE" w:rsidRDefault="00E95C99" w:rsidP="002F6E33">
            <w:pPr>
              <w:spacing w:after="0"/>
              <w:rPr>
                <w:rFonts w:cs="Arial"/>
                <w:b/>
                <w:szCs w:val="18"/>
                <w:highlight w:val="yellow"/>
              </w:rPr>
            </w:pPr>
          </w:p>
          <w:p w14:paraId="0319E544" w14:textId="77777777" w:rsidR="00E95C99" w:rsidRPr="003726BE" w:rsidRDefault="00E95C99" w:rsidP="00626F04">
            <w:pPr>
              <w:pStyle w:val="ListParagraph"/>
              <w:suppressAutoHyphens/>
              <w:autoSpaceDN w:val="0"/>
              <w:spacing w:after="0"/>
              <w:textAlignment w:val="baseline"/>
              <w:rPr>
                <w:rFonts w:ascii="Arial" w:hAnsi="Arial" w:cs="Arial"/>
                <w:b/>
                <w:sz w:val="18"/>
                <w:szCs w:val="18"/>
                <w:highlight w:val="yellow"/>
              </w:rPr>
            </w:pPr>
            <w:r w:rsidRPr="003726BE">
              <w:rPr>
                <w:rFonts w:ascii="Arial" w:hAnsi="Arial"/>
                <w:b/>
                <w:color w:val="373737" w:themeColor="background1" w:themeShade="40"/>
                <w:sz w:val="18"/>
                <w:highlight w:val="yellow"/>
              </w:rPr>
              <w:t>Metodi quantitativi</w:t>
            </w:r>
            <w:r w:rsidRPr="003726BE">
              <w:rPr>
                <w:rStyle w:val="FootnoteReference"/>
                <w:highlight w:val="yellow"/>
              </w:rPr>
              <w:footnoteReference w:id="161"/>
            </w:r>
            <w:r w:rsidRPr="003726BE">
              <w:rPr>
                <w:rFonts w:ascii="Arial" w:hAnsi="Arial"/>
                <w:b/>
                <w:sz w:val="18"/>
                <w:highlight w:val="yellow"/>
              </w:rPr>
              <w:t xml:space="preserve"> </w:t>
            </w:r>
          </w:p>
          <w:p w14:paraId="137D0346" w14:textId="77777777" w:rsidR="00E95C99" w:rsidRPr="003726BE" w:rsidRDefault="00E95C99" w:rsidP="001A31FB">
            <w:pPr>
              <w:pStyle w:val="ListParagraph"/>
              <w:numPr>
                <w:ilvl w:val="2"/>
                <w:numId w:val="42"/>
              </w:numPr>
              <w:suppressAutoHyphens/>
              <w:autoSpaceDN w:val="0"/>
              <w:spacing w:after="0" w:line="240" w:lineRule="auto"/>
              <w:textAlignment w:val="baseline"/>
              <w:outlineLvl w:val="9"/>
              <w:rPr>
                <w:rFonts w:ascii="Arial" w:hAnsi="Arial" w:cs="Arial"/>
                <w:color w:val="373737" w:themeColor="background1" w:themeShade="40"/>
                <w:sz w:val="18"/>
                <w:szCs w:val="18"/>
                <w:highlight w:val="yellow"/>
              </w:rPr>
            </w:pPr>
            <w:r w:rsidRPr="003726BE">
              <w:rPr>
                <w:rFonts w:ascii="Arial" w:hAnsi="Arial"/>
                <w:color w:val="373737" w:themeColor="background1" w:themeShade="40"/>
                <w:sz w:val="18"/>
                <w:highlight w:val="yellow"/>
              </w:rPr>
              <w:t xml:space="preserve">Motivazioni </w:t>
            </w:r>
            <w:r w:rsidR="00E7404C">
              <w:rPr>
                <w:rFonts w:ascii="Arial" w:hAnsi="Arial"/>
                <w:color w:val="373737" w:themeColor="background1" w:themeShade="40"/>
                <w:sz w:val="18"/>
                <w:highlight w:val="yellow"/>
              </w:rPr>
              <w:t>per l'utilizzo di questo metodo</w:t>
            </w:r>
            <w:r w:rsidRPr="003726BE">
              <w:rPr>
                <w:rFonts w:ascii="Arial" w:hAnsi="Arial"/>
                <w:color w:val="373737" w:themeColor="background1" w:themeShade="40"/>
                <w:sz w:val="18"/>
                <w:highlight w:val="yellow"/>
              </w:rPr>
              <w:t xml:space="preserve"> </w:t>
            </w:r>
          </w:p>
          <w:p w14:paraId="3DF3564B" w14:textId="77777777" w:rsidR="00E95C99" w:rsidRPr="003726BE" w:rsidRDefault="00E95C99" w:rsidP="001A31FB">
            <w:pPr>
              <w:pStyle w:val="ListParagraph"/>
              <w:numPr>
                <w:ilvl w:val="2"/>
                <w:numId w:val="42"/>
              </w:numPr>
              <w:suppressAutoHyphens/>
              <w:autoSpaceDN w:val="0"/>
              <w:spacing w:after="0" w:line="240" w:lineRule="auto"/>
              <w:textAlignment w:val="baseline"/>
              <w:outlineLvl w:val="9"/>
              <w:rPr>
                <w:rFonts w:ascii="Arial" w:hAnsi="Arial" w:cs="Arial"/>
                <w:color w:val="373737" w:themeColor="background1" w:themeShade="40"/>
                <w:sz w:val="18"/>
                <w:szCs w:val="18"/>
                <w:highlight w:val="yellow"/>
              </w:rPr>
            </w:pPr>
            <w:r w:rsidRPr="003726BE">
              <w:rPr>
                <w:rFonts w:ascii="Arial" w:hAnsi="Arial"/>
                <w:color w:val="373737" w:themeColor="background1" w:themeShade="40"/>
                <w:sz w:val="18"/>
                <w:highlight w:val="yellow"/>
              </w:rPr>
              <w:t>Descrizione dei metodi per calcolare rapporti, valori lordi o netti (se del caso) di indicatori comuni e specifici per programma</w:t>
            </w:r>
            <w:r w:rsidRPr="003726BE">
              <w:rPr>
                <w:rStyle w:val="FootnoteReference"/>
                <w:highlight w:val="yellow"/>
              </w:rPr>
              <w:footnoteReference w:id="162"/>
            </w:r>
          </w:p>
          <w:p w14:paraId="3B425F20" w14:textId="77777777" w:rsidR="00E95C99" w:rsidRPr="003726BE" w:rsidRDefault="00E95C99" w:rsidP="00473407">
            <w:pPr>
              <w:tabs>
                <w:tab w:val="left" w:pos="709"/>
              </w:tabs>
              <w:suppressAutoHyphens/>
              <w:autoSpaceDN w:val="0"/>
              <w:spacing w:after="60"/>
              <w:textAlignment w:val="baseline"/>
              <w:rPr>
                <w:rFonts w:cs="Arial"/>
                <w:color w:val="373737" w:themeColor="background1" w:themeShade="40"/>
                <w:szCs w:val="18"/>
                <w:highlight w:val="yellow"/>
              </w:rPr>
            </w:pPr>
            <w:r w:rsidRPr="003726BE">
              <w:rPr>
                <w:color w:val="373737" w:themeColor="background1" w:themeShade="40"/>
                <w:highlight w:val="yellow"/>
              </w:rPr>
              <w:t>Il calcolo dell'indicatore PSRI2C/1 (%) e dell'indicatore di prodotto (utilizzato per calcolare PSRI2C/1) si è basato sui dati raccolti tramite la banca dati delle operazioni. Il calcolo dei valori lordi di PSRI2C/2 e PSRI2C/3 si è basato sui dati per la valutazione raccolti tramite la banca dati delle operazioni relativamente ai soli beneficiari e sui risultati dell'indagine.</w:t>
            </w:r>
          </w:p>
          <w:p w14:paraId="7C482D55" w14:textId="77777777" w:rsidR="00E95C99" w:rsidRPr="003726BE" w:rsidRDefault="00E95C99" w:rsidP="00473407">
            <w:pPr>
              <w:pStyle w:val="ListParagraph"/>
              <w:suppressAutoHyphens/>
              <w:autoSpaceDN w:val="0"/>
              <w:spacing w:before="60" w:after="60" w:line="220" w:lineRule="atLeast"/>
              <w:ind w:left="0" w:firstLine="0"/>
              <w:textAlignment w:val="baseline"/>
              <w:rPr>
                <w:rFonts w:ascii="Arial" w:hAnsi="Arial" w:cs="Arial"/>
                <w:color w:val="373737" w:themeColor="background1" w:themeShade="40"/>
                <w:sz w:val="18"/>
                <w:szCs w:val="18"/>
                <w:highlight w:val="yellow"/>
              </w:rPr>
            </w:pPr>
            <w:r w:rsidRPr="003726BE">
              <w:rPr>
                <w:rFonts w:ascii="Arial" w:hAnsi="Arial"/>
                <w:color w:val="373737" w:themeColor="background1" w:themeShade="40"/>
                <w:sz w:val="18"/>
                <w:highlight w:val="yellow"/>
              </w:rPr>
              <w:t>Valore dell'indicatore di contesto specifico per programma: il numero delle aziende forestali è stato ottenuto dalle statistiche nazionali.</w:t>
            </w:r>
          </w:p>
          <w:p w14:paraId="7800067E" w14:textId="77777777" w:rsidR="00E95C99" w:rsidRPr="003726BE" w:rsidRDefault="00E95C99" w:rsidP="00473407">
            <w:pPr>
              <w:tabs>
                <w:tab w:val="left" w:pos="709"/>
              </w:tabs>
              <w:suppressAutoHyphens/>
              <w:autoSpaceDN w:val="0"/>
              <w:spacing w:after="60"/>
              <w:textAlignment w:val="baseline"/>
              <w:rPr>
                <w:rFonts w:cs="Arial"/>
                <w:color w:val="373737" w:themeColor="background1" w:themeShade="40"/>
                <w:szCs w:val="18"/>
                <w:highlight w:val="yellow"/>
              </w:rPr>
            </w:pPr>
            <w:r w:rsidRPr="003726BE">
              <w:rPr>
                <w:color w:val="373737" w:themeColor="background1" w:themeShade="40"/>
                <w:highlight w:val="yellow"/>
              </w:rPr>
              <w:t>Per PSRI2C/2 e PSRI2C/3 la valutazione è stata condotta in 2 fasi.</w:t>
            </w:r>
          </w:p>
          <w:p w14:paraId="34061047" w14:textId="77777777" w:rsidR="00E95C99" w:rsidRPr="003726BE" w:rsidRDefault="00E95C99" w:rsidP="00473407">
            <w:pPr>
              <w:tabs>
                <w:tab w:val="left" w:pos="709"/>
              </w:tabs>
              <w:suppressAutoHyphens/>
              <w:autoSpaceDN w:val="0"/>
              <w:spacing w:after="60"/>
              <w:textAlignment w:val="baseline"/>
              <w:rPr>
                <w:rFonts w:cs="Arial"/>
                <w:color w:val="373737" w:themeColor="background1" w:themeShade="40"/>
                <w:szCs w:val="18"/>
                <w:highlight w:val="yellow"/>
              </w:rPr>
            </w:pPr>
            <w:r w:rsidRPr="003726BE">
              <w:rPr>
                <w:color w:val="373737" w:themeColor="background1" w:themeShade="40"/>
                <w:highlight w:val="yellow"/>
              </w:rPr>
              <w:t xml:space="preserve">Fase 1: Stima dei contributi primari delle operazioni di misure del PSR direttamente attribuibili all'aspetto specifico 2C (misure: M2.1, M8.6 e M16.3). </w:t>
            </w:r>
          </w:p>
          <w:p w14:paraId="67AB3B0C" w14:textId="77777777" w:rsidR="00E95C99" w:rsidRPr="003726BE" w:rsidRDefault="00E95C99" w:rsidP="00473407">
            <w:pPr>
              <w:tabs>
                <w:tab w:val="left" w:pos="709"/>
              </w:tabs>
              <w:suppressAutoHyphens/>
              <w:autoSpaceDN w:val="0"/>
              <w:spacing w:after="60"/>
              <w:textAlignment w:val="baseline"/>
              <w:rPr>
                <w:rFonts w:cs="Arial"/>
                <w:color w:val="373737" w:themeColor="background1" w:themeShade="40"/>
                <w:szCs w:val="18"/>
                <w:highlight w:val="yellow"/>
              </w:rPr>
            </w:pPr>
            <w:r w:rsidRPr="003726BE">
              <w:rPr>
                <w:color w:val="373737" w:themeColor="background1" w:themeShade="40"/>
                <w:highlight w:val="yellow"/>
              </w:rPr>
              <w:t xml:space="preserve">Fase 2: Stima dei contributi secondari di quelle operazioni di misure del PSR il cui principale obiettivo è legato a un altro aspetto specifico (ad esempio la biodiversità M12.2), ma che si prevede abbia anche un effetto sulla competitività e sulle prestazioni economiche delle aziende forestali e, quindi, sulla produttività della manodopera agricola. </w:t>
            </w:r>
          </w:p>
          <w:p w14:paraId="2F053199" w14:textId="77777777" w:rsidR="00E95C99" w:rsidRPr="003726BE" w:rsidRDefault="00E95C99" w:rsidP="001A31FB">
            <w:pPr>
              <w:pStyle w:val="ListParagraph"/>
              <w:numPr>
                <w:ilvl w:val="2"/>
                <w:numId w:val="43"/>
              </w:numPr>
              <w:suppressAutoHyphens/>
              <w:autoSpaceDN w:val="0"/>
              <w:spacing w:before="60" w:after="60" w:line="220" w:lineRule="atLeast"/>
              <w:textAlignment w:val="baseline"/>
              <w:outlineLvl w:val="9"/>
              <w:rPr>
                <w:rFonts w:ascii="Arial" w:hAnsi="Arial" w:cs="Arial"/>
                <w:color w:val="373737" w:themeColor="background1" w:themeShade="40"/>
                <w:sz w:val="18"/>
                <w:szCs w:val="18"/>
                <w:highlight w:val="yellow"/>
              </w:rPr>
            </w:pPr>
            <w:r w:rsidRPr="003726BE">
              <w:rPr>
                <w:rFonts w:ascii="Arial" w:hAnsi="Arial"/>
                <w:color w:val="373737" w:themeColor="background1" w:themeShade="40"/>
                <w:sz w:val="18"/>
                <w:highlight w:val="yellow"/>
              </w:rPr>
              <w:t>Sfide nell'applicazione dei metodi descritti e soluzioni trovate</w:t>
            </w:r>
          </w:p>
          <w:p w14:paraId="754C862F" w14:textId="77777777" w:rsidR="00E95C99" w:rsidRPr="003726BE" w:rsidRDefault="00E95C99" w:rsidP="002F6E33">
            <w:pPr>
              <w:tabs>
                <w:tab w:val="left" w:pos="709"/>
              </w:tabs>
              <w:suppressAutoHyphens/>
              <w:autoSpaceDN w:val="0"/>
              <w:spacing w:after="0"/>
              <w:textAlignment w:val="baseline"/>
              <w:rPr>
                <w:rFonts w:cs="Arial"/>
                <w:color w:val="373737" w:themeColor="background1" w:themeShade="40"/>
                <w:szCs w:val="18"/>
                <w:highlight w:val="yellow"/>
              </w:rPr>
            </w:pPr>
            <w:r w:rsidRPr="003726BE">
              <w:rPr>
                <w:color w:val="373737" w:themeColor="background1" w:themeShade="40"/>
                <w:highlight w:val="yellow"/>
              </w:rPr>
              <w:t xml:space="preserve">Si prevede, tra l'altro, che tutte le misure direttamente imputabili all'aspetto specifico 2C influenzino la produttività della manodopera delle aziende (indicatore PSRI2C/3) del beneficiario del programma. La stima dei contributi summenzionati ha richiesto dati aggiuntivi, ad esempio, in merito all'ubicazione delle aziende </w:t>
            </w:r>
            <w:r w:rsidRPr="003726BE">
              <w:rPr>
                <w:color w:val="373737" w:themeColor="background1" w:themeShade="40"/>
                <w:highlight w:val="yellow"/>
              </w:rPr>
              <w:lastRenderedPageBreak/>
              <w:t>agricole sovvenzionate e non sovvenzionate. Per la RAA 2017 gli indicatori PSRI2C/2 e PSRI2C/3 sono stati calcolati solo in valori lordi. È stato possibile prendere in considerazione soltanto i beneficiari del PSR a causa della mancanza di dati statis</w:t>
            </w:r>
            <w:r w:rsidR="00E7404C">
              <w:rPr>
                <w:color w:val="373737" w:themeColor="background1" w:themeShade="40"/>
                <w:highlight w:val="yellow"/>
              </w:rPr>
              <w:t>tici accessibili per il 2016.</w:t>
            </w:r>
            <w:r w:rsidRPr="003726BE">
              <w:rPr>
                <w:color w:val="373737" w:themeColor="background1" w:themeShade="40"/>
                <w:highlight w:val="yellow"/>
              </w:rPr>
              <w:t xml:space="preserve"> </w:t>
            </w:r>
          </w:p>
          <w:p w14:paraId="13C49D7B" w14:textId="77777777" w:rsidR="00E95C99" w:rsidRPr="003726BE" w:rsidRDefault="00E95C99" w:rsidP="002F6E33">
            <w:pPr>
              <w:pStyle w:val="ListParagraph"/>
              <w:suppressAutoHyphens/>
              <w:autoSpaceDN w:val="0"/>
              <w:spacing w:after="0"/>
              <w:ind w:left="0"/>
              <w:textAlignment w:val="baseline"/>
              <w:rPr>
                <w:rFonts w:ascii="Arial" w:hAnsi="Arial" w:cs="Arial"/>
                <w:b/>
                <w:color w:val="373737" w:themeColor="background1" w:themeShade="40"/>
                <w:sz w:val="18"/>
                <w:szCs w:val="18"/>
                <w:highlight w:val="yellow"/>
              </w:rPr>
            </w:pPr>
          </w:p>
          <w:p w14:paraId="78DA3A71" w14:textId="77777777" w:rsidR="004F3EE2" w:rsidRPr="003726BE" w:rsidRDefault="004F3EE2" w:rsidP="00626F04">
            <w:pPr>
              <w:pStyle w:val="ListParagraph"/>
              <w:suppressAutoHyphens/>
              <w:autoSpaceDN w:val="0"/>
              <w:spacing w:after="0"/>
              <w:textAlignment w:val="baseline"/>
              <w:rPr>
                <w:rFonts w:ascii="Arial" w:hAnsi="Arial" w:cs="Arial"/>
                <w:b/>
                <w:color w:val="373737" w:themeColor="background1" w:themeShade="40"/>
                <w:sz w:val="18"/>
                <w:szCs w:val="18"/>
                <w:highlight w:val="yellow"/>
              </w:rPr>
            </w:pPr>
          </w:p>
          <w:p w14:paraId="6700FB2F" w14:textId="77777777" w:rsidR="004F3EE2" w:rsidRPr="003726BE" w:rsidRDefault="004F3EE2" w:rsidP="00626F04">
            <w:pPr>
              <w:pStyle w:val="ListParagraph"/>
              <w:suppressAutoHyphens/>
              <w:autoSpaceDN w:val="0"/>
              <w:spacing w:after="0"/>
              <w:textAlignment w:val="baseline"/>
              <w:rPr>
                <w:rFonts w:ascii="Arial" w:hAnsi="Arial" w:cs="Arial"/>
                <w:b/>
                <w:color w:val="373737" w:themeColor="background1" w:themeShade="40"/>
                <w:sz w:val="18"/>
                <w:szCs w:val="18"/>
                <w:highlight w:val="yellow"/>
              </w:rPr>
            </w:pPr>
          </w:p>
          <w:p w14:paraId="2BB116E9" w14:textId="77777777" w:rsidR="00E95C99" w:rsidRPr="003726BE" w:rsidRDefault="00E7404C" w:rsidP="00626F04">
            <w:pPr>
              <w:pStyle w:val="ListParagraph"/>
              <w:suppressAutoHyphens/>
              <w:autoSpaceDN w:val="0"/>
              <w:spacing w:after="0"/>
              <w:textAlignment w:val="baseline"/>
              <w:rPr>
                <w:rFonts w:ascii="Arial" w:hAnsi="Arial" w:cs="Arial"/>
                <w:b/>
                <w:color w:val="373737" w:themeColor="background1" w:themeShade="40"/>
                <w:sz w:val="18"/>
                <w:szCs w:val="18"/>
                <w:highlight w:val="yellow"/>
              </w:rPr>
            </w:pPr>
            <w:r>
              <w:rPr>
                <w:rFonts w:ascii="Arial" w:hAnsi="Arial"/>
                <w:b/>
                <w:color w:val="373737" w:themeColor="background1" w:themeShade="40"/>
                <w:sz w:val="18"/>
                <w:highlight w:val="yellow"/>
              </w:rPr>
              <w:t>Metodi qualitativi</w:t>
            </w:r>
            <w:r w:rsidR="00E95C99" w:rsidRPr="003726BE">
              <w:rPr>
                <w:rFonts w:ascii="Arial" w:hAnsi="Arial"/>
                <w:b/>
                <w:color w:val="373737" w:themeColor="background1" w:themeShade="40"/>
                <w:sz w:val="18"/>
                <w:highlight w:val="yellow"/>
              </w:rPr>
              <w:t xml:space="preserve"> </w:t>
            </w:r>
          </w:p>
          <w:p w14:paraId="43C8C482" w14:textId="77777777" w:rsidR="00E95C99" w:rsidRPr="003726BE" w:rsidRDefault="00E95C99" w:rsidP="001A31FB">
            <w:pPr>
              <w:pStyle w:val="ListParagraph"/>
              <w:numPr>
                <w:ilvl w:val="2"/>
                <w:numId w:val="44"/>
              </w:numPr>
              <w:suppressAutoHyphens/>
              <w:autoSpaceDN w:val="0"/>
              <w:spacing w:after="0" w:line="240" w:lineRule="auto"/>
              <w:textAlignment w:val="baseline"/>
              <w:outlineLvl w:val="9"/>
              <w:rPr>
                <w:rFonts w:ascii="Arial" w:hAnsi="Arial" w:cs="Arial"/>
                <w:color w:val="373737" w:themeColor="background1" w:themeShade="40"/>
                <w:sz w:val="18"/>
                <w:szCs w:val="18"/>
                <w:highlight w:val="yellow"/>
              </w:rPr>
            </w:pPr>
            <w:r w:rsidRPr="003726BE">
              <w:rPr>
                <w:rFonts w:ascii="Arial" w:hAnsi="Arial"/>
                <w:color w:val="373737" w:themeColor="background1" w:themeShade="40"/>
                <w:sz w:val="18"/>
                <w:highlight w:val="yellow"/>
              </w:rPr>
              <w:t>Motivazioni per l'utilizzo di questo metodo</w:t>
            </w:r>
            <w:r w:rsidRPr="003726BE">
              <w:rPr>
                <w:rStyle w:val="FootnoteReference"/>
                <w:highlight w:val="yellow"/>
              </w:rPr>
              <w:footnoteReference w:id="163"/>
            </w:r>
          </w:p>
          <w:p w14:paraId="08277D3B" w14:textId="77777777" w:rsidR="00E95C99" w:rsidRPr="003726BE" w:rsidRDefault="00E95C99" w:rsidP="001A31FB">
            <w:pPr>
              <w:pStyle w:val="ListParagraph"/>
              <w:numPr>
                <w:ilvl w:val="2"/>
                <w:numId w:val="44"/>
              </w:numPr>
              <w:suppressAutoHyphens/>
              <w:autoSpaceDN w:val="0"/>
              <w:spacing w:after="0" w:line="240" w:lineRule="auto"/>
              <w:textAlignment w:val="baseline"/>
              <w:outlineLvl w:val="9"/>
              <w:rPr>
                <w:rFonts w:ascii="Arial" w:hAnsi="Arial" w:cs="Arial"/>
                <w:color w:val="373737" w:themeColor="background1" w:themeShade="40"/>
                <w:sz w:val="18"/>
                <w:szCs w:val="18"/>
                <w:highlight w:val="yellow"/>
              </w:rPr>
            </w:pPr>
            <w:r w:rsidRPr="003726BE">
              <w:rPr>
                <w:rFonts w:ascii="Arial" w:hAnsi="Arial"/>
                <w:color w:val="373737" w:themeColor="background1" w:themeShade="40"/>
                <w:sz w:val="18"/>
                <w:highlight w:val="yellow"/>
              </w:rPr>
              <w:t>Descrizione dei metodi utilizzati</w:t>
            </w:r>
            <w:r w:rsidRPr="003726BE">
              <w:rPr>
                <w:rStyle w:val="FootnoteReference"/>
                <w:highlight w:val="yellow"/>
              </w:rPr>
              <w:footnoteReference w:id="164"/>
            </w:r>
          </w:p>
          <w:p w14:paraId="6DFBF747" w14:textId="77777777" w:rsidR="00E95C99" w:rsidRPr="003726BE" w:rsidRDefault="00E95C99" w:rsidP="001A31FB">
            <w:pPr>
              <w:pStyle w:val="ListParagraph"/>
              <w:numPr>
                <w:ilvl w:val="2"/>
                <w:numId w:val="44"/>
              </w:numPr>
              <w:suppressAutoHyphens/>
              <w:autoSpaceDN w:val="0"/>
              <w:spacing w:after="0" w:line="240" w:lineRule="auto"/>
              <w:textAlignment w:val="baseline"/>
              <w:outlineLvl w:val="9"/>
              <w:rPr>
                <w:rFonts w:ascii="Arial" w:hAnsi="Arial" w:cs="Arial"/>
                <w:color w:val="373737" w:themeColor="background1" w:themeShade="40"/>
                <w:sz w:val="18"/>
                <w:szCs w:val="18"/>
                <w:highlight w:val="yellow"/>
              </w:rPr>
            </w:pPr>
            <w:r w:rsidRPr="003726BE">
              <w:rPr>
                <w:rFonts w:ascii="Arial" w:hAnsi="Arial"/>
                <w:color w:val="373737" w:themeColor="background1" w:themeShade="40"/>
                <w:sz w:val="18"/>
                <w:highlight w:val="yellow"/>
              </w:rPr>
              <w:t>Sfide nell'applicazione dei metodi descritti e soluzioni trovate</w:t>
            </w:r>
          </w:p>
          <w:p w14:paraId="764A5D7E" w14:textId="77777777" w:rsidR="00E95C99" w:rsidRPr="003726BE" w:rsidRDefault="00E95C99" w:rsidP="002F6E33">
            <w:pPr>
              <w:spacing w:after="0"/>
              <w:rPr>
                <w:rFonts w:cs="Arial"/>
                <w:color w:val="373737" w:themeColor="background1" w:themeShade="40"/>
                <w:szCs w:val="18"/>
                <w:highlight w:val="yellow"/>
              </w:rPr>
            </w:pPr>
            <w:r w:rsidRPr="003726BE">
              <w:rPr>
                <w:color w:val="373737" w:themeColor="background1" w:themeShade="40"/>
                <w:highlight w:val="yellow"/>
              </w:rPr>
              <w:t xml:space="preserve">Non applicabile </w:t>
            </w:r>
          </w:p>
          <w:p w14:paraId="1DF1B0F9" w14:textId="77777777" w:rsidR="00E95C99" w:rsidRPr="003726BE" w:rsidRDefault="00E95C99" w:rsidP="002F6E33">
            <w:pPr>
              <w:spacing w:after="0"/>
              <w:rPr>
                <w:rFonts w:cs="Arial"/>
                <w:szCs w:val="18"/>
                <w:highlight w:val="yellow"/>
              </w:rPr>
            </w:pPr>
            <w:r w:rsidRPr="003726BE">
              <w:rPr>
                <w:i/>
                <w:color w:val="F7A833" w:themeColor="accent5"/>
                <w:highlight w:val="yellow"/>
              </w:rPr>
              <w:t>[Massimo 7 000 caratteri = circa 2 pagine – obbligatorio]</w:t>
            </w:r>
          </w:p>
        </w:tc>
      </w:tr>
      <w:tr w:rsidR="00E95C99" w:rsidRPr="003726BE" w14:paraId="3E1C29EC" w14:textId="77777777" w:rsidTr="00473407">
        <w:trPr>
          <w:trHeight w:val="285"/>
          <w:jc w:val="center"/>
        </w:trPr>
        <w:tc>
          <w:tcPr>
            <w:tcW w:w="8887" w:type="dxa"/>
            <w:gridSpan w:val="9"/>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14:paraId="2C58544A" w14:textId="77777777" w:rsidR="00E95C99" w:rsidRPr="003726BE" w:rsidRDefault="00E95C99" w:rsidP="001A31FB">
            <w:pPr>
              <w:pStyle w:val="ListParagraph"/>
              <w:numPr>
                <w:ilvl w:val="0"/>
                <w:numId w:val="41"/>
              </w:numPr>
              <w:suppressAutoHyphens/>
              <w:autoSpaceDN w:val="0"/>
              <w:spacing w:after="0"/>
              <w:textAlignment w:val="baseline"/>
              <w:rPr>
                <w:rFonts w:ascii="Arial" w:hAnsi="Arial" w:cs="Arial"/>
                <w:b/>
                <w:color w:val="F07E31"/>
                <w:sz w:val="18"/>
                <w:szCs w:val="18"/>
                <w:highlight w:val="yellow"/>
              </w:rPr>
            </w:pPr>
            <w:r w:rsidRPr="003726BE">
              <w:rPr>
                <w:rFonts w:ascii="Arial" w:hAnsi="Arial"/>
                <w:b/>
                <w:color w:val="F07E31"/>
                <w:sz w:val="18"/>
                <w:highlight w:val="yellow"/>
              </w:rPr>
              <w:lastRenderedPageBreak/>
              <w:t>Valori quantitativi degli indicatori</w:t>
            </w:r>
            <w:r w:rsidRPr="003726BE">
              <w:rPr>
                <w:rStyle w:val="FootnoteReference"/>
                <w:highlight w:val="yellow"/>
              </w:rPr>
              <w:footnoteReference w:id="165"/>
            </w:r>
            <w:r w:rsidRPr="003726BE">
              <w:rPr>
                <w:rFonts w:ascii="Arial" w:hAnsi="Arial"/>
                <w:b/>
                <w:color w:val="F07E31"/>
                <w:sz w:val="18"/>
                <w:highlight w:val="yellow"/>
              </w:rPr>
              <w:t xml:space="preserve"> e fonti dei dati </w:t>
            </w:r>
          </w:p>
          <w:p w14:paraId="53A65C98" w14:textId="77777777" w:rsidR="00E95C99" w:rsidRPr="003726BE" w:rsidRDefault="00E95C99" w:rsidP="002F6E33">
            <w:pPr>
              <w:spacing w:after="0"/>
              <w:rPr>
                <w:rFonts w:cs="Arial"/>
                <w:b/>
                <w:szCs w:val="18"/>
                <w:highlight w:val="yellow"/>
              </w:rPr>
            </w:pPr>
          </w:p>
          <w:p w14:paraId="303B1886" w14:textId="77777777" w:rsidR="00E95C99" w:rsidRPr="003726BE" w:rsidRDefault="00E95C99" w:rsidP="002F6E33">
            <w:pPr>
              <w:spacing w:after="0"/>
              <w:rPr>
                <w:rFonts w:cs="Arial"/>
                <w:i/>
                <w:color w:val="F7A833" w:themeColor="accent5"/>
                <w:szCs w:val="18"/>
                <w:highlight w:val="yellow"/>
              </w:rPr>
            </w:pPr>
            <w:r w:rsidRPr="003726BE">
              <w:rPr>
                <w:i/>
                <w:color w:val="F7A833" w:themeColor="accent5"/>
                <w:highlight w:val="yellow"/>
              </w:rPr>
              <w:t>[Obbligatorio].</w:t>
            </w:r>
          </w:p>
          <w:p w14:paraId="66289655" w14:textId="77777777" w:rsidR="00E95C99" w:rsidRPr="003726BE" w:rsidRDefault="00E95C99" w:rsidP="002F6E33">
            <w:pPr>
              <w:spacing w:after="0"/>
              <w:rPr>
                <w:rFonts w:cs="Arial"/>
                <w:b/>
                <w:szCs w:val="18"/>
                <w:highlight w:val="yellow"/>
              </w:rPr>
            </w:pPr>
          </w:p>
        </w:tc>
      </w:tr>
      <w:tr w:rsidR="00E95C99" w:rsidRPr="003726BE" w14:paraId="6AF6D1BC" w14:textId="77777777" w:rsidTr="00473407">
        <w:trPr>
          <w:trHeight w:val="572"/>
          <w:jc w:val="center"/>
        </w:trPr>
        <w:tc>
          <w:tcPr>
            <w:tcW w:w="2671" w:type="dxa"/>
            <w:gridSpan w:val="2"/>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14:paraId="598123EA" w14:textId="77777777" w:rsidR="00E95C99" w:rsidRPr="003726BE" w:rsidRDefault="00E95C99" w:rsidP="00473407">
            <w:pPr>
              <w:jc w:val="left"/>
              <w:rPr>
                <w:rFonts w:cs="Arial"/>
                <w:b/>
                <w:color w:val="373737" w:themeColor="background1" w:themeShade="40"/>
                <w:szCs w:val="18"/>
                <w:highlight w:val="yellow"/>
              </w:rPr>
            </w:pPr>
            <w:r w:rsidRPr="003726BE">
              <w:rPr>
                <w:b/>
                <w:color w:val="373737" w:themeColor="background1" w:themeShade="40"/>
                <w:highlight w:val="yellow"/>
              </w:rPr>
              <w:t xml:space="preserve">Indicatore </w:t>
            </w:r>
          </w:p>
        </w:tc>
        <w:tc>
          <w:tcPr>
            <w:tcW w:w="992" w:type="dxa"/>
            <w:gridSpan w:val="2"/>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14:paraId="4A4BB866" w14:textId="77777777" w:rsidR="00E95C99" w:rsidRPr="003726BE" w:rsidRDefault="00E95C99" w:rsidP="00473407">
            <w:pPr>
              <w:spacing w:after="0"/>
              <w:jc w:val="left"/>
              <w:rPr>
                <w:rFonts w:cs="Arial"/>
                <w:b/>
                <w:szCs w:val="18"/>
                <w:highlight w:val="yellow"/>
              </w:rPr>
            </w:pPr>
            <w:r w:rsidRPr="003726BE">
              <w:rPr>
                <w:b/>
                <w:color w:val="373737" w:themeColor="background1" w:themeShade="40"/>
                <w:highlight w:val="yellow"/>
              </w:rPr>
              <w:t>Valore assoluto</w:t>
            </w:r>
            <w:r w:rsidRPr="003726BE">
              <w:rPr>
                <w:rStyle w:val="FootnoteReference"/>
                <w:highlight w:val="yellow"/>
              </w:rPr>
              <w:footnoteReference w:id="166"/>
            </w:r>
          </w:p>
        </w:tc>
        <w:tc>
          <w:tcPr>
            <w:tcW w:w="988" w:type="dxa"/>
            <w:gridSpan w:val="2"/>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14:paraId="55EE0C93" w14:textId="77777777" w:rsidR="00E95C99" w:rsidRPr="003726BE" w:rsidRDefault="00E95C99" w:rsidP="00473407">
            <w:pPr>
              <w:spacing w:after="0"/>
              <w:jc w:val="left"/>
              <w:rPr>
                <w:rFonts w:cs="Arial"/>
                <w:b/>
                <w:szCs w:val="18"/>
                <w:highlight w:val="yellow"/>
              </w:rPr>
            </w:pPr>
            <w:r w:rsidRPr="003726BE">
              <w:rPr>
                <w:b/>
                <w:color w:val="373737" w:themeColor="background1" w:themeShade="40"/>
                <w:highlight w:val="yellow"/>
              </w:rPr>
              <w:t>Valore di rapporto</w:t>
            </w:r>
            <w:r w:rsidRPr="003726BE">
              <w:rPr>
                <w:rStyle w:val="FootnoteReference"/>
                <w:highlight w:val="yellow"/>
              </w:rPr>
              <w:footnoteReference w:id="167"/>
            </w:r>
          </w:p>
        </w:tc>
        <w:tc>
          <w:tcPr>
            <w:tcW w:w="1140" w:type="dxa"/>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14:paraId="28655658" w14:textId="77777777" w:rsidR="00E95C99" w:rsidRPr="003726BE" w:rsidRDefault="00E95C99" w:rsidP="00473407">
            <w:pPr>
              <w:spacing w:after="0"/>
              <w:jc w:val="left"/>
              <w:rPr>
                <w:rFonts w:cs="Arial"/>
                <w:b/>
                <w:szCs w:val="18"/>
                <w:highlight w:val="yellow"/>
              </w:rPr>
            </w:pPr>
            <w:r w:rsidRPr="003726BE">
              <w:rPr>
                <w:b/>
                <w:color w:val="373737" w:themeColor="background1" w:themeShade="40"/>
                <w:highlight w:val="yellow"/>
              </w:rPr>
              <w:t>Valore lordo calcolato</w:t>
            </w:r>
            <w:r w:rsidRPr="003726BE">
              <w:rPr>
                <w:rStyle w:val="FootnoteReference"/>
                <w:highlight w:val="yellow"/>
              </w:rPr>
              <w:footnoteReference w:id="168"/>
            </w:r>
          </w:p>
        </w:tc>
        <w:tc>
          <w:tcPr>
            <w:tcW w:w="1276" w:type="dxa"/>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14:paraId="52AE39DF" w14:textId="77777777" w:rsidR="00E95C99" w:rsidRPr="003726BE" w:rsidRDefault="00E95C99" w:rsidP="00473407">
            <w:pPr>
              <w:spacing w:after="0"/>
              <w:jc w:val="left"/>
              <w:rPr>
                <w:rFonts w:cs="Arial"/>
                <w:b/>
                <w:szCs w:val="18"/>
                <w:highlight w:val="yellow"/>
              </w:rPr>
            </w:pPr>
            <w:r w:rsidRPr="003726BE">
              <w:rPr>
                <w:b/>
                <w:color w:val="373737" w:themeColor="background1" w:themeShade="40"/>
                <w:highlight w:val="yellow"/>
              </w:rPr>
              <w:t>Valore netto calcolato</w:t>
            </w:r>
            <w:r w:rsidRPr="003726BE">
              <w:rPr>
                <w:rStyle w:val="FootnoteReference"/>
                <w:highlight w:val="yellow"/>
              </w:rPr>
              <w:footnoteReference w:id="169"/>
            </w:r>
          </w:p>
        </w:tc>
        <w:tc>
          <w:tcPr>
            <w:tcW w:w="1820"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vAlign w:val="center"/>
          </w:tcPr>
          <w:p w14:paraId="00EEF9EE" w14:textId="77777777" w:rsidR="00E95C99" w:rsidRPr="003726BE" w:rsidRDefault="00E95C99" w:rsidP="00473407">
            <w:pPr>
              <w:jc w:val="left"/>
              <w:rPr>
                <w:rFonts w:cs="Arial"/>
                <w:b/>
                <w:szCs w:val="18"/>
                <w:highlight w:val="yellow"/>
              </w:rPr>
            </w:pPr>
            <w:r w:rsidRPr="003726BE">
              <w:rPr>
                <w:b/>
                <w:color w:val="373737" w:themeColor="background1" w:themeShade="40"/>
                <w:highlight w:val="yellow"/>
              </w:rPr>
              <w:t>Fonti di dati e informazioni</w:t>
            </w:r>
            <w:r w:rsidRPr="003726BE">
              <w:rPr>
                <w:rStyle w:val="FootnoteReference"/>
                <w:highlight w:val="yellow"/>
              </w:rPr>
              <w:footnoteReference w:id="170"/>
            </w:r>
          </w:p>
        </w:tc>
      </w:tr>
      <w:tr w:rsidR="00E95C99" w:rsidRPr="003726BE" w14:paraId="02297C4F" w14:textId="77777777" w:rsidTr="00473407">
        <w:trPr>
          <w:trHeight w:val="567"/>
          <w:jc w:val="center"/>
        </w:trPr>
        <w:tc>
          <w:tcPr>
            <w:tcW w:w="1397" w:type="dxa"/>
            <w:vMerge w:val="restart"/>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14:paraId="19D914EF" w14:textId="77777777" w:rsidR="00E95C99" w:rsidRPr="003726BE" w:rsidRDefault="00E95C99" w:rsidP="00C92B86">
            <w:pPr>
              <w:ind w:right="32"/>
              <w:jc w:val="left"/>
              <w:rPr>
                <w:rFonts w:cs="Arial"/>
                <w:b/>
                <w:szCs w:val="18"/>
                <w:highlight w:val="yellow"/>
              </w:rPr>
            </w:pPr>
            <w:r w:rsidRPr="003726BE">
              <w:rPr>
                <w:b/>
                <w:color w:val="373737" w:themeColor="background1" w:themeShade="40"/>
                <w:highlight w:val="yellow"/>
              </w:rPr>
              <w:t>Indicatori comuni di prodotto</w:t>
            </w:r>
            <w:r w:rsidRPr="003726BE">
              <w:rPr>
                <w:rStyle w:val="FootnoteReference"/>
                <w:highlight w:val="yellow"/>
              </w:rPr>
              <w:footnoteReference w:id="171"/>
            </w:r>
          </w:p>
        </w:tc>
        <w:tc>
          <w:tcPr>
            <w:tcW w:w="1274"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14:paraId="3804C89A" w14:textId="77777777" w:rsidR="00E95C99" w:rsidRPr="003726BE" w:rsidRDefault="00E95C99" w:rsidP="00B529DB">
            <w:pPr>
              <w:pStyle w:val="H-Heading2"/>
              <w:suppressAutoHyphens/>
              <w:autoSpaceDN w:val="0"/>
              <w:spacing w:after="0"/>
              <w:ind w:left="0" w:firstLine="0"/>
              <w:textAlignment w:val="baseline"/>
              <w:rPr>
                <w:rFonts w:ascii="Arial" w:hAnsi="Arial" w:cs="Arial"/>
                <w:b w:val="0"/>
                <w:color w:val="6F6F6F" w:themeColor="text1"/>
                <w:sz w:val="18"/>
                <w:szCs w:val="18"/>
                <w:highlight w:val="yellow"/>
              </w:rPr>
            </w:pPr>
            <w:r w:rsidRPr="003726BE">
              <w:rPr>
                <w:rFonts w:ascii="Arial" w:hAnsi="Arial"/>
                <w:b w:val="0"/>
                <w:color w:val="6F6F6F" w:themeColor="text1"/>
                <w:sz w:val="18"/>
                <w:highlight w:val="yellow"/>
              </w:rPr>
              <w:t>O3 - Numero di operazioni sovvenzionate (CMES)</w:t>
            </w:r>
          </w:p>
        </w:tc>
        <w:tc>
          <w:tcPr>
            <w:tcW w:w="992" w:type="dxa"/>
            <w:gridSpan w:val="2"/>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14:paraId="2A908321" w14:textId="77777777" w:rsidR="00E95C99" w:rsidRPr="003726BE" w:rsidRDefault="00E95C99" w:rsidP="002F6E33">
            <w:pPr>
              <w:pStyle w:val="ListParagraph"/>
              <w:spacing w:after="0"/>
              <w:ind w:left="2160"/>
              <w:jc w:val="center"/>
              <w:rPr>
                <w:rFonts w:ascii="Arial" w:hAnsi="Arial" w:cs="Arial"/>
                <w:b/>
                <w:color w:val="373737" w:themeColor="background1" w:themeShade="40"/>
                <w:sz w:val="18"/>
                <w:szCs w:val="18"/>
                <w:highlight w:val="yellow"/>
              </w:rPr>
            </w:pPr>
          </w:p>
          <w:p w14:paraId="050351E6" w14:textId="77777777" w:rsidR="00E95C99" w:rsidRPr="003726BE" w:rsidRDefault="00E95C99" w:rsidP="002F6E33">
            <w:pPr>
              <w:jc w:val="center"/>
              <w:rPr>
                <w:rFonts w:cs="Arial"/>
                <w:color w:val="373737" w:themeColor="background1" w:themeShade="40"/>
                <w:szCs w:val="18"/>
                <w:highlight w:val="yellow"/>
              </w:rPr>
            </w:pPr>
            <w:r w:rsidRPr="003726BE">
              <w:rPr>
                <w:color w:val="373737" w:themeColor="background1" w:themeShade="40"/>
                <w:highlight w:val="yellow"/>
              </w:rPr>
              <w:t>3 253</w:t>
            </w:r>
          </w:p>
        </w:tc>
        <w:tc>
          <w:tcPr>
            <w:tcW w:w="988" w:type="dxa"/>
            <w:gridSpan w:val="2"/>
            <w:vMerge w:val="restart"/>
            <w:tcBorders>
              <w:top w:val="single" w:sz="18" w:space="0" w:color="6F6F6F" w:themeColor="text1"/>
              <w:left w:val="single" w:sz="4" w:space="0" w:color="auto"/>
              <w:bottom w:val="single" w:sz="18" w:space="0" w:color="6F6F6F" w:themeColor="text1"/>
              <w:right w:val="single" w:sz="4" w:space="0" w:color="auto"/>
            </w:tcBorders>
            <w:shd w:val="reverseDiagStripe" w:color="auto" w:fill="DDDDDD"/>
          </w:tcPr>
          <w:p w14:paraId="6B698DEA" w14:textId="77777777" w:rsidR="00E95C99" w:rsidRPr="003726BE" w:rsidRDefault="00E95C99" w:rsidP="002F6E33">
            <w:pPr>
              <w:pStyle w:val="ListParagraph"/>
              <w:spacing w:after="0"/>
              <w:ind w:left="2160"/>
              <w:rPr>
                <w:rFonts w:ascii="Arial" w:hAnsi="Arial" w:cs="Arial"/>
                <w:b/>
                <w:color w:val="ED7D31"/>
                <w:sz w:val="18"/>
                <w:szCs w:val="18"/>
                <w:highlight w:val="yellow"/>
              </w:rPr>
            </w:pPr>
          </w:p>
        </w:tc>
        <w:tc>
          <w:tcPr>
            <w:tcW w:w="1140" w:type="dxa"/>
            <w:vMerge w:val="restart"/>
            <w:tcBorders>
              <w:top w:val="single" w:sz="18" w:space="0" w:color="6F6F6F" w:themeColor="text1"/>
              <w:left w:val="single" w:sz="4" w:space="0" w:color="auto"/>
              <w:bottom w:val="single" w:sz="18" w:space="0" w:color="6F6F6F" w:themeColor="text1"/>
              <w:right w:val="single" w:sz="4" w:space="0" w:color="auto"/>
            </w:tcBorders>
            <w:shd w:val="reverseDiagStripe" w:color="auto" w:fill="DDDDDD"/>
          </w:tcPr>
          <w:p w14:paraId="4B762E09" w14:textId="77777777" w:rsidR="00E95C99" w:rsidRPr="003726BE" w:rsidRDefault="00E95C99" w:rsidP="002F6E33">
            <w:pPr>
              <w:pStyle w:val="ListParagraph"/>
              <w:spacing w:after="0"/>
              <w:ind w:left="2160"/>
              <w:rPr>
                <w:rFonts w:ascii="Arial" w:hAnsi="Arial" w:cs="Arial"/>
                <w:b/>
                <w:color w:val="ED7D31"/>
                <w:sz w:val="18"/>
                <w:szCs w:val="18"/>
                <w:highlight w:val="yellow"/>
              </w:rPr>
            </w:pPr>
          </w:p>
        </w:tc>
        <w:tc>
          <w:tcPr>
            <w:tcW w:w="1276" w:type="dxa"/>
            <w:vMerge w:val="restart"/>
            <w:tcBorders>
              <w:top w:val="single" w:sz="18" w:space="0" w:color="6F6F6F" w:themeColor="text1"/>
              <w:left w:val="single" w:sz="4" w:space="0" w:color="auto"/>
              <w:bottom w:val="single" w:sz="18" w:space="0" w:color="6F6F6F" w:themeColor="text1"/>
              <w:right w:val="single" w:sz="4" w:space="0" w:color="auto"/>
            </w:tcBorders>
            <w:shd w:val="reverseDiagStripe" w:color="auto" w:fill="DDDDDD"/>
          </w:tcPr>
          <w:p w14:paraId="0FD0FBFE" w14:textId="77777777" w:rsidR="00E95C99" w:rsidRPr="003726BE" w:rsidRDefault="00E95C99" w:rsidP="002F6E33">
            <w:pPr>
              <w:pStyle w:val="ListParagraph"/>
              <w:spacing w:after="0"/>
              <w:ind w:left="2160"/>
              <w:rPr>
                <w:rFonts w:ascii="Arial" w:hAnsi="Arial" w:cs="Arial"/>
                <w:b/>
                <w:color w:val="ED7D31"/>
                <w:sz w:val="18"/>
                <w:szCs w:val="18"/>
                <w:highlight w:val="yellow"/>
              </w:rPr>
            </w:pPr>
          </w:p>
        </w:tc>
        <w:tc>
          <w:tcPr>
            <w:tcW w:w="1820" w:type="dxa"/>
            <w:vMerge w:val="restart"/>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14:paraId="5F600841" w14:textId="77777777" w:rsidR="00E95C99" w:rsidRPr="003726BE" w:rsidRDefault="00E95C99" w:rsidP="002F6E33">
            <w:pPr>
              <w:pStyle w:val="ListParagraph"/>
              <w:spacing w:after="0"/>
              <w:ind w:left="2160"/>
              <w:rPr>
                <w:rFonts w:ascii="Arial" w:hAnsi="Arial" w:cs="Arial"/>
                <w:b/>
                <w:color w:val="ED7D31"/>
                <w:sz w:val="18"/>
                <w:szCs w:val="18"/>
                <w:highlight w:val="yellow"/>
              </w:rPr>
            </w:pPr>
          </w:p>
        </w:tc>
      </w:tr>
      <w:tr w:rsidR="00E95C99" w:rsidRPr="003726BE" w14:paraId="7AC06561" w14:textId="77777777" w:rsidTr="00473407">
        <w:trPr>
          <w:trHeight w:val="567"/>
          <w:jc w:val="center"/>
        </w:trPr>
        <w:tc>
          <w:tcPr>
            <w:tcW w:w="1397" w:type="dxa"/>
            <w:vMerge/>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14:paraId="0C929C3F" w14:textId="77777777" w:rsidR="00E95C99" w:rsidRPr="003726BE" w:rsidRDefault="00E95C99" w:rsidP="002F6E33">
            <w:pPr>
              <w:rPr>
                <w:rFonts w:cs="Arial"/>
                <w:b/>
                <w:szCs w:val="18"/>
                <w:highlight w:val="yellow"/>
              </w:rPr>
            </w:pPr>
          </w:p>
        </w:tc>
        <w:tc>
          <w:tcPr>
            <w:tcW w:w="1274"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14:paraId="6F80E38B" w14:textId="77777777" w:rsidR="00E95C99" w:rsidRPr="003726BE" w:rsidRDefault="00E95C99" w:rsidP="00B529DB">
            <w:pPr>
              <w:pStyle w:val="H-Heading2"/>
              <w:suppressAutoHyphens/>
              <w:autoSpaceDN w:val="0"/>
              <w:spacing w:after="0"/>
              <w:ind w:left="0" w:firstLine="0"/>
              <w:textAlignment w:val="baseline"/>
              <w:rPr>
                <w:rFonts w:ascii="Arial" w:hAnsi="Arial" w:cs="Arial"/>
                <w:b w:val="0"/>
                <w:color w:val="6F6F6F" w:themeColor="text1"/>
                <w:sz w:val="18"/>
                <w:szCs w:val="18"/>
                <w:highlight w:val="yellow"/>
              </w:rPr>
            </w:pPr>
            <w:r w:rsidRPr="003726BE">
              <w:rPr>
                <w:rFonts w:ascii="Arial" w:hAnsi="Arial"/>
                <w:b w:val="0"/>
                <w:color w:val="6F6F6F" w:themeColor="text1"/>
                <w:sz w:val="18"/>
                <w:highlight w:val="yellow"/>
              </w:rPr>
              <w:t>O4 – Numero di aziende agricole/beneficiari che hanno fruito di un sostegno (CMES)</w:t>
            </w:r>
          </w:p>
        </w:tc>
        <w:tc>
          <w:tcPr>
            <w:tcW w:w="992" w:type="dxa"/>
            <w:gridSpan w:val="2"/>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14:paraId="3EA64758" w14:textId="77777777" w:rsidR="00E95C99" w:rsidRPr="003726BE" w:rsidRDefault="00E95C99" w:rsidP="002F6E33">
            <w:pPr>
              <w:pStyle w:val="ListParagraph"/>
              <w:spacing w:after="0"/>
              <w:ind w:left="2160"/>
              <w:jc w:val="center"/>
              <w:rPr>
                <w:rFonts w:ascii="Arial" w:hAnsi="Arial" w:cs="Arial"/>
                <w:b/>
                <w:color w:val="373737" w:themeColor="background1" w:themeShade="40"/>
                <w:sz w:val="18"/>
                <w:szCs w:val="18"/>
                <w:highlight w:val="yellow"/>
              </w:rPr>
            </w:pPr>
          </w:p>
          <w:p w14:paraId="0C0BCF44" w14:textId="77777777" w:rsidR="00E95C99" w:rsidRPr="003726BE" w:rsidRDefault="00E95C99" w:rsidP="002F6E33">
            <w:pPr>
              <w:tabs>
                <w:tab w:val="left" w:pos="628"/>
              </w:tabs>
              <w:jc w:val="center"/>
              <w:rPr>
                <w:rFonts w:cs="Arial"/>
                <w:color w:val="373737" w:themeColor="background1" w:themeShade="40"/>
                <w:szCs w:val="18"/>
                <w:highlight w:val="yellow"/>
              </w:rPr>
            </w:pPr>
            <w:r w:rsidRPr="003726BE">
              <w:rPr>
                <w:color w:val="373737" w:themeColor="background1" w:themeShade="40"/>
                <w:highlight w:val="yellow"/>
              </w:rPr>
              <w:t>2 153</w:t>
            </w:r>
          </w:p>
        </w:tc>
        <w:tc>
          <w:tcPr>
            <w:tcW w:w="988" w:type="dxa"/>
            <w:gridSpan w:val="2"/>
            <w:vMerge/>
            <w:tcBorders>
              <w:top w:val="single" w:sz="18" w:space="0" w:color="6F6F6F" w:themeColor="text1"/>
              <w:left w:val="single" w:sz="4" w:space="0" w:color="auto"/>
              <w:bottom w:val="single" w:sz="18" w:space="0" w:color="6F6F6F" w:themeColor="text1"/>
              <w:right w:val="single" w:sz="4" w:space="0" w:color="auto"/>
            </w:tcBorders>
            <w:shd w:val="reverseDiagStripe" w:color="auto" w:fill="DDDDDD"/>
          </w:tcPr>
          <w:p w14:paraId="3C1B2471" w14:textId="77777777" w:rsidR="00E95C99" w:rsidRPr="003726BE" w:rsidRDefault="00E95C99" w:rsidP="002F6E33">
            <w:pPr>
              <w:pStyle w:val="ListParagraph"/>
              <w:spacing w:after="0"/>
              <w:ind w:left="2160"/>
              <w:rPr>
                <w:rFonts w:ascii="Arial" w:hAnsi="Arial" w:cs="Arial"/>
                <w:b/>
                <w:color w:val="ED7D31"/>
                <w:sz w:val="18"/>
                <w:szCs w:val="18"/>
                <w:highlight w:val="yellow"/>
              </w:rPr>
            </w:pPr>
          </w:p>
        </w:tc>
        <w:tc>
          <w:tcPr>
            <w:tcW w:w="1140" w:type="dxa"/>
            <w:vMerge/>
            <w:tcBorders>
              <w:top w:val="single" w:sz="18" w:space="0" w:color="6F6F6F" w:themeColor="text1"/>
              <w:left w:val="single" w:sz="4" w:space="0" w:color="auto"/>
              <w:bottom w:val="single" w:sz="18" w:space="0" w:color="6F6F6F" w:themeColor="text1"/>
              <w:right w:val="single" w:sz="4" w:space="0" w:color="auto"/>
            </w:tcBorders>
            <w:shd w:val="reverseDiagStripe" w:color="auto" w:fill="DDDDDD"/>
          </w:tcPr>
          <w:p w14:paraId="7851DA7D" w14:textId="77777777" w:rsidR="00E95C99" w:rsidRPr="003726BE" w:rsidRDefault="00E95C99" w:rsidP="002F6E33">
            <w:pPr>
              <w:pStyle w:val="ListParagraph"/>
              <w:spacing w:after="0"/>
              <w:ind w:left="2160"/>
              <w:rPr>
                <w:rFonts w:ascii="Arial" w:hAnsi="Arial" w:cs="Arial"/>
                <w:b/>
                <w:color w:val="ED7D31"/>
                <w:sz w:val="18"/>
                <w:szCs w:val="18"/>
                <w:highlight w:val="yellow"/>
              </w:rPr>
            </w:pPr>
          </w:p>
        </w:tc>
        <w:tc>
          <w:tcPr>
            <w:tcW w:w="1276" w:type="dxa"/>
            <w:vMerge/>
            <w:tcBorders>
              <w:top w:val="single" w:sz="18" w:space="0" w:color="6F6F6F" w:themeColor="text1"/>
              <w:left w:val="single" w:sz="4" w:space="0" w:color="auto"/>
              <w:bottom w:val="single" w:sz="18" w:space="0" w:color="6F6F6F" w:themeColor="text1"/>
              <w:right w:val="single" w:sz="4" w:space="0" w:color="auto"/>
            </w:tcBorders>
            <w:shd w:val="reverseDiagStripe" w:color="auto" w:fill="DDDDDD"/>
          </w:tcPr>
          <w:p w14:paraId="7737ECA3" w14:textId="77777777" w:rsidR="00E95C99" w:rsidRPr="003726BE" w:rsidRDefault="00E95C99" w:rsidP="002F6E33">
            <w:pPr>
              <w:pStyle w:val="ListParagraph"/>
              <w:spacing w:after="0"/>
              <w:ind w:left="2160"/>
              <w:rPr>
                <w:rFonts w:ascii="Arial" w:hAnsi="Arial" w:cs="Arial"/>
                <w:b/>
                <w:color w:val="ED7D31"/>
                <w:sz w:val="18"/>
                <w:szCs w:val="18"/>
                <w:highlight w:val="yellow"/>
              </w:rPr>
            </w:pPr>
          </w:p>
        </w:tc>
        <w:tc>
          <w:tcPr>
            <w:tcW w:w="1820" w:type="dxa"/>
            <w:vMerge/>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14:paraId="377E138A" w14:textId="77777777" w:rsidR="00E95C99" w:rsidRPr="003726BE" w:rsidRDefault="00E95C99" w:rsidP="002F6E33">
            <w:pPr>
              <w:pStyle w:val="ListParagraph"/>
              <w:spacing w:after="0"/>
              <w:ind w:left="2160"/>
              <w:rPr>
                <w:rFonts w:ascii="Arial" w:hAnsi="Arial" w:cs="Arial"/>
                <w:b/>
                <w:color w:val="ED7D31"/>
                <w:sz w:val="18"/>
                <w:szCs w:val="18"/>
                <w:highlight w:val="yellow"/>
              </w:rPr>
            </w:pPr>
          </w:p>
        </w:tc>
      </w:tr>
      <w:tr w:rsidR="00E95C99" w:rsidRPr="003726BE" w14:paraId="01FA4137" w14:textId="77777777" w:rsidTr="00473407">
        <w:trPr>
          <w:trHeight w:val="555"/>
          <w:jc w:val="center"/>
        </w:trPr>
        <w:tc>
          <w:tcPr>
            <w:tcW w:w="1397" w:type="dxa"/>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14:paraId="41FE28AF" w14:textId="77777777" w:rsidR="00E95C99" w:rsidRPr="003726BE" w:rsidRDefault="00E95C99" w:rsidP="00C92B86">
            <w:pPr>
              <w:jc w:val="left"/>
              <w:rPr>
                <w:rFonts w:cs="Arial"/>
                <w:b/>
                <w:szCs w:val="18"/>
                <w:highlight w:val="yellow"/>
              </w:rPr>
            </w:pPr>
            <w:r w:rsidRPr="003726BE">
              <w:rPr>
                <w:b/>
                <w:color w:val="373737" w:themeColor="background1" w:themeShade="40"/>
                <w:highlight w:val="yellow"/>
              </w:rPr>
              <w:lastRenderedPageBreak/>
              <w:t xml:space="preserve">Indicatori di prodotto specifici per programma </w:t>
            </w:r>
            <w:r w:rsidRPr="003726BE">
              <w:rPr>
                <w:rStyle w:val="FootnoteReference"/>
                <w:highlight w:val="yellow"/>
              </w:rPr>
              <w:footnoteReference w:id="172"/>
            </w:r>
          </w:p>
        </w:tc>
        <w:tc>
          <w:tcPr>
            <w:tcW w:w="1274"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14:paraId="4E6B9186" w14:textId="77777777" w:rsidR="00E95C99" w:rsidRPr="003726BE" w:rsidRDefault="00E95C99" w:rsidP="002F6E33">
            <w:pPr>
              <w:spacing w:after="0"/>
              <w:rPr>
                <w:rFonts w:cs="Arial"/>
                <w:b/>
                <w:szCs w:val="18"/>
                <w:highlight w:val="yellow"/>
              </w:rPr>
            </w:pPr>
          </w:p>
        </w:tc>
        <w:tc>
          <w:tcPr>
            <w:tcW w:w="992" w:type="dxa"/>
            <w:gridSpan w:val="2"/>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14:paraId="0FBA9441" w14:textId="77777777" w:rsidR="00E95C99" w:rsidRPr="003726BE" w:rsidRDefault="00E95C99" w:rsidP="002F6E33">
            <w:pPr>
              <w:pStyle w:val="ListParagraph"/>
              <w:spacing w:after="0"/>
              <w:ind w:left="2160"/>
              <w:jc w:val="center"/>
              <w:rPr>
                <w:rFonts w:ascii="Arial" w:hAnsi="Arial" w:cs="Arial"/>
                <w:b/>
                <w:color w:val="ED7D31"/>
                <w:sz w:val="18"/>
                <w:szCs w:val="18"/>
                <w:highlight w:val="yellow"/>
              </w:rPr>
            </w:pPr>
          </w:p>
        </w:tc>
        <w:tc>
          <w:tcPr>
            <w:tcW w:w="988" w:type="dxa"/>
            <w:gridSpan w:val="2"/>
            <w:tcBorders>
              <w:top w:val="single" w:sz="18" w:space="0" w:color="6F6F6F" w:themeColor="text1"/>
              <w:left w:val="single" w:sz="4" w:space="0" w:color="auto"/>
              <w:bottom w:val="single" w:sz="18" w:space="0" w:color="6F6F6F" w:themeColor="text1"/>
              <w:right w:val="single" w:sz="4" w:space="0" w:color="auto"/>
            </w:tcBorders>
            <w:shd w:val="reverseDiagStripe" w:color="auto" w:fill="DDDDDD"/>
          </w:tcPr>
          <w:p w14:paraId="03D63B89" w14:textId="77777777" w:rsidR="00E95C99" w:rsidRPr="003726BE" w:rsidRDefault="00E95C99" w:rsidP="002F6E33">
            <w:pPr>
              <w:pStyle w:val="ListParagraph"/>
              <w:spacing w:after="0"/>
              <w:ind w:left="2160"/>
              <w:rPr>
                <w:rFonts w:ascii="Arial" w:hAnsi="Arial" w:cs="Arial"/>
                <w:b/>
                <w:color w:val="ED7D31"/>
                <w:sz w:val="18"/>
                <w:szCs w:val="18"/>
                <w:highlight w:val="yellow"/>
              </w:rPr>
            </w:pPr>
          </w:p>
        </w:tc>
        <w:tc>
          <w:tcPr>
            <w:tcW w:w="1140" w:type="dxa"/>
            <w:tcBorders>
              <w:top w:val="single" w:sz="18" w:space="0" w:color="6F6F6F" w:themeColor="text1"/>
              <w:left w:val="single" w:sz="4" w:space="0" w:color="auto"/>
              <w:bottom w:val="single" w:sz="18" w:space="0" w:color="6F6F6F" w:themeColor="text1"/>
              <w:right w:val="single" w:sz="4" w:space="0" w:color="auto"/>
            </w:tcBorders>
            <w:shd w:val="reverseDiagStripe" w:color="auto" w:fill="DDDDDD"/>
          </w:tcPr>
          <w:p w14:paraId="4CB6B9E8" w14:textId="77777777" w:rsidR="00E95C99" w:rsidRPr="003726BE" w:rsidRDefault="00E95C99" w:rsidP="002F6E33">
            <w:pPr>
              <w:pStyle w:val="ListParagraph"/>
              <w:spacing w:after="0"/>
              <w:ind w:left="2160"/>
              <w:rPr>
                <w:rFonts w:ascii="Arial" w:hAnsi="Arial" w:cs="Arial"/>
                <w:b/>
                <w:color w:val="ED7D31"/>
                <w:sz w:val="18"/>
                <w:szCs w:val="18"/>
                <w:highlight w:val="yellow"/>
              </w:rPr>
            </w:pPr>
          </w:p>
        </w:tc>
        <w:tc>
          <w:tcPr>
            <w:tcW w:w="1276" w:type="dxa"/>
            <w:tcBorders>
              <w:top w:val="single" w:sz="18" w:space="0" w:color="6F6F6F" w:themeColor="text1"/>
              <w:left w:val="single" w:sz="4" w:space="0" w:color="auto"/>
              <w:bottom w:val="single" w:sz="18" w:space="0" w:color="6F6F6F" w:themeColor="text1"/>
              <w:right w:val="single" w:sz="4" w:space="0" w:color="auto"/>
            </w:tcBorders>
            <w:shd w:val="reverseDiagStripe" w:color="auto" w:fill="DDDDDD"/>
          </w:tcPr>
          <w:p w14:paraId="1906C988" w14:textId="77777777" w:rsidR="00E95C99" w:rsidRPr="003726BE" w:rsidRDefault="00E95C99" w:rsidP="002F6E33">
            <w:pPr>
              <w:pStyle w:val="ListParagraph"/>
              <w:spacing w:after="0"/>
              <w:ind w:left="2160"/>
              <w:rPr>
                <w:rFonts w:ascii="Arial" w:hAnsi="Arial" w:cs="Arial"/>
                <w:b/>
                <w:color w:val="ED7D31"/>
                <w:sz w:val="18"/>
                <w:szCs w:val="18"/>
                <w:highlight w:val="yellow"/>
              </w:rPr>
            </w:pPr>
          </w:p>
        </w:tc>
        <w:tc>
          <w:tcPr>
            <w:tcW w:w="1820"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14:paraId="346E2E7D" w14:textId="77777777" w:rsidR="00E95C99" w:rsidRPr="003726BE" w:rsidRDefault="00E95C99" w:rsidP="002F6E33">
            <w:pPr>
              <w:pStyle w:val="ListParagraph"/>
              <w:spacing w:after="0"/>
              <w:ind w:left="2160"/>
              <w:rPr>
                <w:rFonts w:ascii="Arial" w:hAnsi="Arial" w:cs="Arial"/>
                <w:b/>
                <w:color w:val="ED7D31"/>
                <w:sz w:val="18"/>
                <w:szCs w:val="18"/>
                <w:highlight w:val="yellow"/>
              </w:rPr>
            </w:pPr>
          </w:p>
        </w:tc>
      </w:tr>
      <w:tr w:rsidR="00E95C99" w:rsidRPr="003726BE" w14:paraId="57340B0B" w14:textId="77777777" w:rsidTr="00473407">
        <w:trPr>
          <w:trHeight w:val="291"/>
          <w:jc w:val="center"/>
        </w:trPr>
        <w:tc>
          <w:tcPr>
            <w:tcW w:w="1397" w:type="dxa"/>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14:paraId="78A47940" w14:textId="77777777" w:rsidR="00E95C99" w:rsidRPr="003726BE" w:rsidRDefault="00E95C99" w:rsidP="002F6E33">
            <w:pPr>
              <w:rPr>
                <w:rFonts w:cs="Arial"/>
                <w:b/>
                <w:szCs w:val="18"/>
                <w:highlight w:val="yellow"/>
              </w:rPr>
            </w:pPr>
            <w:r w:rsidRPr="003726BE">
              <w:rPr>
                <w:b/>
                <w:color w:val="373737" w:themeColor="background1" w:themeShade="40"/>
                <w:highlight w:val="yellow"/>
              </w:rPr>
              <w:t>Indicatori comuni</w:t>
            </w:r>
            <w:r w:rsidRPr="003726BE">
              <w:rPr>
                <w:rStyle w:val="FootnoteReference"/>
                <w:highlight w:val="yellow"/>
              </w:rPr>
              <w:footnoteReference w:id="173"/>
            </w:r>
          </w:p>
        </w:tc>
        <w:tc>
          <w:tcPr>
            <w:tcW w:w="1274"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14:paraId="58CC74C7" w14:textId="77777777" w:rsidR="00E95C99" w:rsidRPr="003726BE" w:rsidRDefault="00E95C99" w:rsidP="001A31FB">
            <w:pPr>
              <w:pStyle w:val="H-Heading2"/>
              <w:numPr>
                <w:ilvl w:val="0"/>
                <w:numId w:val="30"/>
              </w:numPr>
              <w:suppressAutoHyphens/>
              <w:autoSpaceDN w:val="0"/>
              <w:spacing w:after="0"/>
              <w:ind w:left="0"/>
              <w:textAlignment w:val="baseline"/>
              <w:rPr>
                <w:rFonts w:ascii="Arial" w:hAnsi="Arial" w:cs="Arial"/>
                <w:bCs w:val="0"/>
                <w:color w:val="auto"/>
                <w:sz w:val="18"/>
                <w:szCs w:val="18"/>
                <w:highlight w:val="yellow"/>
              </w:rPr>
            </w:pPr>
          </w:p>
        </w:tc>
        <w:tc>
          <w:tcPr>
            <w:tcW w:w="992" w:type="dxa"/>
            <w:gridSpan w:val="2"/>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14:paraId="36A8CFAF" w14:textId="77777777" w:rsidR="00E95C99" w:rsidRPr="003726BE" w:rsidRDefault="00E95C99" w:rsidP="002F6E33">
            <w:pPr>
              <w:pStyle w:val="ListParagraph"/>
              <w:spacing w:after="0"/>
              <w:ind w:left="0"/>
              <w:jc w:val="center"/>
              <w:rPr>
                <w:rFonts w:ascii="Arial" w:hAnsi="Arial" w:cs="Arial"/>
                <w:b/>
                <w:color w:val="ED7D31"/>
                <w:sz w:val="18"/>
                <w:szCs w:val="18"/>
                <w:highlight w:val="yellow"/>
              </w:rPr>
            </w:pPr>
          </w:p>
        </w:tc>
        <w:tc>
          <w:tcPr>
            <w:tcW w:w="988" w:type="dxa"/>
            <w:gridSpan w:val="2"/>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14:paraId="05343ACE" w14:textId="77777777" w:rsidR="00E95C99" w:rsidRPr="003726BE" w:rsidRDefault="00E95C99" w:rsidP="002F6E33">
            <w:pPr>
              <w:pStyle w:val="ListParagraph"/>
              <w:spacing w:after="0"/>
              <w:ind w:left="0"/>
              <w:jc w:val="center"/>
              <w:rPr>
                <w:rFonts w:ascii="Arial" w:hAnsi="Arial" w:cs="Arial"/>
                <w:b/>
                <w:color w:val="ED7D31"/>
                <w:sz w:val="18"/>
                <w:szCs w:val="18"/>
                <w:highlight w:val="yellow"/>
              </w:rPr>
            </w:pPr>
          </w:p>
        </w:tc>
        <w:tc>
          <w:tcPr>
            <w:tcW w:w="1140" w:type="dxa"/>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14:paraId="3FC0963A" w14:textId="77777777" w:rsidR="00E95C99" w:rsidRPr="003726BE" w:rsidRDefault="00E95C99" w:rsidP="002F6E33">
            <w:pPr>
              <w:pStyle w:val="ListParagraph"/>
              <w:spacing w:after="0"/>
              <w:ind w:left="0"/>
              <w:jc w:val="center"/>
              <w:rPr>
                <w:rFonts w:ascii="Arial" w:hAnsi="Arial" w:cs="Arial"/>
                <w:b/>
                <w:color w:val="ED7D31"/>
                <w:sz w:val="18"/>
                <w:szCs w:val="18"/>
                <w:highlight w:val="yellow"/>
              </w:rPr>
            </w:pPr>
          </w:p>
        </w:tc>
        <w:tc>
          <w:tcPr>
            <w:tcW w:w="1276" w:type="dxa"/>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14:paraId="5A4FFB0C" w14:textId="77777777" w:rsidR="00E95C99" w:rsidRPr="003726BE" w:rsidRDefault="00E95C99" w:rsidP="002F6E33">
            <w:pPr>
              <w:pStyle w:val="ListParagraph"/>
              <w:spacing w:after="0"/>
              <w:ind w:left="0"/>
              <w:jc w:val="center"/>
              <w:rPr>
                <w:rFonts w:ascii="Arial" w:hAnsi="Arial" w:cs="Arial"/>
                <w:b/>
                <w:color w:val="ED7D31"/>
                <w:sz w:val="18"/>
                <w:szCs w:val="18"/>
                <w:highlight w:val="yellow"/>
              </w:rPr>
            </w:pPr>
          </w:p>
        </w:tc>
        <w:tc>
          <w:tcPr>
            <w:tcW w:w="1820"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vAlign w:val="center"/>
          </w:tcPr>
          <w:p w14:paraId="495EDC3E" w14:textId="77777777" w:rsidR="00E95C99" w:rsidRPr="003726BE" w:rsidRDefault="00E95C99" w:rsidP="002F6E33">
            <w:pPr>
              <w:pStyle w:val="ListParagraph"/>
              <w:spacing w:after="0"/>
              <w:ind w:left="0"/>
              <w:jc w:val="center"/>
              <w:rPr>
                <w:rFonts w:ascii="Arial" w:hAnsi="Arial" w:cs="Arial"/>
                <w:color w:val="ED7D31"/>
                <w:sz w:val="18"/>
                <w:szCs w:val="18"/>
                <w:highlight w:val="yellow"/>
              </w:rPr>
            </w:pPr>
          </w:p>
        </w:tc>
      </w:tr>
      <w:tr w:rsidR="00E95C99" w:rsidRPr="003726BE" w14:paraId="580DF16B" w14:textId="77777777" w:rsidTr="00473407">
        <w:trPr>
          <w:trHeight w:val="1057"/>
          <w:jc w:val="center"/>
        </w:trPr>
        <w:tc>
          <w:tcPr>
            <w:tcW w:w="1397" w:type="dxa"/>
            <w:vMerge w:val="restart"/>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14:paraId="02987AA5" w14:textId="77777777" w:rsidR="00E95C99" w:rsidRPr="003726BE" w:rsidRDefault="00E95C99" w:rsidP="002F6E33">
            <w:pPr>
              <w:rPr>
                <w:rFonts w:cs="Arial"/>
                <w:b/>
                <w:szCs w:val="18"/>
                <w:highlight w:val="yellow"/>
              </w:rPr>
            </w:pPr>
            <w:r w:rsidRPr="003726BE">
              <w:rPr>
                <w:b/>
                <w:color w:val="373737" w:themeColor="background1" w:themeShade="40"/>
                <w:highlight w:val="yellow"/>
              </w:rPr>
              <w:t>Indicatori specifici per programma</w:t>
            </w:r>
            <w:r w:rsidRPr="003726BE">
              <w:rPr>
                <w:rStyle w:val="FootnoteReference"/>
                <w:highlight w:val="yellow"/>
              </w:rPr>
              <w:footnoteReference w:id="174"/>
            </w:r>
          </w:p>
        </w:tc>
        <w:tc>
          <w:tcPr>
            <w:tcW w:w="1274"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14:paraId="2EA5B0A8" w14:textId="77777777" w:rsidR="00E95C99" w:rsidRPr="003726BE" w:rsidRDefault="00E95C99" w:rsidP="00B529DB">
            <w:pPr>
              <w:pStyle w:val="H-Heading2"/>
              <w:suppressAutoHyphens/>
              <w:autoSpaceDN w:val="0"/>
              <w:spacing w:before="0" w:after="0"/>
              <w:ind w:left="0" w:firstLine="0"/>
              <w:textAlignment w:val="baseline"/>
              <w:rPr>
                <w:rFonts w:ascii="Arial" w:hAnsi="Arial" w:cs="Arial"/>
                <w:b w:val="0"/>
                <w:color w:val="373737" w:themeColor="background1" w:themeShade="40"/>
                <w:sz w:val="18"/>
                <w:szCs w:val="18"/>
                <w:highlight w:val="yellow"/>
              </w:rPr>
            </w:pPr>
            <w:r w:rsidRPr="003726BE">
              <w:rPr>
                <w:rFonts w:ascii="Arial" w:hAnsi="Arial"/>
                <w:b w:val="0"/>
                <w:color w:val="373737" w:themeColor="background1" w:themeShade="40"/>
                <w:sz w:val="18"/>
                <w:highlight w:val="yellow"/>
              </w:rPr>
              <w:t xml:space="preserve">PSRI2C/1 - % di aziende forestali che fruiscono del sostegno del PSR per investimenti in tecnologie silvicole </w:t>
            </w:r>
          </w:p>
        </w:tc>
        <w:tc>
          <w:tcPr>
            <w:tcW w:w="992" w:type="dxa"/>
            <w:gridSpan w:val="2"/>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14:paraId="2576F706" w14:textId="77777777" w:rsidR="00E95C99" w:rsidRPr="003726BE" w:rsidRDefault="00E95C99" w:rsidP="00B529DB">
            <w:pPr>
              <w:pStyle w:val="ListParagraph"/>
              <w:spacing w:after="0"/>
              <w:ind w:left="0" w:firstLine="0"/>
              <w:jc w:val="center"/>
              <w:rPr>
                <w:rFonts w:cs="Arial"/>
                <w:color w:val="373737" w:themeColor="background1" w:themeShade="40"/>
                <w:sz w:val="18"/>
                <w:szCs w:val="18"/>
                <w:highlight w:val="yellow"/>
              </w:rPr>
            </w:pPr>
          </w:p>
        </w:tc>
        <w:tc>
          <w:tcPr>
            <w:tcW w:w="988" w:type="dxa"/>
            <w:gridSpan w:val="2"/>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14:paraId="5FEF716D" w14:textId="77777777" w:rsidR="00E95C99" w:rsidRPr="003726BE" w:rsidRDefault="00E95C99" w:rsidP="002F6E33">
            <w:pPr>
              <w:spacing w:after="0"/>
              <w:jc w:val="center"/>
              <w:rPr>
                <w:rFonts w:cs="Arial"/>
                <w:color w:val="373737" w:themeColor="background1" w:themeShade="40"/>
                <w:szCs w:val="18"/>
                <w:highlight w:val="yellow"/>
              </w:rPr>
            </w:pPr>
            <w:r w:rsidRPr="003726BE">
              <w:rPr>
                <w:color w:val="373737" w:themeColor="background1" w:themeShade="40"/>
                <w:highlight w:val="yellow"/>
              </w:rPr>
              <w:t>24</w:t>
            </w:r>
          </w:p>
        </w:tc>
        <w:tc>
          <w:tcPr>
            <w:tcW w:w="1140" w:type="dxa"/>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14:paraId="7FDF510A" w14:textId="77777777" w:rsidR="00E95C99" w:rsidRPr="003726BE" w:rsidRDefault="00E95C99" w:rsidP="002F6E33">
            <w:pPr>
              <w:spacing w:after="0"/>
              <w:jc w:val="center"/>
              <w:rPr>
                <w:rFonts w:cs="Arial"/>
                <w:color w:val="373737" w:themeColor="background1" w:themeShade="40"/>
                <w:szCs w:val="18"/>
                <w:highlight w:val="yellow"/>
              </w:rPr>
            </w:pPr>
          </w:p>
        </w:tc>
        <w:tc>
          <w:tcPr>
            <w:tcW w:w="1276" w:type="dxa"/>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14:paraId="3534E2CC" w14:textId="77777777" w:rsidR="00E95C99" w:rsidRPr="003726BE" w:rsidRDefault="00E95C99" w:rsidP="00B529DB">
            <w:pPr>
              <w:spacing w:after="0"/>
              <w:jc w:val="center"/>
              <w:rPr>
                <w:rFonts w:cs="Arial"/>
                <w:color w:val="373737" w:themeColor="background1" w:themeShade="40"/>
                <w:szCs w:val="18"/>
                <w:highlight w:val="yellow"/>
              </w:rPr>
            </w:pPr>
          </w:p>
        </w:tc>
        <w:tc>
          <w:tcPr>
            <w:tcW w:w="1820"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vAlign w:val="center"/>
          </w:tcPr>
          <w:p w14:paraId="48ED70D2" w14:textId="77777777" w:rsidR="00E95C99" w:rsidRPr="003726BE" w:rsidRDefault="00B529DB" w:rsidP="00287E53">
            <w:pPr>
              <w:pStyle w:val="ListParagraph"/>
              <w:tabs>
                <w:tab w:val="clear" w:pos="709"/>
              </w:tabs>
              <w:spacing w:after="0"/>
              <w:ind w:left="0" w:right="101" w:firstLine="0"/>
              <w:jc w:val="center"/>
              <w:rPr>
                <w:rFonts w:cs="Arial"/>
                <w:color w:val="373737" w:themeColor="background1" w:themeShade="40"/>
                <w:sz w:val="18"/>
                <w:szCs w:val="18"/>
                <w:highlight w:val="yellow"/>
              </w:rPr>
            </w:pPr>
            <w:r w:rsidRPr="003726BE">
              <w:rPr>
                <w:rFonts w:ascii="Arial" w:hAnsi="Arial"/>
                <w:color w:val="373737" w:themeColor="background1" w:themeShade="40"/>
                <w:sz w:val="18"/>
                <w:highlight w:val="yellow"/>
              </w:rPr>
              <w:t>Banca dati delle operazioni</w:t>
            </w:r>
          </w:p>
        </w:tc>
      </w:tr>
      <w:tr w:rsidR="00E95C99" w:rsidRPr="003726BE" w14:paraId="19F3F30D" w14:textId="77777777" w:rsidTr="00473407">
        <w:trPr>
          <w:trHeight w:val="20"/>
          <w:jc w:val="center"/>
        </w:trPr>
        <w:tc>
          <w:tcPr>
            <w:tcW w:w="1397" w:type="dxa"/>
            <w:vMerge/>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14:paraId="29F37A80" w14:textId="77777777" w:rsidR="00E95C99" w:rsidRPr="003726BE" w:rsidRDefault="00E95C99" w:rsidP="002F6E33">
            <w:pPr>
              <w:rPr>
                <w:rFonts w:cs="Arial"/>
                <w:b/>
                <w:szCs w:val="18"/>
                <w:highlight w:val="yellow"/>
              </w:rPr>
            </w:pPr>
          </w:p>
        </w:tc>
        <w:tc>
          <w:tcPr>
            <w:tcW w:w="1274" w:type="dxa"/>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14:paraId="7CAF582A" w14:textId="77777777" w:rsidR="00E95C99" w:rsidRPr="003726BE" w:rsidRDefault="00E95C99" w:rsidP="00B529DB">
            <w:pPr>
              <w:pStyle w:val="H-Heading2"/>
              <w:suppressAutoHyphens/>
              <w:autoSpaceDN w:val="0"/>
              <w:spacing w:after="0"/>
              <w:ind w:left="0" w:firstLine="0"/>
              <w:textAlignment w:val="baseline"/>
              <w:rPr>
                <w:rFonts w:ascii="Arial" w:hAnsi="Arial" w:cs="Arial"/>
                <w:b w:val="0"/>
                <w:color w:val="373737" w:themeColor="background1" w:themeShade="40"/>
                <w:sz w:val="18"/>
                <w:szCs w:val="18"/>
                <w:highlight w:val="yellow"/>
              </w:rPr>
            </w:pPr>
            <w:r w:rsidRPr="003726BE">
              <w:rPr>
                <w:rFonts w:ascii="Arial" w:hAnsi="Arial"/>
                <w:b w:val="0"/>
                <w:color w:val="373737" w:themeColor="background1" w:themeShade="40"/>
                <w:sz w:val="18"/>
                <w:highlight w:val="yellow"/>
              </w:rPr>
              <w:t>PSRI2C/2 - Vendite/produzione totale</w:t>
            </w:r>
          </w:p>
        </w:tc>
        <w:tc>
          <w:tcPr>
            <w:tcW w:w="992" w:type="dxa"/>
            <w:gridSpan w:val="2"/>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14:paraId="6DD63106" w14:textId="77777777" w:rsidR="00E95C99" w:rsidRPr="003726BE" w:rsidRDefault="00E95C99" w:rsidP="002F6E33">
            <w:pPr>
              <w:spacing w:after="0"/>
              <w:jc w:val="center"/>
              <w:rPr>
                <w:rFonts w:cs="Arial"/>
                <w:color w:val="373737" w:themeColor="background1" w:themeShade="40"/>
                <w:szCs w:val="18"/>
                <w:highlight w:val="yellow"/>
              </w:rPr>
            </w:pPr>
          </w:p>
        </w:tc>
        <w:tc>
          <w:tcPr>
            <w:tcW w:w="988" w:type="dxa"/>
            <w:gridSpan w:val="2"/>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14:paraId="4D23B76D" w14:textId="77777777" w:rsidR="00E95C99" w:rsidRPr="003726BE" w:rsidRDefault="00E95C99" w:rsidP="00B529DB">
            <w:pPr>
              <w:pStyle w:val="ListParagraph"/>
              <w:spacing w:after="0"/>
              <w:ind w:left="0" w:firstLine="0"/>
              <w:jc w:val="center"/>
              <w:rPr>
                <w:rFonts w:ascii="Arial" w:hAnsi="Arial" w:cs="Arial"/>
                <w:color w:val="373737" w:themeColor="background1" w:themeShade="40"/>
                <w:sz w:val="18"/>
                <w:szCs w:val="18"/>
                <w:highlight w:val="yellow"/>
              </w:rPr>
            </w:pPr>
            <w:r w:rsidRPr="003726BE">
              <w:rPr>
                <w:rFonts w:ascii="Arial" w:hAnsi="Arial"/>
                <w:color w:val="373737" w:themeColor="background1" w:themeShade="40"/>
                <w:sz w:val="18"/>
                <w:highlight w:val="yellow"/>
              </w:rPr>
              <w:t>81,4</w:t>
            </w:r>
          </w:p>
        </w:tc>
        <w:tc>
          <w:tcPr>
            <w:tcW w:w="1140" w:type="dxa"/>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14:paraId="6E40C15D" w14:textId="77777777" w:rsidR="00E95C99" w:rsidRPr="003726BE" w:rsidRDefault="00E95C99" w:rsidP="00B529DB">
            <w:pPr>
              <w:pStyle w:val="ListParagraph"/>
              <w:spacing w:after="0"/>
              <w:ind w:left="0" w:hanging="5"/>
              <w:jc w:val="center"/>
              <w:rPr>
                <w:rFonts w:ascii="Arial" w:hAnsi="Arial" w:cs="Arial"/>
                <w:color w:val="373737" w:themeColor="background1" w:themeShade="40"/>
                <w:sz w:val="18"/>
                <w:szCs w:val="18"/>
                <w:highlight w:val="yellow"/>
              </w:rPr>
            </w:pPr>
            <w:r w:rsidRPr="003726BE">
              <w:rPr>
                <w:rFonts w:ascii="Arial" w:hAnsi="Arial"/>
                <w:color w:val="373737" w:themeColor="background1" w:themeShade="40"/>
                <w:sz w:val="18"/>
                <w:highlight w:val="yellow"/>
              </w:rPr>
              <w:t>290 000 / 356 000 EUR</w:t>
            </w:r>
          </w:p>
        </w:tc>
        <w:tc>
          <w:tcPr>
            <w:tcW w:w="1276" w:type="dxa"/>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14:paraId="4546F4C9" w14:textId="77777777" w:rsidR="00E95C99" w:rsidRPr="003726BE" w:rsidRDefault="00E95C99" w:rsidP="00B529DB">
            <w:pPr>
              <w:pStyle w:val="ListParagraph"/>
              <w:spacing w:after="0"/>
              <w:ind w:left="0" w:firstLine="0"/>
              <w:jc w:val="center"/>
              <w:rPr>
                <w:rFonts w:ascii="Arial" w:hAnsi="Arial" w:cs="Arial"/>
                <w:b/>
                <w:color w:val="373737" w:themeColor="background1" w:themeShade="40"/>
                <w:sz w:val="18"/>
                <w:szCs w:val="18"/>
                <w:highlight w:val="yellow"/>
              </w:rPr>
            </w:pPr>
          </w:p>
        </w:tc>
        <w:tc>
          <w:tcPr>
            <w:tcW w:w="1820"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vAlign w:val="center"/>
          </w:tcPr>
          <w:p w14:paraId="4E29A15B" w14:textId="77777777" w:rsidR="00E95C99" w:rsidRPr="003726BE" w:rsidRDefault="00E95C99" w:rsidP="00287E53">
            <w:pPr>
              <w:pStyle w:val="ListParagraph"/>
              <w:tabs>
                <w:tab w:val="clear" w:pos="709"/>
              </w:tabs>
              <w:spacing w:after="0"/>
              <w:ind w:left="0" w:right="101" w:firstLine="0"/>
              <w:jc w:val="center"/>
              <w:rPr>
                <w:rFonts w:ascii="Arial" w:hAnsi="Arial" w:cs="Arial"/>
                <w:color w:val="373737" w:themeColor="background1" w:themeShade="40"/>
                <w:sz w:val="18"/>
                <w:szCs w:val="18"/>
                <w:highlight w:val="yellow"/>
              </w:rPr>
            </w:pPr>
            <w:r w:rsidRPr="003726BE">
              <w:rPr>
                <w:rFonts w:ascii="Arial" w:hAnsi="Arial"/>
                <w:color w:val="373737" w:themeColor="background1" w:themeShade="40"/>
                <w:sz w:val="18"/>
                <w:highlight w:val="yellow"/>
              </w:rPr>
              <w:t>Banca dati delle operazioni</w:t>
            </w:r>
          </w:p>
          <w:p w14:paraId="2E1FEDD6" w14:textId="77777777" w:rsidR="00E95C99" w:rsidRPr="003726BE" w:rsidRDefault="00E95C99" w:rsidP="00287E53">
            <w:pPr>
              <w:pStyle w:val="ListParagraph"/>
              <w:spacing w:after="0"/>
              <w:ind w:left="0" w:right="101" w:firstLine="0"/>
              <w:jc w:val="center"/>
              <w:rPr>
                <w:rFonts w:ascii="Arial" w:hAnsi="Arial" w:cs="Arial"/>
                <w:b/>
                <w:color w:val="373737" w:themeColor="background1" w:themeShade="40"/>
                <w:sz w:val="18"/>
                <w:szCs w:val="18"/>
                <w:highlight w:val="yellow"/>
              </w:rPr>
            </w:pPr>
            <w:r w:rsidRPr="003726BE">
              <w:rPr>
                <w:rFonts w:ascii="Arial" w:hAnsi="Arial"/>
                <w:color w:val="373737" w:themeColor="background1" w:themeShade="40"/>
                <w:sz w:val="18"/>
                <w:highlight w:val="yellow"/>
              </w:rPr>
              <w:t>Indagine</w:t>
            </w:r>
          </w:p>
        </w:tc>
      </w:tr>
      <w:tr w:rsidR="00E95C99" w:rsidRPr="003726BE" w14:paraId="453B222F" w14:textId="77777777" w:rsidTr="00473407">
        <w:trPr>
          <w:trHeight w:val="1508"/>
          <w:jc w:val="center"/>
        </w:trPr>
        <w:tc>
          <w:tcPr>
            <w:tcW w:w="1397" w:type="dxa"/>
            <w:vMerge/>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14:paraId="3EBFF810" w14:textId="77777777" w:rsidR="00E95C99" w:rsidRPr="003726BE" w:rsidRDefault="00E95C99" w:rsidP="002F6E33">
            <w:pPr>
              <w:rPr>
                <w:rFonts w:cs="Arial"/>
                <w:b/>
                <w:szCs w:val="18"/>
                <w:highlight w:val="yellow"/>
              </w:rPr>
            </w:pPr>
          </w:p>
        </w:tc>
        <w:tc>
          <w:tcPr>
            <w:tcW w:w="1274"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14:paraId="659C5C72" w14:textId="77777777" w:rsidR="00E95C99" w:rsidRPr="003726BE" w:rsidRDefault="00E95C99" w:rsidP="00B529DB">
            <w:pPr>
              <w:pStyle w:val="H-Heading2"/>
              <w:suppressAutoHyphens/>
              <w:autoSpaceDN w:val="0"/>
              <w:spacing w:after="0"/>
              <w:ind w:left="0" w:firstLine="0"/>
              <w:textAlignment w:val="baseline"/>
              <w:rPr>
                <w:rFonts w:ascii="Arial" w:hAnsi="Arial" w:cs="Arial"/>
                <w:b w:val="0"/>
                <w:color w:val="373737" w:themeColor="background1" w:themeShade="40"/>
                <w:sz w:val="18"/>
                <w:szCs w:val="18"/>
                <w:highlight w:val="yellow"/>
              </w:rPr>
            </w:pPr>
            <w:r w:rsidRPr="003726BE">
              <w:rPr>
                <w:rFonts w:ascii="Arial" w:hAnsi="Arial"/>
                <w:b w:val="0"/>
                <w:color w:val="373737" w:themeColor="background1" w:themeShade="40"/>
                <w:sz w:val="18"/>
                <w:highlight w:val="yellow"/>
              </w:rPr>
              <w:t>PSRI2C/3 – Produttività della manodopera nel settore forestale (CMES)</w:t>
            </w:r>
          </w:p>
        </w:tc>
        <w:tc>
          <w:tcPr>
            <w:tcW w:w="992" w:type="dxa"/>
            <w:gridSpan w:val="2"/>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14:paraId="3A936B10" w14:textId="77777777" w:rsidR="00E95C99" w:rsidRPr="003726BE" w:rsidRDefault="00E95C99" w:rsidP="002F6E33">
            <w:pPr>
              <w:spacing w:after="0"/>
              <w:jc w:val="center"/>
              <w:rPr>
                <w:rFonts w:cs="Arial"/>
                <w:color w:val="373737" w:themeColor="background1" w:themeShade="40"/>
                <w:szCs w:val="18"/>
                <w:highlight w:val="yellow"/>
              </w:rPr>
            </w:pPr>
          </w:p>
        </w:tc>
        <w:tc>
          <w:tcPr>
            <w:tcW w:w="988" w:type="dxa"/>
            <w:gridSpan w:val="2"/>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14:paraId="447F22FF" w14:textId="77777777" w:rsidR="00E95C99" w:rsidRPr="003726BE" w:rsidRDefault="00E95C99" w:rsidP="00B529DB">
            <w:pPr>
              <w:pStyle w:val="ListParagraph"/>
              <w:spacing w:after="0"/>
              <w:ind w:left="0" w:firstLine="0"/>
              <w:jc w:val="center"/>
              <w:rPr>
                <w:rFonts w:ascii="Arial" w:hAnsi="Arial" w:cs="Arial"/>
                <w:color w:val="373737" w:themeColor="background1" w:themeShade="40"/>
                <w:sz w:val="18"/>
                <w:szCs w:val="18"/>
                <w:highlight w:val="yellow"/>
              </w:rPr>
            </w:pPr>
          </w:p>
        </w:tc>
        <w:tc>
          <w:tcPr>
            <w:tcW w:w="1140" w:type="dxa"/>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14:paraId="5C6E76D6" w14:textId="77777777" w:rsidR="00E95C99" w:rsidRPr="003726BE" w:rsidRDefault="00E95C99" w:rsidP="00B529DB">
            <w:pPr>
              <w:pStyle w:val="ListParagraph"/>
              <w:spacing w:after="0"/>
              <w:ind w:left="0" w:firstLine="0"/>
              <w:jc w:val="center"/>
              <w:rPr>
                <w:rFonts w:ascii="Arial" w:hAnsi="Arial" w:cs="Arial"/>
                <w:color w:val="373737" w:themeColor="background1" w:themeShade="40"/>
                <w:sz w:val="18"/>
                <w:szCs w:val="18"/>
                <w:highlight w:val="yellow"/>
              </w:rPr>
            </w:pPr>
            <w:r w:rsidRPr="003726BE">
              <w:rPr>
                <w:rFonts w:ascii="Arial" w:hAnsi="Arial"/>
                <w:color w:val="373737" w:themeColor="background1" w:themeShade="40"/>
                <w:sz w:val="18"/>
                <w:highlight w:val="yellow"/>
              </w:rPr>
              <w:t>50 000 EUR ULA</w:t>
            </w:r>
          </w:p>
        </w:tc>
        <w:tc>
          <w:tcPr>
            <w:tcW w:w="1276" w:type="dxa"/>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14:paraId="14D1E6A8" w14:textId="77777777" w:rsidR="00E95C99" w:rsidRPr="003726BE" w:rsidRDefault="00E95C99" w:rsidP="00B529DB">
            <w:pPr>
              <w:pStyle w:val="ListParagraph"/>
              <w:spacing w:after="0"/>
              <w:ind w:left="0" w:firstLine="0"/>
              <w:jc w:val="center"/>
              <w:rPr>
                <w:rFonts w:ascii="Arial" w:hAnsi="Arial" w:cs="Arial"/>
                <w:b/>
                <w:color w:val="373737" w:themeColor="background1" w:themeShade="40"/>
                <w:sz w:val="18"/>
                <w:szCs w:val="18"/>
                <w:highlight w:val="yellow"/>
              </w:rPr>
            </w:pPr>
          </w:p>
        </w:tc>
        <w:tc>
          <w:tcPr>
            <w:tcW w:w="1820"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vAlign w:val="center"/>
          </w:tcPr>
          <w:p w14:paraId="538A789F" w14:textId="77777777" w:rsidR="00E95C99" w:rsidRPr="003726BE" w:rsidRDefault="00E95C99" w:rsidP="00287E53">
            <w:pPr>
              <w:pStyle w:val="ListParagraph"/>
              <w:tabs>
                <w:tab w:val="clear" w:pos="709"/>
              </w:tabs>
              <w:spacing w:after="0"/>
              <w:ind w:left="0" w:right="101" w:firstLine="0"/>
              <w:jc w:val="center"/>
              <w:rPr>
                <w:rFonts w:ascii="Arial" w:hAnsi="Arial" w:cs="Arial"/>
                <w:color w:val="373737" w:themeColor="background1" w:themeShade="40"/>
                <w:sz w:val="18"/>
                <w:szCs w:val="18"/>
                <w:highlight w:val="yellow"/>
              </w:rPr>
            </w:pPr>
            <w:r w:rsidRPr="003726BE">
              <w:rPr>
                <w:rFonts w:ascii="Arial" w:hAnsi="Arial"/>
                <w:color w:val="373737" w:themeColor="background1" w:themeShade="40"/>
                <w:sz w:val="18"/>
                <w:highlight w:val="yellow"/>
              </w:rPr>
              <w:t>Banca dati delle operazioni</w:t>
            </w:r>
          </w:p>
          <w:p w14:paraId="02425172" w14:textId="77777777" w:rsidR="00E95C99" w:rsidRPr="003726BE" w:rsidRDefault="00E95C99" w:rsidP="00287E53">
            <w:pPr>
              <w:pStyle w:val="ListParagraph"/>
              <w:tabs>
                <w:tab w:val="clear" w:pos="709"/>
              </w:tabs>
              <w:spacing w:after="0"/>
              <w:ind w:left="0" w:right="101" w:firstLine="0"/>
              <w:jc w:val="center"/>
              <w:rPr>
                <w:rFonts w:ascii="Arial" w:hAnsi="Arial" w:cs="Arial"/>
                <w:color w:val="373737" w:themeColor="background1" w:themeShade="40"/>
                <w:sz w:val="18"/>
                <w:szCs w:val="18"/>
                <w:highlight w:val="yellow"/>
              </w:rPr>
            </w:pPr>
            <w:r w:rsidRPr="003726BE">
              <w:rPr>
                <w:rFonts w:ascii="Arial" w:hAnsi="Arial"/>
                <w:color w:val="373737" w:themeColor="background1" w:themeShade="40"/>
                <w:sz w:val="18"/>
                <w:highlight w:val="yellow"/>
              </w:rPr>
              <w:t>Indagine</w:t>
            </w:r>
          </w:p>
        </w:tc>
      </w:tr>
      <w:tr w:rsidR="00E95C99" w:rsidRPr="003726BE" w14:paraId="35033730" w14:textId="77777777" w:rsidTr="00473407">
        <w:trPr>
          <w:trHeight w:val="413"/>
          <w:jc w:val="center"/>
        </w:trPr>
        <w:tc>
          <w:tcPr>
            <w:tcW w:w="1397" w:type="dxa"/>
            <w:vMerge/>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14:paraId="089B3F85" w14:textId="77777777" w:rsidR="00E95C99" w:rsidRPr="003726BE" w:rsidRDefault="00E95C99" w:rsidP="002F6E33">
            <w:pPr>
              <w:rPr>
                <w:rFonts w:cs="Arial"/>
                <w:b/>
                <w:szCs w:val="18"/>
                <w:highlight w:val="yellow"/>
              </w:rPr>
            </w:pPr>
          </w:p>
        </w:tc>
        <w:tc>
          <w:tcPr>
            <w:tcW w:w="1274"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14:paraId="46E07EA6" w14:textId="77777777" w:rsidR="00E95C99" w:rsidRPr="003726BE" w:rsidRDefault="00E95C99" w:rsidP="00B529DB">
            <w:pPr>
              <w:pStyle w:val="H-Heading2"/>
              <w:suppressAutoHyphens/>
              <w:autoSpaceDN w:val="0"/>
              <w:spacing w:after="0"/>
              <w:ind w:left="0" w:firstLine="0"/>
              <w:textAlignment w:val="baseline"/>
              <w:rPr>
                <w:rFonts w:ascii="Arial" w:hAnsi="Arial" w:cs="Arial"/>
                <w:b w:val="0"/>
                <w:color w:val="373737" w:themeColor="background1" w:themeShade="40"/>
                <w:sz w:val="18"/>
                <w:szCs w:val="18"/>
                <w:highlight w:val="yellow"/>
              </w:rPr>
            </w:pPr>
            <w:r w:rsidRPr="003726BE">
              <w:rPr>
                <w:rFonts w:ascii="Arial" w:hAnsi="Arial"/>
                <w:b w:val="0"/>
                <w:color w:val="373737" w:themeColor="background1" w:themeShade="40"/>
                <w:sz w:val="18"/>
                <w:highlight w:val="yellow"/>
              </w:rPr>
              <w:t>CC – Numero di aziende forestali</w:t>
            </w:r>
          </w:p>
        </w:tc>
        <w:tc>
          <w:tcPr>
            <w:tcW w:w="992" w:type="dxa"/>
            <w:gridSpan w:val="2"/>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14:paraId="2D677C06" w14:textId="77777777" w:rsidR="00E95C99" w:rsidRPr="003726BE" w:rsidRDefault="00E95C99" w:rsidP="00B529DB">
            <w:pPr>
              <w:pStyle w:val="ListParagraph"/>
              <w:tabs>
                <w:tab w:val="clear" w:pos="709"/>
              </w:tabs>
              <w:spacing w:after="0"/>
              <w:ind w:left="0" w:firstLine="0"/>
              <w:jc w:val="center"/>
              <w:rPr>
                <w:rFonts w:ascii="Arial" w:hAnsi="Arial" w:cs="Arial"/>
                <w:color w:val="373737" w:themeColor="background1" w:themeShade="40"/>
                <w:sz w:val="18"/>
                <w:szCs w:val="18"/>
                <w:highlight w:val="yellow"/>
              </w:rPr>
            </w:pPr>
            <w:r w:rsidRPr="003726BE">
              <w:rPr>
                <w:rFonts w:ascii="Arial" w:hAnsi="Arial"/>
                <w:color w:val="373737" w:themeColor="background1" w:themeShade="40"/>
                <w:sz w:val="18"/>
                <w:highlight w:val="yellow"/>
              </w:rPr>
              <w:t>8 895</w:t>
            </w:r>
          </w:p>
        </w:tc>
        <w:tc>
          <w:tcPr>
            <w:tcW w:w="988" w:type="dxa"/>
            <w:gridSpan w:val="2"/>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14:paraId="760DC439" w14:textId="77777777" w:rsidR="00E95C99" w:rsidRPr="003726BE" w:rsidRDefault="00E95C99" w:rsidP="00B529DB">
            <w:pPr>
              <w:pStyle w:val="ListParagraph"/>
              <w:spacing w:after="0"/>
              <w:ind w:left="0" w:firstLine="0"/>
              <w:jc w:val="center"/>
              <w:rPr>
                <w:rFonts w:ascii="Arial" w:hAnsi="Arial" w:cs="Arial"/>
                <w:b/>
                <w:color w:val="373737" w:themeColor="background1" w:themeShade="40"/>
                <w:sz w:val="18"/>
                <w:szCs w:val="18"/>
                <w:highlight w:val="yellow"/>
              </w:rPr>
            </w:pPr>
          </w:p>
        </w:tc>
        <w:tc>
          <w:tcPr>
            <w:tcW w:w="1140" w:type="dxa"/>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14:paraId="092DBAF1" w14:textId="77777777" w:rsidR="00E95C99" w:rsidRPr="003726BE" w:rsidRDefault="00E95C99" w:rsidP="00B529DB">
            <w:pPr>
              <w:pStyle w:val="ListParagraph"/>
              <w:spacing w:after="0"/>
              <w:ind w:left="0" w:hanging="5"/>
              <w:jc w:val="center"/>
              <w:rPr>
                <w:rFonts w:ascii="Arial" w:hAnsi="Arial" w:cs="Arial"/>
                <w:b/>
                <w:color w:val="373737" w:themeColor="background1" w:themeShade="40"/>
                <w:sz w:val="18"/>
                <w:szCs w:val="18"/>
                <w:highlight w:val="yellow"/>
              </w:rPr>
            </w:pPr>
          </w:p>
        </w:tc>
        <w:tc>
          <w:tcPr>
            <w:tcW w:w="1276" w:type="dxa"/>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14:paraId="3A696952" w14:textId="77777777" w:rsidR="00E95C99" w:rsidRPr="003726BE" w:rsidRDefault="00E95C99" w:rsidP="00B529DB">
            <w:pPr>
              <w:pStyle w:val="ListParagraph"/>
              <w:spacing w:after="0"/>
              <w:ind w:left="0" w:firstLine="0"/>
              <w:jc w:val="center"/>
              <w:rPr>
                <w:rFonts w:ascii="Arial" w:hAnsi="Arial" w:cs="Arial"/>
                <w:b/>
                <w:color w:val="373737" w:themeColor="background1" w:themeShade="40"/>
                <w:sz w:val="18"/>
                <w:szCs w:val="18"/>
                <w:highlight w:val="yellow"/>
              </w:rPr>
            </w:pPr>
          </w:p>
        </w:tc>
        <w:tc>
          <w:tcPr>
            <w:tcW w:w="1820"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vAlign w:val="center"/>
          </w:tcPr>
          <w:p w14:paraId="78FA4A59" w14:textId="77777777" w:rsidR="00E95C99" w:rsidRPr="003726BE" w:rsidRDefault="00E95C99" w:rsidP="00B529DB">
            <w:pPr>
              <w:pStyle w:val="ListParagraph"/>
              <w:tabs>
                <w:tab w:val="clear" w:pos="709"/>
              </w:tabs>
              <w:spacing w:after="0"/>
              <w:ind w:left="0" w:firstLine="0"/>
              <w:jc w:val="center"/>
              <w:rPr>
                <w:rFonts w:ascii="Arial" w:hAnsi="Arial" w:cs="Arial"/>
                <w:color w:val="373737" w:themeColor="background1" w:themeShade="40"/>
                <w:sz w:val="18"/>
                <w:szCs w:val="18"/>
                <w:highlight w:val="yellow"/>
              </w:rPr>
            </w:pPr>
            <w:r w:rsidRPr="003726BE">
              <w:rPr>
                <w:rFonts w:ascii="Arial" w:hAnsi="Arial"/>
                <w:color w:val="373737" w:themeColor="background1" w:themeShade="40"/>
                <w:sz w:val="18"/>
                <w:highlight w:val="yellow"/>
              </w:rPr>
              <w:t>Statistiche nazionali</w:t>
            </w:r>
          </w:p>
        </w:tc>
      </w:tr>
      <w:tr w:rsidR="00E95C99" w:rsidRPr="003726BE" w14:paraId="331DFA2B" w14:textId="77777777" w:rsidTr="00473407">
        <w:trPr>
          <w:trHeight w:val="45"/>
          <w:jc w:val="center"/>
        </w:trPr>
        <w:tc>
          <w:tcPr>
            <w:tcW w:w="8887" w:type="dxa"/>
            <w:gridSpan w:val="9"/>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14:paraId="5768F3D8" w14:textId="77777777" w:rsidR="00E95C99" w:rsidRPr="003726BE" w:rsidRDefault="00E95C99" w:rsidP="001A31FB">
            <w:pPr>
              <w:pStyle w:val="ListParagraph"/>
              <w:numPr>
                <w:ilvl w:val="0"/>
                <w:numId w:val="41"/>
              </w:numPr>
              <w:suppressAutoHyphens/>
              <w:autoSpaceDN w:val="0"/>
              <w:spacing w:after="0" w:line="240" w:lineRule="auto"/>
              <w:textAlignment w:val="baseline"/>
              <w:rPr>
                <w:rFonts w:ascii="Arial" w:hAnsi="Arial" w:cs="Arial"/>
                <w:color w:val="ED7D31"/>
                <w:sz w:val="18"/>
                <w:szCs w:val="18"/>
                <w:highlight w:val="yellow"/>
              </w:rPr>
            </w:pPr>
            <w:r w:rsidRPr="003726BE">
              <w:rPr>
                <w:rFonts w:ascii="Arial" w:hAnsi="Arial"/>
                <w:b/>
                <w:color w:val="ED7D31"/>
                <w:sz w:val="18"/>
                <w:highlight w:val="yellow"/>
              </w:rPr>
              <w:t>Problemi riscontrati che influenzano la validità e l'affidabilità dei risultati della valutazione</w:t>
            </w:r>
            <w:r w:rsidRPr="003726BE">
              <w:rPr>
                <w:rStyle w:val="FootnoteReference"/>
                <w:highlight w:val="yellow"/>
              </w:rPr>
              <w:footnoteReference w:id="175"/>
            </w:r>
            <w:r w:rsidRPr="003726BE">
              <w:rPr>
                <w:rFonts w:ascii="Arial" w:hAnsi="Arial"/>
                <w:color w:val="ED7D31"/>
                <w:sz w:val="18"/>
                <w:highlight w:val="yellow"/>
              </w:rPr>
              <w:t xml:space="preserve"> </w:t>
            </w:r>
          </w:p>
          <w:p w14:paraId="705F8347" w14:textId="77777777" w:rsidR="00E95C99" w:rsidRPr="003726BE" w:rsidRDefault="00E95C99" w:rsidP="002F6E33">
            <w:pPr>
              <w:spacing w:after="0"/>
              <w:rPr>
                <w:rFonts w:cs="Arial"/>
                <w:szCs w:val="18"/>
                <w:highlight w:val="yellow"/>
              </w:rPr>
            </w:pPr>
          </w:p>
          <w:p w14:paraId="1B3C2485" w14:textId="77777777" w:rsidR="00E95C99" w:rsidRPr="003726BE" w:rsidRDefault="00E95C99" w:rsidP="002F6E33">
            <w:pPr>
              <w:spacing w:after="0"/>
              <w:rPr>
                <w:rFonts w:cs="Arial"/>
                <w:i/>
                <w:color w:val="F7A833" w:themeColor="accent5"/>
                <w:szCs w:val="18"/>
                <w:highlight w:val="yellow"/>
              </w:rPr>
            </w:pPr>
            <w:r w:rsidRPr="003726BE">
              <w:rPr>
                <w:i/>
                <w:color w:val="F7A833" w:themeColor="accent5"/>
                <w:highlight w:val="yellow"/>
              </w:rPr>
              <w:t>[Massimo 1 750 caratteri = circa ½ pagina – non obbligatorio]</w:t>
            </w:r>
          </w:p>
          <w:p w14:paraId="6D51C12E" w14:textId="77777777" w:rsidR="00E95C99" w:rsidRPr="003726BE" w:rsidRDefault="00E95C99" w:rsidP="00287E53">
            <w:pPr>
              <w:spacing w:before="120" w:after="0"/>
              <w:rPr>
                <w:rFonts w:cs="Arial"/>
                <w:color w:val="373737" w:themeColor="background1" w:themeShade="40"/>
                <w:szCs w:val="18"/>
                <w:highlight w:val="yellow"/>
              </w:rPr>
            </w:pPr>
            <w:r w:rsidRPr="003726BE">
              <w:rPr>
                <w:color w:val="373737" w:themeColor="background1" w:themeShade="40"/>
                <w:highlight w:val="yellow"/>
              </w:rPr>
              <w:t>Il calcolo di PSRI2C/2 e CCI 15 si è basat</w:t>
            </w:r>
            <w:r w:rsidR="006635B3">
              <w:rPr>
                <w:color w:val="373737" w:themeColor="background1" w:themeShade="40"/>
                <w:highlight w:val="yellow"/>
              </w:rPr>
              <w:t>o</w:t>
            </w:r>
            <w:r w:rsidRPr="003726BE">
              <w:rPr>
                <w:color w:val="373737" w:themeColor="background1" w:themeShade="40"/>
                <w:highlight w:val="yellow"/>
              </w:rPr>
              <w:t xml:space="preserve"> solo sulle operazioni di misure/sottomisure del FA 2C che hanno presentato utilizzo – M8.6 e M16.3. Il resto delle misure/sottomisure programmate – M2.1, che non hanno presentato utilizzo fino al 31.12.2016 non è stato preso in considerazione. L'utilizzo di M8.6 e M16.3 ha consentito di calcolare i valori lordi di entrambi gli indicatori. Oltre ai contributi primari, sono stati presi in considerazione anche i contributi secondari, ossia la misura M12.2 programmata nel quadro del FA 4A, che ha presentato utilizzo al momento della valutazione. Nel quadro di questa misura, un campione rappresentativo della popolazione di beneficiari è stato coinvolto in un'indagine per l'indicatore PSRI2C/3 (coloro che non hanno attuato progetti nel quadro del FA 2C). </w:t>
            </w:r>
          </w:p>
          <w:p w14:paraId="746CEAC2" w14:textId="77777777" w:rsidR="00E95C99" w:rsidRPr="003726BE" w:rsidRDefault="00E95C99" w:rsidP="00287E53">
            <w:pPr>
              <w:spacing w:before="120" w:after="0"/>
              <w:rPr>
                <w:rFonts w:cs="Arial"/>
                <w:color w:val="373737" w:themeColor="background1" w:themeShade="40"/>
                <w:szCs w:val="18"/>
                <w:highlight w:val="yellow"/>
              </w:rPr>
            </w:pPr>
            <w:r w:rsidRPr="003726BE">
              <w:rPr>
                <w:color w:val="373737" w:themeColor="background1" w:themeShade="40"/>
                <w:highlight w:val="yellow"/>
              </w:rPr>
              <w:t xml:space="preserve">Non è stato possibile calcolare i valori netti di questi indicatori dal momento che al momento della </w:t>
            </w:r>
            <w:r w:rsidRPr="003726BE">
              <w:rPr>
                <w:color w:val="373737" w:themeColor="background1" w:themeShade="40"/>
                <w:highlight w:val="yellow"/>
              </w:rPr>
              <w:lastRenderedPageBreak/>
              <w:t xml:space="preserve">valutazione non erano disponibili dati statistici pertinenti per creare gruppi di controllo e derivare i valori netti degli indicatori. Tuttavia, i valutatori sono riusciti a impostare il sistema per il calcolo dei valori netti per il PSRI2C/3 e PSRI2C/2 o per la loro valutazione in fasi successive (2019), assicurando la presenza della serie di dati in linea temporale, collegando dati di monitoraggio e statistici, in modo da essere in grado di applicare una progettazione della valutazione quasi sperimentale in fasi successive di attuazione del PSR. </w:t>
            </w:r>
          </w:p>
          <w:p w14:paraId="117707CB" w14:textId="77777777" w:rsidR="00E95C99" w:rsidRPr="003726BE" w:rsidRDefault="00E95C99" w:rsidP="00287E53">
            <w:pPr>
              <w:spacing w:before="120" w:after="0"/>
              <w:rPr>
                <w:rFonts w:cs="Arial"/>
                <w:color w:val="373737" w:themeColor="background1" w:themeShade="40"/>
                <w:szCs w:val="18"/>
                <w:highlight w:val="yellow"/>
              </w:rPr>
            </w:pPr>
            <w:r w:rsidRPr="003726BE">
              <w:rPr>
                <w:color w:val="373737" w:themeColor="background1" w:themeShade="40"/>
                <w:highlight w:val="yellow"/>
              </w:rPr>
              <w:t>Il PSRI2C/1 è stato calcolato come rapporto (%) di aziende beneficiarie (dati O4 ricavati dalla banca dati delle operazioni, 31.12.2016) rispetto al numero totale di aziende (statistiche nazionali del 2015).</w:t>
            </w:r>
          </w:p>
          <w:p w14:paraId="1E72BF34" w14:textId="77777777" w:rsidR="00E95C99" w:rsidRPr="003726BE" w:rsidRDefault="00E95C99" w:rsidP="00287E53">
            <w:pPr>
              <w:spacing w:before="120" w:after="0"/>
              <w:rPr>
                <w:rFonts w:cs="Arial"/>
                <w:szCs w:val="18"/>
                <w:highlight w:val="yellow"/>
              </w:rPr>
            </w:pPr>
            <w:r w:rsidRPr="003726BE">
              <w:rPr>
                <w:color w:val="373737" w:themeColor="background1" w:themeShade="40"/>
                <w:highlight w:val="yellow"/>
              </w:rPr>
              <w:t>Le prove raccolte hanno consentito di rispondere alla DVSP.</w:t>
            </w:r>
          </w:p>
        </w:tc>
      </w:tr>
      <w:tr w:rsidR="00E95C99" w:rsidRPr="003726BE" w14:paraId="05C7EFA0" w14:textId="77777777" w:rsidTr="00473407">
        <w:trPr>
          <w:trHeight w:val="75"/>
          <w:jc w:val="center"/>
        </w:trPr>
        <w:tc>
          <w:tcPr>
            <w:tcW w:w="8887" w:type="dxa"/>
            <w:gridSpan w:val="9"/>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14:paraId="20131A04" w14:textId="77777777" w:rsidR="00E95C99" w:rsidRPr="003726BE" w:rsidRDefault="00E95C99" w:rsidP="001A31FB">
            <w:pPr>
              <w:pStyle w:val="ListParagraph"/>
              <w:numPr>
                <w:ilvl w:val="0"/>
                <w:numId w:val="41"/>
              </w:numPr>
              <w:suppressAutoHyphens/>
              <w:autoSpaceDN w:val="0"/>
              <w:spacing w:after="0" w:line="240" w:lineRule="auto"/>
              <w:textAlignment w:val="baseline"/>
              <w:rPr>
                <w:rFonts w:ascii="Arial" w:hAnsi="Arial" w:cs="Arial"/>
                <w:b/>
                <w:color w:val="373737" w:themeColor="background1" w:themeShade="40"/>
                <w:sz w:val="18"/>
                <w:szCs w:val="18"/>
                <w:highlight w:val="yellow"/>
              </w:rPr>
            </w:pPr>
            <w:r w:rsidRPr="003726BE">
              <w:rPr>
                <w:rFonts w:ascii="Arial" w:hAnsi="Arial"/>
                <w:b/>
                <w:color w:val="F07E31" w:themeColor="background2"/>
                <w:sz w:val="18"/>
                <w:highlight w:val="yellow"/>
              </w:rPr>
              <w:lastRenderedPageBreak/>
              <w:t>Risposta alla domanda di valutazione</w:t>
            </w:r>
            <w:r w:rsidRPr="003726BE">
              <w:rPr>
                <w:rStyle w:val="FootnoteReference"/>
                <w:color w:val="373737" w:themeColor="background1" w:themeShade="40"/>
                <w:highlight w:val="yellow"/>
              </w:rPr>
              <w:footnoteReference w:id="176"/>
            </w:r>
            <w:r w:rsidRPr="003726BE">
              <w:rPr>
                <w:rFonts w:ascii="Arial" w:hAnsi="Arial"/>
                <w:b/>
                <w:color w:val="373737" w:themeColor="background1" w:themeShade="40"/>
                <w:sz w:val="18"/>
                <w:highlight w:val="yellow"/>
              </w:rPr>
              <w:t xml:space="preserve"> </w:t>
            </w:r>
          </w:p>
          <w:p w14:paraId="17D9CF7E" w14:textId="77777777" w:rsidR="00E95C99" w:rsidRPr="003726BE" w:rsidRDefault="00E95C99" w:rsidP="002F6E33">
            <w:pPr>
              <w:spacing w:after="0"/>
              <w:rPr>
                <w:rFonts w:cs="Arial"/>
                <w:b/>
                <w:color w:val="373737" w:themeColor="background1" w:themeShade="40"/>
                <w:szCs w:val="18"/>
                <w:highlight w:val="yellow"/>
              </w:rPr>
            </w:pPr>
          </w:p>
          <w:p w14:paraId="19F9C58E" w14:textId="77777777" w:rsidR="00E95C99" w:rsidRPr="003726BE" w:rsidRDefault="00E95C99" w:rsidP="002F6E33">
            <w:pPr>
              <w:spacing w:after="0"/>
              <w:rPr>
                <w:rFonts w:cs="Arial"/>
                <w:i/>
                <w:color w:val="F7A833" w:themeColor="accent5"/>
                <w:szCs w:val="18"/>
                <w:highlight w:val="yellow"/>
              </w:rPr>
            </w:pPr>
            <w:r w:rsidRPr="003726BE">
              <w:rPr>
                <w:i/>
                <w:color w:val="F7A833" w:themeColor="accent5"/>
                <w:highlight w:val="yellow"/>
              </w:rPr>
              <w:t>[Massimo 10 500 caratteri = circa 3 pagine – obbligatorio]</w:t>
            </w:r>
          </w:p>
          <w:p w14:paraId="1E1C9594" w14:textId="77777777" w:rsidR="00E95C99" w:rsidRPr="003726BE" w:rsidRDefault="00E95C99" w:rsidP="002F6E33">
            <w:pPr>
              <w:spacing w:after="0"/>
              <w:rPr>
                <w:rFonts w:cs="Arial"/>
                <w:bCs/>
                <w:color w:val="373737" w:themeColor="background1" w:themeShade="40"/>
                <w:szCs w:val="18"/>
                <w:highlight w:val="yellow"/>
              </w:rPr>
            </w:pPr>
            <w:r w:rsidRPr="003726BE">
              <w:rPr>
                <w:color w:val="373737" w:themeColor="background1" w:themeShade="40"/>
                <w:highlight w:val="yellow"/>
              </w:rPr>
              <w:t>Nella "zona interessata dal programma" ci sono 8 895 aziende forestali ammissibili. Di queste, 2 153 hanno ricevuto sostegno agli investimenti in tecnologie silvicole e nella trasformazione, mobilitazione e commercializzazione dei prodotti delle foreste (M8.6) e/o cooperazione tra piccoli operatori per organizzare processi di lavoro in comune e condividere impianti e risorse (M16.3) nel quadro dell'aspetto specifico 2C. Il numero totale dei progetti attuati prima del 31.12.2016 è stato pari a 3 253. Tutti i progetti sono stati finalizzati. Ciò significa che complessivamente il 24 % delle aziende forestali ammissibili ha beneficiato del sostegno agli investimenti e ha contribuito agli obiettivi del FA 2C: miglioramento delle prestazioni economiche, della competitività e crescita della commercializzazione dei prodotti delle foreste.</w:t>
            </w:r>
          </w:p>
          <w:p w14:paraId="49A3230F" w14:textId="77777777" w:rsidR="00E95C99" w:rsidRPr="003726BE" w:rsidRDefault="00E95C99" w:rsidP="002F6E33">
            <w:pPr>
              <w:spacing w:after="0"/>
              <w:rPr>
                <w:rFonts w:cs="Arial"/>
                <w:color w:val="373737" w:themeColor="background1" w:themeShade="40"/>
                <w:szCs w:val="18"/>
                <w:highlight w:val="yellow"/>
              </w:rPr>
            </w:pPr>
            <w:r w:rsidRPr="003726BE">
              <w:rPr>
                <w:color w:val="373737" w:themeColor="background1" w:themeShade="40"/>
                <w:highlight w:val="yellow"/>
              </w:rPr>
              <w:t>A parte questi principali contributi al FA 2C, è stato previsto che anche le operazioni nel quadro del FA 4A contribuiranno alla realizzazione degli obiettivi del FA 2C, principalmente in virtù della M12.2 con un numero totale di progetti attuati prima del 31.12.2016 pari a 850.</w:t>
            </w:r>
          </w:p>
          <w:p w14:paraId="1284DD8E" w14:textId="77777777" w:rsidR="00E95C99" w:rsidRPr="003726BE" w:rsidRDefault="00E95C99" w:rsidP="002F6E33">
            <w:pPr>
              <w:spacing w:after="0"/>
              <w:rPr>
                <w:rFonts w:cs="Arial"/>
                <w:bCs/>
                <w:color w:val="373737" w:themeColor="background1" w:themeShade="40"/>
                <w:szCs w:val="18"/>
                <w:highlight w:val="yellow"/>
              </w:rPr>
            </w:pPr>
            <w:r w:rsidRPr="003726BE">
              <w:rPr>
                <w:color w:val="373737" w:themeColor="background1" w:themeShade="40"/>
                <w:highlight w:val="yellow"/>
              </w:rPr>
              <w:t>Il sostegno al PSR summenzionato ha migliorato la produttività della manodopera delle aziende forestali beneficiarie, che è passata da 41 000 EUR/ULA a 50 000 EUR/ULA (in valori lordi), il che cor</w:t>
            </w:r>
            <w:r w:rsidR="00E7404C">
              <w:rPr>
                <w:color w:val="373737" w:themeColor="background1" w:themeShade="40"/>
                <w:highlight w:val="yellow"/>
              </w:rPr>
              <w:t>risponde a un aumento del 18 %.</w:t>
            </w:r>
            <w:r w:rsidRPr="003726BE">
              <w:rPr>
                <w:color w:val="373737" w:themeColor="background1" w:themeShade="40"/>
                <w:highlight w:val="yellow"/>
              </w:rPr>
              <w:t xml:space="preserve"> Le operazioni della sottomisura M12.2 attuate nel quadro del FA 4A hanno contribuito a un aumento della produttività della manodopera per un 8 %. Ciò significa che le prestazioni economiche delle aziende agricole beneficiarie sono migliorate soprattutto grazie a misure di investimento del FA 2C e solo in parte tramite la misura territoriale M12.2 del FA 4A. </w:t>
            </w:r>
          </w:p>
          <w:p w14:paraId="0E3441AB" w14:textId="77777777" w:rsidR="00E95C99" w:rsidRPr="003726BE" w:rsidRDefault="00E95C99" w:rsidP="002F6E33">
            <w:pPr>
              <w:spacing w:after="0"/>
              <w:rPr>
                <w:rFonts w:cs="Arial"/>
                <w:color w:val="373737" w:themeColor="background1" w:themeShade="40"/>
                <w:szCs w:val="18"/>
                <w:highlight w:val="yellow"/>
              </w:rPr>
            </w:pPr>
            <w:r w:rsidRPr="003726BE">
              <w:rPr>
                <w:color w:val="373737" w:themeColor="background1" w:themeShade="40"/>
                <w:highlight w:val="yellow"/>
              </w:rPr>
              <w:t>Per quanto riguarda la commercializzazione dei prodotti delle foreste, il sostegno del Produttore è stato meno efficace. I beneficiari hanno incrementato le loro vendite rispetto alla produzione totale soltanto del 4,1 % (passando dal 77 % all'81,4 %), dopo aver ricevuto il sostegno del PSR (in valori lordi). I beneficiari della sottomisura M12.2 hanno contribuito a questo aumento</w:t>
            </w:r>
            <w:r w:rsidR="00E7404C">
              <w:rPr>
                <w:color w:val="373737" w:themeColor="background1" w:themeShade="40"/>
                <w:highlight w:val="yellow"/>
              </w:rPr>
              <w:t xml:space="preserve"> soltanto leggermente (0,5 %). </w:t>
            </w:r>
          </w:p>
        </w:tc>
      </w:tr>
      <w:tr w:rsidR="00E95C99" w:rsidRPr="003726BE" w14:paraId="2BD25AD0" w14:textId="77777777" w:rsidTr="00473407">
        <w:trPr>
          <w:trHeight w:val="57"/>
          <w:jc w:val="center"/>
        </w:trPr>
        <w:tc>
          <w:tcPr>
            <w:tcW w:w="8887" w:type="dxa"/>
            <w:gridSpan w:val="9"/>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14:paraId="624090EF" w14:textId="77777777" w:rsidR="00E95C99" w:rsidRPr="003726BE" w:rsidRDefault="00E95C99" w:rsidP="001A31FB">
            <w:pPr>
              <w:pStyle w:val="ListParagraph"/>
              <w:numPr>
                <w:ilvl w:val="0"/>
                <w:numId w:val="41"/>
              </w:numPr>
              <w:suppressAutoHyphens/>
              <w:autoSpaceDN w:val="0"/>
              <w:spacing w:after="0" w:line="240" w:lineRule="auto"/>
              <w:textAlignment w:val="baseline"/>
              <w:rPr>
                <w:rFonts w:ascii="Arial" w:hAnsi="Arial" w:cs="Arial"/>
                <w:b/>
                <w:color w:val="ED7D31"/>
                <w:sz w:val="18"/>
                <w:szCs w:val="18"/>
                <w:highlight w:val="yellow"/>
              </w:rPr>
            </w:pPr>
            <w:r w:rsidRPr="003726BE">
              <w:rPr>
                <w:rFonts w:ascii="Arial" w:hAnsi="Arial"/>
                <w:b/>
                <w:color w:val="ED7D31"/>
                <w:sz w:val="18"/>
                <w:highlight w:val="yellow"/>
              </w:rPr>
              <w:t>Conclusioni e raccomandazioni</w:t>
            </w:r>
            <w:r w:rsidRPr="003726BE">
              <w:rPr>
                <w:rStyle w:val="FootnoteReference"/>
                <w:highlight w:val="yellow"/>
              </w:rPr>
              <w:footnoteReference w:id="177"/>
            </w:r>
          </w:p>
          <w:p w14:paraId="6205096C" w14:textId="77777777" w:rsidR="00E95C99" w:rsidRPr="003726BE" w:rsidRDefault="00E95C99" w:rsidP="002F6E33">
            <w:pPr>
              <w:spacing w:after="0"/>
              <w:rPr>
                <w:rFonts w:cs="Arial"/>
                <w:b/>
                <w:color w:val="ED7D31"/>
                <w:szCs w:val="18"/>
                <w:highlight w:val="yellow"/>
              </w:rPr>
            </w:pPr>
          </w:p>
          <w:p w14:paraId="764763F3" w14:textId="77777777" w:rsidR="00E95C99" w:rsidRPr="003726BE" w:rsidRDefault="00E95C99" w:rsidP="002F6E33">
            <w:pPr>
              <w:spacing w:after="0"/>
              <w:rPr>
                <w:rFonts w:cs="Arial"/>
                <w:b/>
                <w:szCs w:val="18"/>
                <w:highlight w:val="yellow"/>
              </w:rPr>
            </w:pPr>
          </w:p>
        </w:tc>
      </w:tr>
      <w:tr w:rsidR="00E95C99" w:rsidRPr="003726BE" w14:paraId="6691AB04" w14:textId="77777777" w:rsidTr="00473407">
        <w:trPr>
          <w:trHeight w:val="414"/>
          <w:jc w:val="center"/>
        </w:trPr>
        <w:tc>
          <w:tcPr>
            <w:tcW w:w="4443" w:type="dxa"/>
            <w:gridSpan w:val="5"/>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14:paraId="3FF2A904" w14:textId="77777777" w:rsidR="00E95C99" w:rsidRPr="003726BE" w:rsidRDefault="00E95C99" w:rsidP="002F6E33">
            <w:pPr>
              <w:spacing w:after="0"/>
              <w:rPr>
                <w:rFonts w:cs="Arial"/>
                <w:b/>
                <w:color w:val="373737" w:themeColor="background1" w:themeShade="40"/>
                <w:szCs w:val="18"/>
                <w:highlight w:val="yellow"/>
              </w:rPr>
            </w:pPr>
            <w:r w:rsidRPr="003726BE">
              <w:rPr>
                <w:b/>
                <w:color w:val="373737" w:themeColor="background1" w:themeShade="40"/>
                <w:highlight w:val="yellow"/>
              </w:rPr>
              <w:t>Conclusioni</w:t>
            </w:r>
          </w:p>
          <w:p w14:paraId="5B4AD4EB" w14:textId="77777777" w:rsidR="00E95C99" w:rsidRPr="003726BE" w:rsidRDefault="00E95C99" w:rsidP="002F6E33">
            <w:pPr>
              <w:spacing w:after="0"/>
              <w:rPr>
                <w:rFonts w:cs="Arial"/>
                <w:b/>
                <w:szCs w:val="18"/>
                <w:highlight w:val="yellow"/>
              </w:rPr>
            </w:pPr>
          </w:p>
          <w:p w14:paraId="60D72CBC" w14:textId="77777777" w:rsidR="00E95C99" w:rsidRPr="003726BE" w:rsidRDefault="00E95C99" w:rsidP="002F6E33">
            <w:pPr>
              <w:spacing w:after="0"/>
              <w:rPr>
                <w:rFonts w:cs="Arial"/>
                <w:i/>
                <w:color w:val="F7A833" w:themeColor="accent5"/>
                <w:szCs w:val="18"/>
                <w:highlight w:val="yellow"/>
              </w:rPr>
            </w:pPr>
            <w:r w:rsidRPr="003726BE">
              <w:rPr>
                <w:i/>
                <w:color w:val="F7A833" w:themeColor="accent5"/>
                <w:highlight w:val="yellow"/>
              </w:rPr>
              <w:t>[Circa 1 000 caratteri - obbligatorio]</w:t>
            </w:r>
          </w:p>
          <w:p w14:paraId="39DC21AE" w14:textId="77777777" w:rsidR="00E95C99" w:rsidRPr="003726BE" w:rsidRDefault="00E95C99" w:rsidP="002F6E33">
            <w:pPr>
              <w:spacing w:after="0"/>
              <w:rPr>
                <w:rFonts w:cs="Arial"/>
                <w:b/>
                <w:szCs w:val="18"/>
                <w:highlight w:val="yellow"/>
              </w:rPr>
            </w:pPr>
          </w:p>
        </w:tc>
        <w:tc>
          <w:tcPr>
            <w:tcW w:w="4444" w:type="dxa"/>
            <w:gridSpan w:val="4"/>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14:paraId="4D04F3F1" w14:textId="77777777" w:rsidR="00E95C99" w:rsidRPr="003726BE" w:rsidRDefault="00E95C99" w:rsidP="00287E53">
            <w:pPr>
              <w:spacing w:after="0"/>
              <w:ind w:left="66" w:right="101"/>
              <w:rPr>
                <w:rFonts w:cs="Arial"/>
                <w:b/>
                <w:color w:val="373737" w:themeColor="background1" w:themeShade="40"/>
                <w:szCs w:val="18"/>
                <w:highlight w:val="yellow"/>
              </w:rPr>
            </w:pPr>
            <w:r w:rsidRPr="003726BE">
              <w:rPr>
                <w:b/>
                <w:color w:val="373737" w:themeColor="background1" w:themeShade="40"/>
                <w:highlight w:val="yellow"/>
              </w:rPr>
              <w:t>Raccomandazione</w:t>
            </w:r>
          </w:p>
          <w:p w14:paraId="520F3553" w14:textId="77777777" w:rsidR="00E95C99" w:rsidRPr="003726BE" w:rsidRDefault="00E95C99" w:rsidP="00287E53">
            <w:pPr>
              <w:spacing w:after="0"/>
              <w:ind w:left="66" w:right="101"/>
              <w:rPr>
                <w:rFonts w:cs="Arial"/>
                <w:b/>
                <w:color w:val="373737" w:themeColor="background1" w:themeShade="40"/>
                <w:szCs w:val="18"/>
                <w:highlight w:val="yellow"/>
              </w:rPr>
            </w:pPr>
          </w:p>
          <w:p w14:paraId="2C7D83A6" w14:textId="77777777" w:rsidR="00E95C99" w:rsidRPr="003726BE" w:rsidRDefault="00E95C99" w:rsidP="00287E53">
            <w:pPr>
              <w:spacing w:after="0"/>
              <w:ind w:left="66" w:right="101"/>
              <w:rPr>
                <w:rFonts w:cs="Arial"/>
                <w:i/>
                <w:color w:val="F7A833" w:themeColor="accent5"/>
                <w:szCs w:val="18"/>
                <w:highlight w:val="yellow"/>
              </w:rPr>
            </w:pPr>
            <w:r w:rsidRPr="003726BE">
              <w:rPr>
                <w:i/>
                <w:color w:val="F7A833" w:themeColor="accent5"/>
                <w:highlight w:val="yellow"/>
              </w:rPr>
              <w:t>[Circa 1 000 caratteri - non obbligatorio]</w:t>
            </w:r>
          </w:p>
          <w:p w14:paraId="6630509E" w14:textId="77777777" w:rsidR="00E95C99" w:rsidRPr="003726BE" w:rsidRDefault="00E95C99" w:rsidP="00287E53">
            <w:pPr>
              <w:spacing w:after="0"/>
              <w:ind w:left="66" w:right="101"/>
              <w:rPr>
                <w:rFonts w:cs="Arial"/>
                <w:b/>
                <w:szCs w:val="18"/>
                <w:highlight w:val="yellow"/>
              </w:rPr>
            </w:pPr>
          </w:p>
        </w:tc>
      </w:tr>
      <w:tr w:rsidR="00E95C99" w:rsidRPr="003726BE" w14:paraId="1D672DAC" w14:textId="77777777" w:rsidTr="00473407">
        <w:trPr>
          <w:trHeight w:val="414"/>
          <w:jc w:val="center"/>
        </w:trPr>
        <w:tc>
          <w:tcPr>
            <w:tcW w:w="4443" w:type="dxa"/>
            <w:gridSpan w:val="5"/>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14:paraId="7D5AAEB0" w14:textId="77777777" w:rsidR="00E95C99" w:rsidRPr="003726BE" w:rsidRDefault="00E95C99" w:rsidP="002F6E33">
            <w:pPr>
              <w:spacing w:after="0"/>
              <w:rPr>
                <w:rFonts w:cs="Arial"/>
                <w:b/>
                <w:color w:val="373737" w:themeColor="background1" w:themeShade="40"/>
                <w:szCs w:val="18"/>
                <w:highlight w:val="yellow"/>
              </w:rPr>
            </w:pPr>
            <w:r w:rsidRPr="003726BE">
              <w:rPr>
                <w:b/>
                <w:color w:val="373737" w:themeColor="background1" w:themeShade="40"/>
                <w:highlight w:val="yellow"/>
              </w:rPr>
              <w:t xml:space="preserve">C.1 </w:t>
            </w:r>
          </w:p>
          <w:p w14:paraId="1AEC87E8" w14:textId="77777777" w:rsidR="00E95C99" w:rsidRPr="003726BE" w:rsidRDefault="00E95C99" w:rsidP="002F6E33">
            <w:pPr>
              <w:spacing w:after="0"/>
              <w:rPr>
                <w:rFonts w:cs="Arial"/>
                <w:color w:val="373737" w:themeColor="background1" w:themeShade="40"/>
                <w:szCs w:val="18"/>
                <w:highlight w:val="yellow"/>
              </w:rPr>
            </w:pPr>
            <w:r w:rsidRPr="003726BE">
              <w:rPr>
                <w:color w:val="373737" w:themeColor="background1" w:themeShade="40"/>
                <w:highlight w:val="yellow"/>
              </w:rPr>
              <w:t>Il sostegno del PSR ha migliorato le prestazioni economiche delle aziende forestali soprattutto dal punto di vista dell'efficacia e dell'efficienza della produzione silvicola. È risultato invece meno efficace in termini di commercializzazione dei prodotti delle foreste.</w:t>
            </w:r>
          </w:p>
        </w:tc>
        <w:tc>
          <w:tcPr>
            <w:tcW w:w="4444" w:type="dxa"/>
            <w:gridSpan w:val="4"/>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14:paraId="7F268D65" w14:textId="77777777" w:rsidR="00E95C99" w:rsidRPr="003726BE" w:rsidRDefault="00E95C99" w:rsidP="00287E53">
            <w:pPr>
              <w:spacing w:after="0"/>
              <w:ind w:left="66" w:right="101"/>
              <w:rPr>
                <w:rFonts w:cs="Arial"/>
                <w:b/>
                <w:color w:val="373737" w:themeColor="background1" w:themeShade="40"/>
                <w:szCs w:val="18"/>
                <w:highlight w:val="yellow"/>
              </w:rPr>
            </w:pPr>
            <w:r w:rsidRPr="003726BE">
              <w:rPr>
                <w:b/>
                <w:color w:val="373737" w:themeColor="background1" w:themeShade="40"/>
                <w:highlight w:val="yellow"/>
              </w:rPr>
              <w:t>R.1</w:t>
            </w:r>
          </w:p>
          <w:p w14:paraId="050B4BCA" w14:textId="77777777" w:rsidR="00E95C99" w:rsidRPr="003726BE" w:rsidRDefault="00E95C99" w:rsidP="00287E53">
            <w:pPr>
              <w:spacing w:after="0"/>
              <w:ind w:left="66" w:right="101"/>
              <w:rPr>
                <w:rFonts w:cs="Arial"/>
                <w:color w:val="373737" w:themeColor="background1" w:themeShade="40"/>
                <w:szCs w:val="18"/>
                <w:highlight w:val="yellow"/>
              </w:rPr>
            </w:pPr>
            <w:r w:rsidRPr="003726BE">
              <w:rPr>
                <w:color w:val="373737" w:themeColor="background1" w:themeShade="40"/>
                <w:highlight w:val="yellow"/>
              </w:rPr>
              <w:t>Migliorare le prestazioni delle aziende forestali presenti sul mercato; si dovrebbero introdurre misure aggiuntive nel quadro del FA 2C, ad esempio M9 per promuovere la cooperazione tra i produttori nella commercializzazione.</w:t>
            </w:r>
          </w:p>
        </w:tc>
      </w:tr>
    </w:tbl>
    <w:p w14:paraId="1A4FD62F" w14:textId="77777777" w:rsidR="00E95C99" w:rsidRPr="003726BE" w:rsidRDefault="00E95C99" w:rsidP="00E95C99">
      <w:pPr>
        <w:pStyle w:val="Releasable"/>
        <w:ind w:left="840"/>
        <w:rPr>
          <w:rFonts w:ascii="Arial" w:hAnsi="Arial" w:cs="Arial"/>
          <w:caps w:val="0"/>
          <w:sz w:val="20"/>
        </w:rPr>
      </w:pPr>
    </w:p>
    <w:p w14:paraId="03D8937B" w14:textId="77777777" w:rsidR="00E95C99" w:rsidRPr="003726BE" w:rsidRDefault="00E95C99" w:rsidP="00E95C99">
      <w:pPr>
        <w:rPr>
          <w:rFonts w:cs="Arial"/>
          <w:b/>
          <w:sz w:val="20"/>
          <w:szCs w:val="20"/>
        </w:rPr>
      </w:pPr>
    </w:p>
    <w:p w14:paraId="269E9753" w14:textId="77777777" w:rsidR="002B2ED6" w:rsidRPr="003726BE" w:rsidRDefault="00090E37" w:rsidP="00090E37">
      <w:pPr>
        <w:pStyle w:val="Autor"/>
        <w:tabs>
          <w:tab w:val="left" w:pos="1236"/>
        </w:tabs>
        <w:sectPr w:rsidR="002B2ED6" w:rsidRPr="003726BE" w:rsidSect="00FE5DEE">
          <w:pgSz w:w="11907" w:h="16840" w:code="9"/>
          <w:pgMar w:top="1418" w:right="1418" w:bottom="1418" w:left="1418" w:header="737" w:footer="709" w:gutter="0"/>
          <w:cols w:space="708"/>
          <w:titlePg/>
          <w:docGrid w:linePitch="435"/>
        </w:sectPr>
      </w:pPr>
      <w:r w:rsidRPr="003726BE">
        <w:tab/>
      </w:r>
    </w:p>
    <w:p w14:paraId="2D200320" w14:textId="77777777" w:rsidR="002B2ED6" w:rsidRPr="00CB34A3" w:rsidRDefault="002B2ED6" w:rsidP="009750E9">
      <w:pPr>
        <w:pStyle w:val="HHeading1"/>
        <w:numPr>
          <w:ilvl w:val="0"/>
          <w:numId w:val="0"/>
        </w:numPr>
        <w:rPr>
          <w:caps w:val="0"/>
          <w:lang w:val="en-GB"/>
        </w:rPr>
      </w:pPr>
      <w:bookmarkStart w:id="137" w:name="_Toc456012908"/>
      <w:bookmarkStart w:id="138" w:name="_Toc460936127"/>
      <w:bookmarkStart w:id="139" w:name="_Toc474132167"/>
      <w:r w:rsidRPr="00CB34A3">
        <w:rPr>
          <w:caps w:val="0"/>
          <w:lang w:val="en-GB"/>
        </w:rPr>
        <w:lastRenderedPageBreak/>
        <w:t>Annex 2 - Elements of the CMES and their use in evaluation</w:t>
      </w:r>
      <w:bookmarkEnd w:id="137"/>
      <w:bookmarkEnd w:id="138"/>
      <w:bookmarkEnd w:id="139"/>
    </w:p>
    <w:tbl>
      <w:tblPr>
        <w:tblStyle w:val="TableGrid1"/>
        <w:tblW w:w="14312"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Look w:val="04A0" w:firstRow="1" w:lastRow="0" w:firstColumn="1" w:lastColumn="0" w:noHBand="0" w:noVBand="1"/>
      </w:tblPr>
      <w:tblGrid>
        <w:gridCol w:w="2263"/>
        <w:gridCol w:w="5670"/>
        <w:gridCol w:w="6379"/>
      </w:tblGrid>
      <w:tr w:rsidR="002B2ED6" w:rsidRPr="00F61F42" w14:paraId="0D5E9A72" w14:textId="77777777" w:rsidTr="00AA71F1">
        <w:trPr>
          <w:tblHeader/>
        </w:trPr>
        <w:tc>
          <w:tcPr>
            <w:tcW w:w="2263" w:type="dxa"/>
            <w:shd w:val="clear" w:color="auto" w:fill="F07E31"/>
          </w:tcPr>
          <w:p w14:paraId="4024B067" w14:textId="77777777" w:rsidR="002B2ED6" w:rsidRPr="00CB34A3" w:rsidRDefault="002B2ED6" w:rsidP="00AA71F1">
            <w:pPr>
              <w:suppressAutoHyphens/>
              <w:spacing w:before="40" w:after="40" w:line="240" w:lineRule="auto"/>
              <w:jc w:val="center"/>
              <w:rPr>
                <w:rFonts w:cs="Arial"/>
                <w:b/>
                <w:color w:val="FFFFFF" w:themeColor="accent1"/>
                <w:szCs w:val="18"/>
                <w:lang w:val="en-GB"/>
              </w:rPr>
            </w:pPr>
            <w:r w:rsidRPr="00CB34A3">
              <w:rPr>
                <w:b/>
                <w:color w:val="FFFFFF" w:themeColor="accent1"/>
                <w:lang w:val="en-GB"/>
              </w:rPr>
              <w:t>CMES element</w:t>
            </w:r>
          </w:p>
          <w:p w14:paraId="5A9027B9" w14:textId="77777777" w:rsidR="002B2ED6" w:rsidRPr="00CB34A3" w:rsidRDefault="002B2ED6" w:rsidP="00AA71F1">
            <w:pPr>
              <w:suppressAutoHyphens/>
              <w:spacing w:before="40" w:after="40" w:line="240" w:lineRule="auto"/>
              <w:jc w:val="center"/>
              <w:rPr>
                <w:rFonts w:cs="Arial"/>
                <w:b/>
                <w:color w:val="FFFFFF" w:themeColor="accent1"/>
                <w:szCs w:val="18"/>
                <w:lang w:val="en-GB"/>
              </w:rPr>
            </w:pPr>
            <w:r w:rsidRPr="00CB34A3">
              <w:rPr>
                <w:b/>
                <w:color w:val="FFFFFF" w:themeColor="accent1"/>
                <w:lang w:val="en-GB"/>
              </w:rPr>
              <w:t xml:space="preserve">(Art.14 of 808/2014, </w:t>
            </w:r>
            <w:r w:rsidRPr="00CB34A3">
              <w:rPr>
                <w:rFonts w:cs="Arial"/>
                <w:b/>
                <w:color w:val="FFFFFF" w:themeColor="accent1"/>
                <w:szCs w:val="18"/>
                <w:lang w:val="en-GB"/>
              </w:rPr>
              <w:br/>
            </w:r>
            <w:r w:rsidRPr="00CB34A3">
              <w:rPr>
                <w:b/>
                <w:color w:val="FFFFFF" w:themeColor="accent1"/>
                <w:lang w:val="en-GB"/>
              </w:rPr>
              <w:t>point 1)</w:t>
            </w:r>
          </w:p>
        </w:tc>
        <w:tc>
          <w:tcPr>
            <w:tcW w:w="5670" w:type="dxa"/>
            <w:shd w:val="clear" w:color="auto" w:fill="F07E31"/>
          </w:tcPr>
          <w:p w14:paraId="6750C8E9" w14:textId="77777777" w:rsidR="002B2ED6" w:rsidRPr="003726BE" w:rsidRDefault="002B2ED6" w:rsidP="00AA71F1">
            <w:pPr>
              <w:suppressAutoHyphens/>
              <w:spacing w:before="40" w:after="40" w:line="240" w:lineRule="auto"/>
              <w:jc w:val="center"/>
              <w:rPr>
                <w:rFonts w:cs="Arial"/>
                <w:b/>
                <w:color w:val="FFFFFF" w:themeColor="accent1"/>
                <w:szCs w:val="18"/>
              </w:rPr>
            </w:pPr>
            <w:r w:rsidRPr="003726BE">
              <w:rPr>
                <w:b/>
                <w:color w:val="FFFFFF" w:themeColor="accent1"/>
              </w:rPr>
              <w:t>Short description</w:t>
            </w:r>
          </w:p>
        </w:tc>
        <w:tc>
          <w:tcPr>
            <w:tcW w:w="6379" w:type="dxa"/>
            <w:shd w:val="clear" w:color="auto" w:fill="F07E31"/>
          </w:tcPr>
          <w:p w14:paraId="21387148" w14:textId="77777777" w:rsidR="002B2ED6" w:rsidRPr="00CB34A3" w:rsidRDefault="002B2ED6" w:rsidP="00AA71F1">
            <w:pPr>
              <w:suppressAutoHyphens/>
              <w:spacing w:before="40" w:after="40" w:line="240" w:lineRule="auto"/>
              <w:jc w:val="center"/>
              <w:rPr>
                <w:rFonts w:cs="Arial"/>
                <w:b/>
                <w:color w:val="FFFFFF" w:themeColor="accent1"/>
                <w:szCs w:val="18"/>
                <w:lang w:val="en-GB"/>
              </w:rPr>
            </w:pPr>
            <w:r w:rsidRPr="00CB34A3">
              <w:rPr>
                <w:b/>
                <w:color w:val="FFFFFF" w:themeColor="accent1"/>
                <w:lang w:val="en-GB"/>
              </w:rPr>
              <w:t>Use in the RDP assessment</w:t>
            </w:r>
          </w:p>
        </w:tc>
      </w:tr>
      <w:tr w:rsidR="002B2ED6" w:rsidRPr="00F61F42" w14:paraId="35CFA664" w14:textId="77777777" w:rsidTr="00AA71F1">
        <w:tc>
          <w:tcPr>
            <w:tcW w:w="2263" w:type="dxa"/>
          </w:tcPr>
          <w:p w14:paraId="0157BF3D" w14:textId="77777777" w:rsidR="002B2ED6" w:rsidRPr="003726BE" w:rsidRDefault="002B2ED6" w:rsidP="00287E53">
            <w:pPr>
              <w:jc w:val="left"/>
              <w:rPr>
                <w:rFonts w:cs="Arial"/>
                <w:b/>
                <w:color w:val="373737" w:themeColor="background1" w:themeShade="40"/>
                <w:szCs w:val="18"/>
              </w:rPr>
            </w:pPr>
            <w:r w:rsidRPr="003726BE">
              <w:rPr>
                <w:b/>
                <w:color w:val="373737" w:themeColor="background1" w:themeShade="40"/>
              </w:rPr>
              <w:t>Intervention logic</w:t>
            </w:r>
          </w:p>
        </w:tc>
        <w:tc>
          <w:tcPr>
            <w:tcW w:w="5670" w:type="dxa"/>
          </w:tcPr>
          <w:p w14:paraId="1E504700" w14:textId="77777777" w:rsidR="002B2ED6" w:rsidRPr="00CB34A3" w:rsidRDefault="002B2ED6" w:rsidP="00AA71F1">
            <w:pPr>
              <w:rPr>
                <w:rFonts w:cs="Arial"/>
                <w:color w:val="373737" w:themeColor="background1" w:themeShade="40"/>
                <w:szCs w:val="18"/>
                <w:lang w:val="en-GB"/>
              </w:rPr>
            </w:pPr>
            <w:r w:rsidRPr="00CB34A3">
              <w:rPr>
                <w:color w:val="373737" w:themeColor="background1" w:themeShade="40"/>
                <w:lang w:val="en-GB"/>
              </w:rPr>
              <w:t xml:space="preserve">RDP intervention logic is composed of common EU and RDP specific policy objectives, which relate to RD </w:t>
            </w:r>
            <w:r w:rsidRPr="00CB34A3">
              <w:rPr>
                <w:b/>
                <w:color w:val="373737" w:themeColor="background1" w:themeShade="40"/>
                <w:lang w:val="en-GB"/>
              </w:rPr>
              <w:t>priorities, focus areas and measures/activities, inputs (financial allocations) and expected outputs, results and impacts</w:t>
            </w:r>
            <w:r w:rsidRPr="003726BE">
              <w:rPr>
                <w:rStyle w:val="FootnoteReference"/>
                <w:color w:val="373737" w:themeColor="background1" w:themeShade="40"/>
              </w:rPr>
              <w:footnoteReference w:id="178"/>
            </w:r>
            <w:r w:rsidRPr="00CB34A3">
              <w:rPr>
                <w:i/>
                <w:color w:val="373737" w:themeColor="background1" w:themeShade="40"/>
                <w:position w:val="6"/>
                <w:lang w:val="en-GB"/>
              </w:rPr>
              <w:t>.</w:t>
            </w:r>
            <w:r w:rsidRPr="00CB34A3">
              <w:rPr>
                <w:color w:val="373737" w:themeColor="background1" w:themeShade="40"/>
                <w:lang w:val="en-GB"/>
              </w:rPr>
              <w:t xml:space="preserve"> The composition of the intervention logic should be </w:t>
            </w:r>
            <w:r w:rsidRPr="00CB34A3">
              <w:rPr>
                <w:b/>
                <w:color w:val="373737" w:themeColor="background1" w:themeShade="40"/>
                <w:lang w:val="en-GB"/>
              </w:rPr>
              <w:t>coherent and relevant,</w:t>
            </w:r>
            <w:r w:rsidRPr="00CB34A3">
              <w:rPr>
                <w:color w:val="373737" w:themeColor="background1" w:themeShade="40"/>
                <w:lang w:val="en-GB"/>
              </w:rPr>
              <w:t xml:space="preserve"> reflecting the analysis of the territory (SWOT) and needs assessment. </w:t>
            </w:r>
          </w:p>
        </w:tc>
        <w:tc>
          <w:tcPr>
            <w:tcW w:w="6379" w:type="dxa"/>
          </w:tcPr>
          <w:p w14:paraId="08C09B8E" w14:textId="77777777" w:rsidR="002B2ED6" w:rsidRPr="00CB34A3" w:rsidRDefault="002B2ED6" w:rsidP="00AA71F1">
            <w:pPr>
              <w:rPr>
                <w:rFonts w:cs="Arial"/>
                <w:color w:val="373737" w:themeColor="background1" w:themeShade="40"/>
                <w:szCs w:val="18"/>
                <w:lang w:val="en-GB"/>
              </w:rPr>
            </w:pPr>
            <w:r w:rsidRPr="00CB34A3">
              <w:rPr>
                <w:color w:val="373737" w:themeColor="background1" w:themeShade="40"/>
                <w:lang w:val="en-GB"/>
              </w:rPr>
              <w:t xml:space="preserve">The </w:t>
            </w:r>
            <w:r w:rsidRPr="00CB34A3">
              <w:rPr>
                <w:b/>
                <w:color w:val="373737" w:themeColor="background1" w:themeShade="40"/>
                <w:lang w:val="en-GB"/>
              </w:rPr>
              <w:t>RDP specific intervention logic</w:t>
            </w:r>
            <w:r w:rsidRPr="00CB34A3">
              <w:rPr>
                <w:color w:val="373737" w:themeColor="background1" w:themeShade="40"/>
                <w:lang w:val="en-GB"/>
              </w:rPr>
              <w:t xml:space="preserve"> is the basis for setting up the evaluation framework (common and programme specific evaluation questions and indicators) and for the assessment of the effectiveness, efficiency, and the RDP´s results, impacts and relevance. </w:t>
            </w:r>
          </w:p>
          <w:p w14:paraId="601C3950" w14:textId="77777777" w:rsidR="002B2ED6" w:rsidRPr="00CB34A3" w:rsidRDefault="002B2ED6" w:rsidP="00915C22">
            <w:pPr>
              <w:rPr>
                <w:rFonts w:cs="Arial"/>
                <w:color w:val="373737" w:themeColor="background1" w:themeShade="40"/>
                <w:szCs w:val="18"/>
                <w:lang w:val="en-GB"/>
              </w:rPr>
            </w:pPr>
            <w:r w:rsidRPr="00CB34A3">
              <w:rPr>
                <w:color w:val="373737" w:themeColor="background1" w:themeShade="40"/>
                <w:lang w:val="en-GB"/>
              </w:rPr>
              <w:t xml:space="preserve">The intervention logic is also the basis for the application of the theory of change as one of the evaluation approaches. </w:t>
            </w:r>
          </w:p>
        </w:tc>
      </w:tr>
      <w:tr w:rsidR="002B2ED6" w:rsidRPr="00F61F42" w14:paraId="66FC9381" w14:textId="77777777" w:rsidTr="00AA71F1">
        <w:tc>
          <w:tcPr>
            <w:tcW w:w="2263" w:type="dxa"/>
          </w:tcPr>
          <w:p w14:paraId="7A2F10E8" w14:textId="77777777" w:rsidR="002B2ED6" w:rsidRPr="00CB34A3" w:rsidRDefault="002B2ED6" w:rsidP="00287E53">
            <w:pPr>
              <w:jc w:val="left"/>
              <w:rPr>
                <w:rFonts w:cs="Arial"/>
                <w:b/>
                <w:color w:val="373737" w:themeColor="background1" w:themeShade="40"/>
                <w:szCs w:val="18"/>
                <w:lang w:val="en-GB"/>
              </w:rPr>
            </w:pPr>
            <w:r w:rsidRPr="00CB34A3">
              <w:rPr>
                <w:b/>
                <w:color w:val="373737" w:themeColor="background1" w:themeShade="40"/>
                <w:lang w:val="en-GB"/>
              </w:rPr>
              <w:t xml:space="preserve">Set of common context, result and output indicators </w:t>
            </w:r>
          </w:p>
        </w:tc>
        <w:tc>
          <w:tcPr>
            <w:tcW w:w="5670" w:type="dxa"/>
          </w:tcPr>
          <w:p w14:paraId="7AA89887" w14:textId="77777777" w:rsidR="002B2ED6" w:rsidRPr="00CB34A3" w:rsidRDefault="002B2ED6" w:rsidP="00AA71F1">
            <w:pPr>
              <w:rPr>
                <w:rFonts w:cs="Arial"/>
                <w:color w:val="373737" w:themeColor="background1" w:themeShade="40"/>
                <w:szCs w:val="18"/>
                <w:lang w:val="en-GB"/>
              </w:rPr>
            </w:pPr>
            <w:r w:rsidRPr="00CB34A3">
              <w:rPr>
                <w:color w:val="373737" w:themeColor="background1" w:themeShade="40"/>
                <w:lang w:val="en-GB"/>
              </w:rPr>
              <w:t xml:space="preserve">Common </w:t>
            </w:r>
            <w:r w:rsidRPr="00CB34A3">
              <w:rPr>
                <w:b/>
                <w:color w:val="373737" w:themeColor="background1" w:themeShade="40"/>
                <w:lang w:val="en-GB"/>
              </w:rPr>
              <w:t>indicators</w:t>
            </w:r>
            <w:r w:rsidRPr="003726BE">
              <w:rPr>
                <w:rStyle w:val="FootnoteReference"/>
                <w:color w:val="373737" w:themeColor="background1" w:themeShade="40"/>
              </w:rPr>
              <w:footnoteReference w:id="179"/>
            </w:r>
            <w:r w:rsidRPr="00CB34A3">
              <w:rPr>
                <w:i/>
                <w:color w:val="373737" w:themeColor="background1" w:themeShade="40"/>
                <w:position w:val="6"/>
                <w:lang w:val="en-GB"/>
              </w:rPr>
              <w:t xml:space="preserve"> </w:t>
            </w:r>
            <w:r w:rsidRPr="00CB34A3">
              <w:rPr>
                <w:color w:val="373737" w:themeColor="background1" w:themeShade="40"/>
                <w:lang w:val="en-GB"/>
              </w:rPr>
              <w:t>for rural development are tools, set up at the EU level to describe and analyse the programme´s territory or to measure rural policy effects. They relate to policy objectives. The common indicators set contains context (and impact)</w:t>
            </w:r>
            <w:r w:rsidR="00E7404C">
              <w:rPr>
                <w:color w:val="373737" w:themeColor="background1" w:themeShade="40"/>
                <w:lang w:val="en-GB"/>
              </w:rPr>
              <w:t>, output and result indicators.</w:t>
            </w:r>
            <w:r w:rsidRPr="00CB34A3">
              <w:rPr>
                <w:color w:val="373737" w:themeColor="background1" w:themeShade="40"/>
                <w:lang w:val="en-GB"/>
              </w:rPr>
              <w:t xml:space="preserve"> </w:t>
            </w:r>
          </w:p>
          <w:p w14:paraId="30F063D0" w14:textId="77777777" w:rsidR="002B2ED6" w:rsidRPr="00CB34A3" w:rsidRDefault="002B2ED6">
            <w:pPr>
              <w:rPr>
                <w:rFonts w:cs="Arial"/>
                <w:color w:val="373737" w:themeColor="background1" w:themeShade="40"/>
                <w:szCs w:val="18"/>
                <w:lang w:val="en-GB"/>
              </w:rPr>
            </w:pPr>
            <w:r w:rsidRPr="00CB34A3">
              <w:rPr>
                <w:b/>
                <w:color w:val="373737" w:themeColor="background1" w:themeShade="40"/>
                <w:lang w:val="en-GB"/>
              </w:rPr>
              <w:t>Performance framework (PF) indicators</w:t>
            </w:r>
            <w:r w:rsidRPr="003726BE">
              <w:rPr>
                <w:rStyle w:val="FootnoteReference"/>
                <w:color w:val="373737" w:themeColor="background1" w:themeShade="40"/>
              </w:rPr>
              <w:footnoteReference w:id="180"/>
            </w:r>
            <w:r w:rsidRPr="00CB34A3">
              <w:rPr>
                <w:i/>
                <w:color w:val="373737" w:themeColor="background1" w:themeShade="40"/>
                <w:position w:val="6"/>
                <w:lang w:val="en-GB"/>
              </w:rPr>
              <w:t xml:space="preserve"> </w:t>
            </w:r>
            <w:r w:rsidRPr="00CB34A3">
              <w:rPr>
                <w:color w:val="373737" w:themeColor="background1" w:themeShade="40"/>
                <w:lang w:val="en-GB"/>
              </w:rPr>
              <w:t xml:space="preserve">relate to performance reserves, which are set up for each RDP and can be allocated only if milestones set up for the PF indicators have been achieved. Performance framework (PF) indicators are proposed by the legal framework as output level indicators. </w:t>
            </w:r>
          </w:p>
        </w:tc>
        <w:tc>
          <w:tcPr>
            <w:tcW w:w="6379" w:type="dxa"/>
          </w:tcPr>
          <w:p w14:paraId="1131E447" w14:textId="77777777" w:rsidR="002B2ED6" w:rsidRPr="00CB34A3" w:rsidRDefault="002B2ED6" w:rsidP="00AA71F1">
            <w:pPr>
              <w:rPr>
                <w:rFonts w:cs="Arial"/>
                <w:color w:val="373737" w:themeColor="background1" w:themeShade="40"/>
                <w:szCs w:val="18"/>
                <w:lang w:val="en-GB"/>
              </w:rPr>
            </w:pPr>
            <w:r w:rsidRPr="00CB34A3">
              <w:rPr>
                <w:color w:val="373737" w:themeColor="background1" w:themeShade="40"/>
                <w:lang w:val="en-GB"/>
              </w:rPr>
              <w:t xml:space="preserve">Common </w:t>
            </w:r>
            <w:r w:rsidRPr="00CB34A3">
              <w:rPr>
                <w:b/>
                <w:color w:val="373737" w:themeColor="background1" w:themeShade="40"/>
                <w:lang w:val="en-GB"/>
              </w:rPr>
              <w:t>contexts indicators</w:t>
            </w:r>
            <w:r w:rsidRPr="00CB34A3">
              <w:rPr>
                <w:color w:val="373737" w:themeColor="background1" w:themeShade="40"/>
                <w:lang w:val="en-GB"/>
              </w:rPr>
              <w:t xml:space="preserve"> are applied to describe and analyse the programme´s territory. Their values are used in the SWOT analysis and as justification in the needs assessment. </w:t>
            </w:r>
          </w:p>
          <w:p w14:paraId="420F36BC" w14:textId="77777777" w:rsidR="002B2ED6" w:rsidRPr="00CB34A3" w:rsidRDefault="002B2ED6" w:rsidP="00AA71F1">
            <w:pPr>
              <w:rPr>
                <w:rFonts w:cs="Arial"/>
                <w:color w:val="373737" w:themeColor="background1" w:themeShade="40"/>
                <w:szCs w:val="18"/>
                <w:lang w:val="en-GB"/>
              </w:rPr>
            </w:pPr>
            <w:r w:rsidRPr="00CB34A3">
              <w:rPr>
                <w:color w:val="373737" w:themeColor="background1" w:themeShade="40"/>
                <w:lang w:val="en-GB"/>
              </w:rPr>
              <w:t xml:space="preserve">Programme authorities might decide to develop and use programme specific context indicators, if the common ones are not sufficient to describe the RDP territory. </w:t>
            </w:r>
          </w:p>
          <w:p w14:paraId="5CB393F3" w14:textId="77777777" w:rsidR="002B2ED6" w:rsidRPr="00CB34A3" w:rsidRDefault="002B2ED6" w:rsidP="00AA71F1">
            <w:pPr>
              <w:rPr>
                <w:rFonts w:cs="Arial"/>
                <w:color w:val="373737" w:themeColor="background1" w:themeShade="40"/>
                <w:szCs w:val="18"/>
                <w:lang w:val="en-GB"/>
              </w:rPr>
            </w:pPr>
            <w:r w:rsidRPr="00CB34A3">
              <w:rPr>
                <w:color w:val="373737" w:themeColor="background1" w:themeShade="40"/>
                <w:lang w:val="en-GB"/>
              </w:rPr>
              <w:t xml:space="preserve">Common context indicators also contain the RD related </w:t>
            </w:r>
            <w:r w:rsidRPr="00CB34A3">
              <w:rPr>
                <w:b/>
                <w:color w:val="373737" w:themeColor="background1" w:themeShade="40"/>
                <w:lang w:val="en-GB"/>
              </w:rPr>
              <w:t>impact indicators</w:t>
            </w:r>
            <w:r w:rsidRPr="00CB34A3">
              <w:rPr>
                <w:color w:val="373737" w:themeColor="background1" w:themeShade="40"/>
                <w:lang w:val="en-GB"/>
              </w:rPr>
              <w:t>, which are used to measure the RDP’s effects at the level of the programme.</w:t>
            </w:r>
          </w:p>
          <w:p w14:paraId="703FC052" w14:textId="77777777" w:rsidR="002B2ED6" w:rsidRPr="00CB34A3" w:rsidRDefault="002B2ED6" w:rsidP="00AA71F1">
            <w:pPr>
              <w:rPr>
                <w:rFonts w:cs="Arial"/>
                <w:color w:val="373737" w:themeColor="background1" w:themeShade="40"/>
                <w:szCs w:val="18"/>
                <w:lang w:val="en-GB"/>
              </w:rPr>
            </w:pPr>
            <w:r w:rsidRPr="00CB34A3">
              <w:rPr>
                <w:color w:val="373737" w:themeColor="background1" w:themeShade="40"/>
                <w:lang w:val="en-GB"/>
              </w:rPr>
              <w:t xml:space="preserve">Common </w:t>
            </w:r>
            <w:r w:rsidRPr="00CB34A3">
              <w:rPr>
                <w:b/>
                <w:color w:val="373737" w:themeColor="background1" w:themeShade="40"/>
                <w:lang w:val="en-GB"/>
              </w:rPr>
              <w:t>result indicators</w:t>
            </w:r>
            <w:r w:rsidRPr="00CB34A3">
              <w:rPr>
                <w:color w:val="373737" w:themeColor="background1" w:themeShade="40"/>
                <w:lang w:val="en-GB"/>
              </w:rPr>
              <w:t xml:space="preserve"> are used to measure the RDP’s results within the programme´s beneficiaries.</w:t>
            </w:r>
          </w:p>
          <w:p w14:paraId="58C1EAF8" w14:textId="77777777" w:rsidR="002B2ED6" w:rsidRPr="00CB34A3" w:rsidRDefault="002B2ED6" w:rsidP="00AA71F1">
            <w:pPr>
              <w:rPr>
                <w:rFonts w:cs="Arial"/>
                <w:color w:val="373737" w:themeColor="background1" w:themeShade="40"/>
                <w:szCs w:val="18"/>
                <w:lang w:val="en-GB"/>
              </w:rPr>
            </w:pPr>
            <w:r w:rsidRPr="00CB34A3">
              <w:rPr>
                <w:color w:val="373737" w:themeColor="background1" w:themeShade="40"/>
                <w:lang w:val="en-GB"/>
              </w:rPr>
              <w:t xml:space="preserve">Common </w:t>
            </w:r>
            <w:r w:rsidRPr="00CB34A3">
              <w:rPr>
                <w:b/>
                <w:color w:val="373737" w:themeColor="background1" w:themeShade="40"/>
                <w:lang w:val="en-GB"/>
              </w:rPr>
              <w:t>output indicators</w:t>
            </w:r>
            <w:r w:rsidRPr="00CB34A3">
              <w:rPr>
                <w:color w:val="373737" w:themeColor="background1" w:themeShade="40"/>
                <w:lang w:val="en-GB"/>
              </w:rPr>
              <w:t xml:space="preserve"> are used to measure direct policy outputs at the measure level.</w:t>
            </w:r>
          </w:p>
          <w:p w14:paraId="22601C90" w14:textId="77777777" w:rsidR="002B2ED6" w:rsidRPr="00CB34A3" w:rsidRDefault="002B2ED6" w:rsidP="00AA71F1">
            <w:pPr>
              <w:rPr>
                <w:rFonts w:cs="Arial"/>
                <w:color w:val="373737" w:themeColor="background1" w:themeShade="40"/>
                <w:szCs w:val="18"/>
                <w:lang w:val="en-GB"/>
              </w:rPr>
            </w:pPr>
            <w:r w:rsidRPr="00CB34A3">
              <w:rPr>
                <w:color w:val="373737" w:themeColor="background1" w:themeShade="40"/>
                <w:lang w:val="en-GB"/>
              </w:rPr>
              <w:t xml:space="preserve">Programme authorities might decide to develop and use programme specific output, result and impact indicators, if the common set does not capture all programme effects. </w:t>
            </w:r>
          </w:p>
          <w:p w14:paraId="5C348C70" w14:textId="77777777" w:rsidR="002B2ED6" w:rsidRPr="00CB34A3" w:rsidRDefault="002B2ED6" w:rsidP="00AA71F1">
            <w:pPr>
              <w:rPr>
                <w:rFonts w:cs="Arial"/>
                <w:b/>
                <w:color w:val="373737" w:themeColor="background1" w:themeShade="40"/>
                <w:szCs w:val="18"/>
                <w:lang w:val="en-GB"/>
              </w:rPr>
            </w:pPr>
            <w:r w:rsidRPr="00CB34A3">
              <w:rPr>
                <w:color w:val="373737" w:themeColor="background1" w:themeShade="40"/>
                <w:lang w:val="en-GB"/>
              </w:rPr>
              <w:t>As for the performance framework (PF), Member State can use the pre-</w:t>
            </w:r>
            <w:r w:rsidRPr="00CB34A3">
              <w:rPr>
                <w:color w:val="373737" w:themeColor="background1" w:themeShade="40"/>
                <w:lang w:val="en-GB"/>
              </w:rPr>
              <w:lastRenderedPageBreak/>
              <w:t xml:space="preserve">defined PF indicators, or decide to define their own set. </w:t>
            </w:r>
          </w:p>
        </w:tc>
      </w:tr>
      <w:tr w:rsidR="002B2ED6" w:rsidRPr="00F61F42" w14:paraId="1C15E217" w14:textId="77777777" w:rsidTr="00AA71F1">
        <w:tc>
          <w:tcPr>
            <w:tcW w:w="2263" w:type="dxa"/>
          </w:tcPr>
          <w:p w14:paraId="02B3AE82" w14:textId="77777777" w:rsidR="002B2ED6" w:rsidRPr="003726BE" w:rsidRDefault="002B2ED6" w:rsidP="00287E53">
            <w:pPr>
              <w:jc w:val="left"/>
              <w:rPr>
                <w:rFonts w:cs="Arial"/>
                <w:b/>
                <w:color w:val="373737" w:themeColor="background1" w:themeShade="40"/>
                <w:szCs w:val="18"/>
              </w:rPr>
            </w:pPr>
            <w:r w:rsidRPr="003726BE">
              <w:rPr>
                <w:b/>
                <w:color w:val="373737" w:themeColor="background1" w:themeShade="40"/>
              </w:rPr>
              <w:lastRenderedPageBreak/>
              <w:t xml:space="preserve">Common evaluation questions </w:t>
            </w:r>
          </w:p>
        </w:tc>
        <w:tc>
          <w:tcPr>
            <w:tcW w:w="5670" w:type="dxa"/>
          </w:tcPr>
          <w:p w14:paraId="423A6141" w14:textId="77777777" w:rsidR="002B2ED6" w:rsidRPr="00CB34A3" w:rsidRDefault="002B2ED6" w:rsidP="00AA71F1">
            <w:pPr>
              <w:rPr>
                <w:rFonts w:cs="Arial"/>
                <w:color w:val="373737" w:themeColor="background1" w:themeShade="40"/>
                <w:szCs w:val="18"/>
                <w:lang w:val="en-GB"/>
              </w:rPr>
            </w:pPr>
            <w:r w:rsidRPr="00CB34A3">
              <w:rPr>
                <w:b/>
                <w:color w:val="373737" w:themeColor="background1" w:themeShade="40"/>
                <w:lang w:val="en-GB"/>
              </w:rPr>
              <w:t>Common evaluation questions</w:t>
            </w:r>
            <w:r w:rsidRPr="003726BE">
              <w:rPr>
                <w:rStyle w:val="FootnoteReference"/>
                <w:color w:val="373737" w:themeColor="background1" w:themeShade="40"/>
              </w:rPr>
              <w:footnoteReference w:id="181"/>
            </w:r>
            <w:r w:rsidRPr="00CB34A3">
              <w:rPr>
                <w:rStyle w:val="FootnoteReference"/>
                <w:color w:val="373737" w:themeColor="background1" w:themeShade="40"/>
                <w:lang w:val="en-GB"/>
              </w:rPr>
              <w:t xml:space="preserve"> </w:t>
            </w:r>
            <w:r w:rsidRPr="00CB34A3">
              <w:rPr>
                <w:color w:val="373737" w:themeColor="background1" w:themeShade="40"/>
                <w:lang w:val="en-GB"/>
              </w:rPr>
              <w:t>(CEQs) are an important element of the Common Monitoring and Evaluation System for rural development. They are formulated by the European Commission and they relate to policy objectives at the focus area level, horizontal policy objectives level (EU and CAP) and to other RDP aspects, such as TA or NRN. CEQs are further specified with the proposed judgment criteria and linked to common indicators.</w:t>
            </w:r>
          </w:p>
        </w:tc>
        <w:tc>
          <w:tcPr>
            <w:tcW w:w="6379" w:type="dxa"/>
          </w:tcPr>
          <w:p w14:paraId="54B1E503" w14:textId="77777777" w:rsidR="002B2ED6" w:rsidRPr="00CB34A3" w:rsidRDefault="002B2ED6" w:rsidP="00AA71F1">
            <w:pPr>
              <w:rPr>
                <w:rFonts w:cs="Arial"/>
                <w:color w:val="373737" w:themeColor="background1" w:themeShade="40"/>
                <w:szCs w:val="18"/>
                <w:lang w:val="en-GB"/>
              </w:rPr>
            </w:pPr>
            <w:r w:rsidRPr="00CB34A3">
              <w:rPr>
                <w:color w:val="373737" w:themeColor="background1" w:themeShade="40"/>
                <w:lang w:val="en-GB"/>
              </w:rPr>
              <w:t>CEQs define the focus of evaluations in relation to policy objectives and help to demonstrate the progress, impact, achievements, effectiveness, efficiency, and relevance of rural development policy.</w:t>
            </w:r>
          </w:p>
          <w:p w14:paraId="47AB923C" w14:textId="77777777" w:rsidR="002B2ED6" w:rsidRPr="00CB34A3" w:rsidRDefault="002B2ED6" w:rsidP="00AA71F1">
            <w:pPr>
              <w:rPr>
                <w:rFonts w:cs="Arial"/>
                <w:color w:val="373737" w:themeColor="background1" w:themeShade="40"/>
                <w:szCs w:val="18"/>
                <w:lang w:val="en-GB"/>
              </w:rPr>
            </w:pPr>
            <w:r w:rsidRPr="00CB34A3">
              <w:rPr>
                <w:color w:val="373737" w:themeColor="background1" w:themeShade="40"/>
                <w:lang w:val="en-GB"/>
              </w:rPr>
              <w:t xml:space="preserve">CEQs are answered with the help of indicators, which should be consistent with the CEQs´ judgement criteria and allow for evidence based answers. </w:t>
            </w:r>
          </w:p>
        </w:tc>
      </w:tr>
      <w:tr w:rsidR="002B2ED6" w:rsidRPr="00F61F42" w14:paraId="31760217" w14:textId="77777777" w:rsidTr="00AA71F1">
        <w:tc>
          <w:tcPr>
            <w:tcW w:w="2263" w:type="dxa"/>
          </w:tcPr>
          <w:p w14:paraId="0E8F3B1D" w14:textId="77777777" w:rsidR="002B2ED6" w:rsidRPr="00CB34A3" w:rsidRDefault="002B2ED6" w:rsidP="00287E53">
            <w:pPr>
              <w:jc w:val="left"/>
              <w:rPr>
                <w:rFonts w:cs="Arial"/>
                <w:b/>
                <w:color w:val="373737" w:themeColor="background1" w:themeShade="40"/>
                <w:szCs w:val="18"/>
                <w:lang w:val="en-GB"/>
              </w:rPr>
            </w:pPr>
            <w:r w:rsidRPr="00CB34A3">
              <w:rPr>
                <w:b/>
                <w:color w:val="373737" w:themeColor="background1" w:themeShade="40"/>
                <w:lang w:val="en-GB"/>
              </w:rPr>
              <w:t>Data collection, storage and transmission</w:t>
            </w:r>
          </w:p>
        </w:tc>
        <w:tc>
          <w:tcPr>
            <w:tcW w:w="5670" w:type="dxa"/>
          </w:tcPr>
          <w:p w14:paraId="27DB8833" w14:textId="77777777" w:rsidR="002B2ED6" w:rsidRPr="00CB34A3" w:rsidRDefault="002B2ED6" w:rsidP="00AA71F1">
            <w:pPr>
              <w:rPr>
                <w:rFonts w:cs="Arial"/>
                <w:color w:val="373737" w:themeColor="background1" w:themeShade="40"/>
                <w:szCs w:val="18"/>
                <w:lang w:val="en-GB"/>
              </w:rPr>
            </w:pPr>
            <w:r w:rsidRPr="00CB34A3">
              <w:rPr>
                <w:b/>
                <w:color w:val="373737" w:themeColor="background1" w:themeShade="40"/>
                <w:lang w:val="en-GB"/>
              </w:rPr>
              <w:t>Data</w:t>
            </w:r>
            <w:r w:rsidRPr="003726BE">
              <w:rPr>
                <w:rStyle w:val="FootnoteReference"/>
                <w:color w:val="373737" w:themeColor="background1" w:themeShade="40"/>
              </w:rPr>
              <w:footnoteReference w:id="182"/>
            </w:r>
            <w:r w:rsidRPr="00CB34A3">
              <w:rPr>
                <w:rStyle w:val="FootnoteReference"/>
                <w:color w:val="373737" w:themeColor="background1" w:themeShade="40"/>
                <w:lang w:val="en-GB"/>
              </w:rPr>
              <w:t xml:space="preserve"> </w:t>
            </w:r>
            <w:r w:rsidRPr="00CB34A3">
              <w:rPr>
                <w:color w:val="373737" w:themeColor="background1" w:themeShade="40"/>
                <w:lang w:val="en-GB"/>
              </w:rPr>
              <w:t xml:space="preserve">is at the core of the evaluation. There is primary data collected at the single holding level and secondary date providing the aggregated information. </w:t>
            </w:r>
          </w:p>
          <w:p w14:paraId="2C04DD00" w14:textId="77777777" w:rsidR="002B2ED6" w:rsidRPr="00CB34A3" w:rsidRDefault="002B2ED6" w:rsidP="00AA71F1">
            <w:pPr>
              <w:rPr>
                <w:rFonts w:cs="Arial"/>
                <w:color w:val="373737" w:themeColor="background1" w:themeShade="40"/>
                <w:szCs w:val="18"/>
                <w:lang w:val="en-GB"/>
              </w:rPr>
            </w:pPr>
            <w:r w:rsidRPr="00CB34A3">
              <w:rPr>
                <w:color w:val="373737" w:themeColor="background1" w:themeShade="40"/>
                <w:lang w:val="en-GB"/>
              </w:rPr>
              <w:t>RDP beneficiaries shall provide the MA and evaluators with all information important to conduct monitoring and evaluation.</w:t>
            </w:r>
            <w:r w:rsidRPr="003726BE">
              <w:rPr>
                <w:rStyle w:val="FootnoteReference"/>
                <w:color w:val="373737" w:themeColor="background1" w:themeShade="40"/>
              </w:rPr>
              <w:footnoteReference w:id="183"/>
            </w:r>
            <w:r w:rsidRPr="00CB34A3">
              <w:rPr>
                <w:color w:val="373737" w:themeColor="background1" w:themeShade="40"/>
                <w:lang w:val="en-GB"/>
              </w:rPr>
              <w:t xml:space="preserve"> Data on RDP´s beneficiaries is collected via the monitoring system.</w:t>
            </w:r>
          </w:p>
          <w:p w14:paraId="519F25FC" w14:textId="77777777" w:rsidR="002B2ED6" w:rsidRPr="00CB34A3" w:rsidRDefault="002B2ED6" w:rsidP="00AA71F1">
            <w:pPr>
              <w:rPr>
                <w:rFonts w:cs="Arial"/>
                <w:color w:val="373737" w:themeColor="background1" w:themeShade="40"/>
                <w:szCs w:val="18"/>
                <w:lang w:val="en-GB"/>
              </w:rPr>
            </w:pPr>
            <w:r w:rsidRPr="00CB34A3">
              <w:rPr>
                <w:color w:val="373737" w:themeColor="background1" w:themeShade="40"/>
                <w:lang w:val="en-GB"/>
              </w:rPr>
              <w:t>Data shall be collected, stored and transmitted electronically</w:t>
            </w:r>
            <w:r w:rsidRPr="003726BE">
              <w:rPr>
                <w:rStyle w:val="FootnoteReference"/>
                <w:color w:val="373737" w:themeColor="background1" w:themeShade="40"/>
              </w:rPr>
              <w:footnoteReference w:id="184"/>
            </w:r>
            <w:r w:rsidRPr="00CB34A3">
              <w:rPr>
                <w:color w:val="373737" w:themeColor="background1" w:themeShade="40"/>
                <w:lang w:val="en-GB"/>
              </w:rPr>
              <w:t xml:space="preserve">. </w:t>
            </w:r>
          </w:p>
        </w:tc>
        <w:tc>
          <w:tcPr>
            <w:tcW w:w="6379" w:type="dxa"/>
          </w:tcPr>
          <w:p w14:paraId="61811E58" w14:textId="77777777" w:rsidR="002B2ED6" w:rsidRPr="00CB34A3" w:rsidRDefault="002B2ED6" w:rsidP="00AA71F1">
            <w:pPr>
              <w:rPr>
                <w:rFonts w:cs="Arial"/>
                <w:b/>
                <w:color w:val="373737" w:themeColor="background1" w:themeShade="40"/>
                <w:szCs w:val="18"/>
                <w:lang w:val="en-GB"/>
              </w:rPr>
            </w:pPr>
            <w:r w:rsidRPr="00CB34A3">
              <w:rPr>
                <w:color w:val="373737" w:themeColor="background1" w:themeShade="40"/>
                <w:lang w:val="en-GB"/>
              </w:rPr>
              <w:t>Data is used in the evaluation to calculate indicators´ values, collect evidence to answer the evaluation questions and provide robust judgments. Data for the evaluation is collected electronically on beneficiaries (for each selected and completed operation via the monitoring system) and non-beneficiaries (various statistics, other databases, and sampling) to construct counterfactuals, if possible.</w:t>
            </w:r>
          </w:p>
        </w:tc>
      </w:tr>
      <w:tr w:rsidR="002B2ED6" w:rsidRPr="00F61F42" w14:paraId="52D0C0E3" w14:textId="77777777" w:rsidTr="00AA71F1">
        <w:tc>
          <w:tcPr>
            <w:tcW w:w="2263" w:type="dxa"/>
          </w:tcPr>
          <w:p w14:paraId="173B0A52" w14:textId="77777777" w:rsidR="002B2ED6" w:rsidRPr="00CB34A3" w:rsidRDefault="002B2ED6" w:rsidP="00287E53">
            <w:pPr>
              <w:jc w:val="left"/>
              <w:rPr>
                <w:rFonts w:cs="Arial"/>
                <w:b/>
                <w:color w:val="373737" w:themeColor="background1" w:themeShade="40"/>
                <w:szCs w:val="18"/>
                <w:lang w:val="en-GB"/>
              </w:rPr>
            </w:pPr>
            <w:r w:rsidRPr="00CB34A3">
              <w:rPr>
                <w:b/>
                <w:color w:val="373737" w:themeColor="background1" w:themeShade="40"/>
                <w:lang w:val="en-GB"/>
              </w:rPr>
              <w:t xml:space="preserve">Regular reporting on the M&amp;E activities </w:t>
            </w:r>
          </w:p>
        </w:tc>
        <w:tc>
          <w:tcPr>
            <w:tcW w:w="5670" w:type="dxa"/>
          </w:tcPr>
          <w:p w14:paraId="4F0796B9" w14:textId="77777777" w:rsidR="002B2ED6" w:rsidRPr="00CB34A3" w:rsidRDefault="002B2ED6" w:rsidP="00AA71F1">
            <w:pPr>
              <w:rPr>
                <w:rFonts w:cs="Arial"/>
                <w:b/>
                <w:color w:val="373737" w:themeColor="background1" w:themeShade="40"/>
                <w:szCs w:val="18"/>
                <w:lang w:val="en-GB"/>
              </w:rPr>
            </w:pPr>
            <w:r w:rsidRPr="00CB34A3">
              <w:rPr>
                <w:b/>
                <w:color w:val="373737" w:themeColor="background1" w:themeShade="40"/>
                <w:lang w:val="en-GB"/>
              </w:rPr>
              <w:t>MS shall report on M&amp;E in the Annual Implementation Reports (AIRs)</w:t>
            </w:r>
            <w:r w:rsidRPr="003726BE">
              <w:rPr>
                <w:rStyle w:val="FootnoteReference"/>
              </w:rPr>
              <w:footnoteReference w:id="185"/>
            </w:r>
            <w:r w:rsidRPr="00CB34A3">
              <w:rPr>
                <w:b/>
                <w:color w:val="373737" w:themeColor="background1" w:themeShade="40"/>
                <w:lang w:val="en-GB"/>
              </w:rPr>
              <w:t xml:space="preserve"> </w:t>
            </w:r>
            <w:r w:rsidRPr="00CB34A3">
              <w:rPr>
                <w:color w:val="373737" w:themeColor="background1" w:themeShade="40"/>
                <w:lang w:val="en-GB"/>
              </w:rPr>
              <w:t>each year</w:t>
            </w:r>
            <w:r w:rsidR="00E7404C">
              <w:rPr>
                <w:color w:val="373737" w:themeColor="background1" w:themeShade="40"/>
                <w:lang w:val="en-GB"/>
              </w:rPr>
              <w:t xml:space="preserve">, starting in 2016 until 2024. </w:t>
            </w:r>
          </w:p>
        </w:tc>
        <w:tc>
          <w:tcPr>
            <w:tcW w:w="6379" w:type="dxa"/>
          </w:tcPr>
          <w:p w14:paraId="712E141E" w14:textId="77777777" w:rsidR="002B2ED6" w:rsidRPr="00CB34A3" w:rsidRDefault="002B2ED6" w:rsidP="00AA71F1">
            <w:pPr>
              <w:rPr>
                <w:rFonts w:cs="Arial"/>
                <w:color w:val="373737" w:themeColor="background1" w:themeShade="40"/>
                <w:szCs w:val="18"/>
                <w:lang w:val="en-GB"/>
              </w:rPr>
            </w:pPr>
            <w:r w:rsidRPr="00CB34A3">
              <w:rPr>
                <w:color w:val="373737" w:themeColor="background1" w:themeShade="40"/>
                <w:lang w:val="en-GB"/>
              </w:rPr>
              <w:t>The regular AIR reports on M&amp;E activities in chapter 2, which also relates to other chapters, mainly 1 and 3. In the enhanced AIR submitted in 2017 and 2019, additional chapters 6, 7, 8, 9 and 10 relate to reporting on M&amp;E activities.</w:t>
            </w:r>
          </w:p>
          <w:p w14:paraId="0FC6A5BB" w14:textId="77777777" w:rsidR="002B2ED6" w:rsidRPr="00CB34A3" w:rsidRDefault="002B2ED6" w:rsidP="00AA71F1">
            <w:pPr>
              <w:rPr>
                <w:rFonts w:cs="Arial"/>
                <w:color w:val="373737" w:themeColor="background1" w:themeShade="40"/>
                <w:szCs w:val="18"/>
                <w:lang w:val="en-GB"/>
              </w:rPr>
            </w:pPr>
            <w:r w:rsidRPr="00CB34A3">
              <w:rPr>
                <w:color w:val="373737" w:themeColor="background1" w:themeShade="40"/>
                <w:lang w:val="en-GB"/>
              </w:rPr>
              <w:t xml:space="preserve">Apart from reporting on M&amp;E activities in the AIR, it is advisable to produce shorter versions of reports to inform and discuss with various audiences the evaluation activities and in 2017 and 2019 also the evaluation results. </w:t>
            </w:r>
          </w:p>
        </w:tc>
      </w:tr>
      <w:tr w:rsidR="002B2ED6" w:rsidRPr="00F61F42" w14:paraId="4F5C101E" w14:textId="77777777" w:rsidTr="00AA71F1">
        <w:tc>
          <w:tcPr>
            <w:tcW w:w="2263" w:type="dxa"/>
          </w:tcPr>
          <w:p w14:paraId="2D84A905" w14:textId="77777777" w:rsidR="002B2ED6" w:rsidRPr="003726BE" w:rsidRDefault="002B2ED6" w:rsidP="00287E53">
            <w:pPr>
              <w:jc w:val="left"/>
              <w:rPr>
                <w:rFonts w:cs="Arial"/>
                <w:b/>
                <w:color w:val="373737" w:themeColor="background1" w:themeShade="40"/>
                <w:szCs w:val="18"/>
              </w:rPr>
            </w:pPr>
            <w:r w:rsidRPr="003726BE">
              <w:rPr>
                <w:b/>
                <w:color w:val="373737" w:themeColor="background1" w:themeShade="40"/>
              </w:rPr>
              <w:t xml:space="preserve">Evaluation plan </w:t>
            </w:r>
          </w:p>
        </w:tc>
        <w:tc>
          <w:tcPr>
            <w:tcW w:w="5670" w:type="dxa"/>
          </w:tcPr>
          <w:p w14:paraId="5554F583" w14:textId="77777777" w:rsidR="002B2ED6" w:rsidRPr="00CB34A3" w:rsidRDefault="002B6636" w:rsidP="00AA71F1">
            <w:pPr>
              <w:rPr>
                <w:rFonts w:cs="Arial"/>
                <w:color w:val="373737" w:themeColor="background1" w:themeShade="40"/>
                <w:szCs w:val="18"/>
                <w:lang w:val="en-GB"/>
              </w:rPr>
            </w:pPr>
            <w:r w:rsidRPr="00CB34A3">
              <w:rPr>
                <w:b/>
                <w:color w:val="373737" w:themeColor="background1" w:themeShade="40"/>
                <w:lang w:val="en-GB"/>
              </w:rPr>
              <w:t xml:space="preserve">The evaluation plan (EP) </w:t>
            </w:r>
            <w:r w:rsidRPr="00CB34A3">
              <w:rPr>
                <w:color w:val="373737" w:themeColor="background1" w:themeShade="40"/>
                <w:lang w:val="en-GB"/>
              </w:rPr>
              <w:t xml:space="preserve">is the document, which helps to prepare the programme´s evaluation for the entire programming period. </w:t>
            </w:r>
            <w:r w:rsidRPr="00CB34A3">
              <w:rPr>
                <w:color w:val="373737" w:themeColor="background1" w:themeShade="40"/>
                <w:lang w:val="en-GB"/>
              </w:rPr>
              <w:lastRenderedPageBreak/>
              <w:t>Since it is part of the RDP, any changes must be the subject of formal modification procedures.</w:t>
            </w:r>
            <w:r w:rsidRPr="003726BE">
              <w:rPr>
                <w:rStyle w:val="FootnoteReference"/>
              </w:rPr>
              <w:footnoteReference w:id="186"/>
            </w:r>
            <w:r w:rsidRPr="00CB34A3">
              <w:rPr>
                <w:color w:val="373737" w:themeColor="background1" w:themeShade="40"/>
                <w:lang w:val="en-GB"/>
              </w:rPr>
              <w:t xml:space="preserve"> The implementation of the EP is regularly reported in the Annual Implementation Reports.</w:t>
            </w:r>
            <w:r w:rsidRPr="003726BE">
              <w:rPr>
                <w:rStyle w:val="FootnoteReference"/>
              </w:rPr>
              <w:footnoteReference w:id="187"/>
            </w:r>
          </w:p>
        </w:tc>
        <w:tc>
          <w:tcPr>
            <w:tcW w:w="6379" w:type="dxa"/>
          </w:tcPr>
          <w:p w14:paraId="375B947B" w14:textId="77777777" w:rsidR="002B2ED6" w:rsidRPr="00CB34A3" w:rsidRDefault="002B2ED6" w:rsidP="00AA71F1">
            <w:pPr>
              <w:rPr>
                <w:rFonts w:cs="Arial"/>
                <w:color w:val="373737" w:themeColor="background1" w:themeShade="40"/>
                <w:szCs w:val="18"/>
                <w:lang w:val="en-GB"/>
              </w:rPr>
            </w:pPr>
            <w:r w:rsidRPr="00CB34A3">
              <w:rPr>
                <w:color w:val="373737" w:themeColor="background1" w:themeShade="40"/>
                <w:lang w:val="en-GB"/>
              </w:rPr>
              <w:lastRenderedPageBreak/>
              <w:t xml:space="preserve">The EP outlines the objectives of the evaluation, sets up the framework for the management and governance of the evaluation, and includes </w:t>
            </w:r>
            <w:r w:rsidRPr="00CB34A3">
              <w:rPr>
                <w:color w:val="373737" w:themeColor="background1" w:themeShade="40"/>
                <w:lang w:val="en-GB"/>
              </w:rPr>
              <w:lastRenderedPageBreak/>
              <w:t xml:space="preserve">stakeholders´ involvement. The EP also proposes the evaluation topics and activities, in particular for data management and collection. It suggests the target groups, means for dissemination, communication and follow up of evaluation results, allocation of resources and timing conducting the evaluation tasks. </w:t>
            </w:r>
          </w:p>
        </w:tc>
      </w:tr>
      <w:tr w:rsidR="002B2ED6" w:rsidRPr="00F61F42" w14:paraId="137F28C0" w14:textId="77777777" w:rsidTr="00AA71F1">
        <w:trPr>
          <w:trHeight w:val="135"/>
        </w:trPr>
        <w:tc>
          <w:tcPr>
            <w:tcW w:w="2263" w:type="dxa"/>
          </w:tcPr>
          <w:p w14:paraId="19E33C26" w14:textId="77777777" w:rsidR="002B2ED6" w:rsidRPr="003726BE" w:rsidRDefault="002B2ED6" w:rsidP="00287E53">
            <w:pPr>
              <w:jc w:val="left"/>
              <w:rPr>
                <w:rFonts w:cs="Arial"/>
                <w:b/>
                <w:color w:val="373737" w:themeColor="background1" w:themeShade="40"/>
                <w:szCs w:val="18"/>
              </w:rPr>
            </w:pPr>
            <w:r w:rsidRPr="003726BE">
              <w:rPr>
                <w:b/>
                <w:color w:val="373737" w:themeColor="background1" w:themeShade="40"/>
              </w:rPr>
              <w:lastRenderedPageBreak/>
              <w:t xml:space="preserve">Ex ante and ex post evaluation </w:t>
            </w:r>
          </w:p>
        </w:tc>
        <w:tc>
          <w:tcPr>
            <w:tcW w:w="5670" w:type="dxa"/>
          </w:tcPr>
          <w:p w14:paraId="3D872AD6" w14:textId="77777777" w:rsidR="002B2ED6" w:rsidRPr="00CB34A3" w:rsidRDefault="00265A5C" w:rsidP="00AA71F1">
            <w:pPr>
              <w:rPr>
                <w:rFonts w:cs="Arial"/>
                <w:color w:val="373737" w:themeColor="background1" w:themeShade="40"/>
                <w:szCs w:val="18"/>
                <w:lang w:val="en-GB"/>
              </w:rPr>
            </w:pPr>
            <w:r w:rsidRPr="00CB34A3">
              <w:rPr>
                <w:b/>
                <w:color w:val="373737" w:themeColor="background1" w:themeShade="40"/>
                <w:lang w:val="en-GB"/>
              </w:rPr>
              <w:t>The Ex ante evaluation (EAE)</w:t>
            </w:r>
            <w:r w:rsidRPr="003726BE">
              <w:rPr>
                <w:rStyle w:val="FootnoteReference"/>
              </w:rPr>
              <w:footnoteReference w:id="188"/>
            </w:r>
            <w:r w:rsidRPr="00CB34A3">
              <w:rPr>
                <w:b/>
                <w:color w:val="373737" w:themeColor="background1" w:themeShade="40"/>
                <w:lang w:val="en-GB"/>
              </w:rPr>
              <w:t xml:space="preserve"> </w:t>
            </w:r>
            <w:r w:rsidRPr="00CB34A3">
              <w:rPr>
                <w:color w:val="373737" w:themeColor="background1" w:themeShade="40"/>
                <w:lang w:val="en-GB"/>
              </w:rPr>
              <w:t>accompanies the R</w:t>
            </w:r>
            <w:r w:rsidR="00E7404C">
              <w:rPr>
                <w:color w:val="373737" w:themeColor="background1" w:themeShade="40"/>
                <w:lang w:val="en-GB"/>
              </w:rPr>
              <w:t xml:space="preserve">DP design since the beginning. </w:t>
            </w:r>
          </w:p>
          <w:p w14:paraId="058333F4" w14:textId="77777777" w:rsidR="002B2ED6" w:rsidRPr="00CB34A3" w:rsidRDefault="00265A5C">
            <w:pPr>
              <w:rPr>
                <w:rFonts w:cs="Arial"/>
                <w:b/>
                <w:color w:val="373737" w:themeColor="background1" w:themeShade="40"/>
                <w:szCs w:val="18"/>
                <w:lang w:val="en-GB"/>
              </w:rPr>
            </w:pPr>
            <w:r w:rsidRPr="00CB34A3">
              <w:rPr>
                <w:b/>
                <w:color w:val="373737" w:themeColor="background1" w:themeShade="40"/>
                <w:lang w:val="en-GB"/>
              </w:rPr>
              <w:t>The Ex post evaluation (EPE)</w:t>
            </w:r>
            <w:r w:rsidRPr="003726BE">
              <w:rPr>
                <w:rStyle w:val="FootnoteReference"/>
              </w:rPr>
              <w:footnoteReference w:id="189"/>
            </w:r>
            <w:r w:rsidRPr="00CB34A3">
              <w:rPr>
                <w:b/>
                <w:color w:val="373737" w:themeColor="background1" w:themeShade="40"/>
                <w:lang w:val="en-GB"/>
              </w:rPr>
              <w:t xml:space="preserve"> </w:t>
            </w:r>
            <w:r w:rsidRPr="00CB34A3">
              <w:rPr>
                <w:color w:val="373737" w:themeColor="background1" w:themeShade="40"/>
                <w:lang w:val="en-GB"/>
              </w:rPr>
              <w:t>is conducted after accomplishment of all RDP operations and provides a learning opportunity for the development and implementation of rural policy interventions.</w:t>
            </w:r>
            <w:r w:rsidRPr="00CB34A3">
              <w:rPr>
                <w:b/>
                <w:color w:val="373737" w:themeColor="background1" w:themeShade="40"/>
                <w:lang w:val="en-GB"/>
              </w:rPr>
              <w:t xml:space="preserve"> </w:t>
            </w:r>
          </w:p>
        </w:tc>
        <w:tc>
          <w:tcPr>
            <w:tcW w:w="6379" w:type="dxa"/>
          </w:tcPr>
          <w:p w14:paraId="156CD3D0" w14:textId="77777777" w:rsidR="002B2ED6" w:rsidRPr="00CB34A3" w:rsidRDefault="00265A5C" w:rsidP="00AA71F1">
            <w:pPr>
              <w:rPr>
                <w:rFonts w:cs="Arial"/>
                <w:color w:val="373737" w:themeColor="background1" w:themeShade="40"/>
                <w:szCs w:val="18"/>
                <w:lang w:val="en-GB"/>
              </w:rPr>
            </w:pPr>
            <w:r w:rsidRPr="00CB34A3">
              <w:rPr>
                <w:color w:val="373737" w:themeColor="background1" w:themeShade="40"/>
                <w:lang w:val="en-GB"/>
              </w:rPr>
              <w:t xml:space="preserve">The EAE aims to improve the RDP at the time of its development, from a very early stage, starting with the assessment of territorial analysis and needs assessment. The EAE should also provide the feedback on consistency of the RDPs´ intervention logic and its relevance in addressing identified needs. </w:t>
            </w:r>
          </w:p>
          <w:p w14:paraId="0B068092" w14:textId="77777777" w:rsidR="002B2ED6" w:rsidRPr="00CB34A3" w:rsidRDefault="00265A5C" w:rsidP="00AA71F1">
            <w:pPr>
              <w:rPr>
                <w:rFonts w:cs="Arial"/>
                <w:color w:val="373737" w:themeColor="background1" w:themeShade="40"/>
                <w:szCs w:val="18"/>
                <w:lang w:val="en-GB"/>
              </w:rPr>
            </w:pPr>
            <w:r w:rsidRPr="00CB34A3">
              <w:rPr>
                <w:color w:val="373737" w:themeColor="background1" w:themeShade="40"/>
                <w:lang w:val="en-GB"/>
              </w:rPr>
              <w:t>The EPE shall examine the effectiveness, efficiency and impacts of the RDP and its contribution to the EU2020 Strategy as well as to CAP policy objectives.</w:t>
            </w:r>
          </w:p>
        </w:tc>
      </w:tr>
      <w:tr w:rsidR="002B2ED6" w:rsidRPr="00F61F42" w14:paraId="5C785017" w14:textId="77777777" w:rsidTr="00AA71F1">
        <w:trPr>
          <w:trHeight w:val="150"/>
        </w:trPr>
        <w:tc>
          <w:tcPr>
            <w:tcW w:w="2263" w:type="dxa"/>
          </w:tcPr>
          <w:p w14:paraId="104AFAB6" w14:textId="77777777" w:rsidR="002B2ED6" w:rsidRPr="00CB34A3" w:rsidRDefault="002B2ED6" w:rsidP="00287E53">
            <w:pPr>
              <w:jc w:val="left"/>
              <w:rPr>
                <w:rFonts w:cs="Arial"/>
                <w:b/>
                <w:color w:val="373737" w:themeColor="background1" w:themeShade="40"/>
                <w:szCs w:val="18"/>
                <w:lang w:val="en-GB"/>
              </w:rPr>
            </w:pPr>
            <w:r w:rsidRPr="00CB34A3">
              <w:rPr>
                <w:b/>
                <w:color w:val="373737" w:themeColor="background1" w:themeShade="40"/>
                <w:lang w:val="en-GB"/>
              </w:rPr>
              <w:t xml:space="preserve">Support to enable all actors responsible for M&amp;E to fulfil their obligations </w:t>
            </w:r>
          </w:p>
        </w:tc>
        <w:tc>
          <w:tcPr>
            <w:tcW w:w="5670" w:type="dxa"/>
          </w:tcPr>
          <w:p w14:paraId="2780CAFF" w14:textId="77777777" w:rsidR="002B2ED6" w:rsidRPr="00CB34A3" w:rsidRDefault="002B2ED6" w:rsidP="00AA71F1">
            <w:pPr>
              <w:rPr>
                <w:rFonts w:cs="Arial"/>
                <w:color w:val="373737" w:themeColor="background1" w:themeShade="40"/>
                <w:szCs w:val="18"/>
                <w:lang w:val="en-GB"/>
              </w:rPr>
            </w:pPr>
            <w:r w:rsidRPr="00CB34A3">
              <w:rPr>
                <w:b/>
                <w:color w:val="373737" w:themeColor="background1" w:themeShade="40"/>
                <w:lang w:val="en-GB"/>
              </w:rPr>
              <w:t>Support to stakeholders</w:t>
            </w:r>
            <w:r w:rsidRPr="00CB34A3">
              <w:rPr>
                <w:color w:val="373737" w:themeColor="background1" w:themeShade="40"/>
                <w:lang w:val="en-GB"/>
              </w:rPr>
              <w:t xml:space="preserve"> active in the evaluation of rural policy is provided via legal and implementing acts, which outline evaluation tasks, and various w</w:t>
            </w:r>
            <w:r w:rsidR="00E7404C">
              <w:rPr>
                <w:color w:val="373737" w:themeColor="background1" w:themeShade="40"/>
                <w:lang w:val="en-GB"/>
              </w:rPr>
              <w:t xml:space="preserve">orking and guidance documents. </w:t>
            </w:r>
          </w:p>
        </w:tc>
        <w:tc>
          <w:tcPr>
            <w:tcW w:w="6379" w:type="dxa"/>
          </w:tcPr>
          <w:p w14:paraId="12F858EE" w14:textId="77777777" w:rsidR="002B2ED6" w:rsidRPr="00CB34A3" w:rsidRDefault="002B2ED6">
            <w:pPr>
              <w:rPr>
                <w:rFonts w:cs="Arial"/>
                <w:color w:val="373737" w:themeColor="background1" w:themeShade="40"/>
                <w:szCs w:val="18"/>
                <w:lang w:val="en-GB"/>
              </w:rPr>
            </w:pPr>
            <w:r w:rsidRPr="00CB34A3">
              <w:rPr>
                <w:color w:val="373737" w:themeColor="background1" w:themeShade="40"/>
                <w:lang w:val="en-GB"/>
              </w:rPr>
              <w:t xml:space="preserve">To complete the evaluation tasks, stakeholders may use various working and guidance documents. </w:t>
            </w:r>
          </w:p>
        </w:tc>
      </w:tr>
    </w:tbl>
    <w:p w14:paraId="0EA573F3" w14:textId="77777777" w:rsidR="002B2ED6" w:rsidRPr="00CB34A3" w:rsidRDefault="002B2ED6" w:rsidP="009750E9">
      <w:pPr>
        <w:pStyle w:val="HHeading1"/>
        <w:numPr>
          <w:ilvl w:val="0"/>
          <w:numId w:val="0"/>
        </w:numPr>
        <w:rPr>
          <w:caps w:val="0"/>
          <w:lang w:val="en-GB"/>
        </w:rPr>
      </w:pPr>
      <w:bookmarkStart w:id="140" w:name="_Toc456012909"/>
      <w:bookmarkStart w:id="141" w:name="_Toc460936128"/>
      <w:bookmarkStart w:id="142" w:name="_Toc474132168"/>
      <w:r w:rsidRPr="00CB34A3">
        <w:rPr>
          <w:caps w:val="0"/>
          <w:lang w:val="en-GB"/>
        </w:rPr>
        <w:lastRenderedPageBreak/>
        <w:t>Annex 3 - Overview of reporting requirements for the RDP implementation and the evaluation in the programming period 2014-2020</w:t>
      </w:r>
      <w:bookmarkEnd w:id="140"/>
      <w:bookmarkEnd w:id="141"/>
      <w:bookmarkEnd w:id="142"/>
    </w:p>
    <w:tbl>
      <w:tblPr>
        <w:tblStyle w:val="TableGrid2"/>
        <w:tblW w:w="13178" w:type="dxa"/>
        <w:jc w:val="center"/>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Layout w:type="fixed"/>
        <w:tblLook w:val="04A0" w:firstRow="1" w:lastRow="0" w:firstColumn="1" w:lastColumn="0" w:noHBand="0" w:noVBand="1"/>
      </w:tblPr>
      <w:tblGrid>
        <w:gridCol w:w="425"/>
        <w:gridCol w:w="6662"/>
        <w:gridCol w:w="2694"/>
        <w:gridCol w:w="1129"/>
        <w:gridCol w:w="1134"/>
        <w:gridCol w:w="1134"/>
      </w:tblGrid>
      <w:tr w:rsidR="002B2ED6" w:rsidRPr="003726BE" w14:paraId="21DD213C" w14:textId="77777777" w:rsidTr="00AA71F1">
        <w:trPr>
          <w:trHeight w:val="150"/>
          <w:tblHeader/>
          <w:jc w:val="center"/>
        </w:trPr>
        <w:tc>
          <w:tcPr>
            <w:tcW w:w="7087" w:type="dxa"/>
            <w:gridSpan w:val="2"/>
            <w:vMerge w:val="restart"/>
            <w:shd w:val="clear" w:color="auto" w:fill="F07E31"/>
          </w:tcPr>
          <w:p w14:paraId="7C5DF2D6" w14:textId="77777777" w:rsidR="002B2ED6" w:rsidRPr="00CB34A3" w:rsidRDefault="002B2ED6" w:rsidP="00C2310A">
            <w:pPr>
              <w:suppressAutoHyphens/>
              <w:spacing w:before="40" w:after="40" w:line="240" w:lineRule="auto"/>
              <w:rPr>
                <w:rFonts w:cs="Arial"/>
                <w:b/>
                <w:color w:val="FFFFFF"/>
                <w:szCs w:val="18"/>
                <w:lang w:val="en-GB"/>
              </w:rPr>
            </w:pPr>
            <w:bookmarkStart w:id="143" w:name="_Toc447787432"/>
            <w:r w:rsidRPr="00CB34A3">
              <w:rPr>
                <w:b/>
                <w:color w:val="FFFFFF"/>
                <w:lang w:val="en-GB"/>
              </w:rPr>
              <w:t>Reporting requirement (No. in Annex VII of 808/2014</w:t>
            </w:r>
            <w:r w:rsidRPr="003726BE">
              <w:rPr>
                <w:rStyle w:val="FootnoteReference"/>
                <w:b/>
                <w:color w:val="FFFFFF"/>
              </w:rPr>
              <w:footnoteReference w:id="190"/>
            </w:r>
            <w:r w:rsidRPr="00CB34A3">
              <w:rPr>
                <w:b/>
                <w:color w:val="FFFFFF"/>
                <w:lang w:val="en-GB"/>
              </w:rPr>
              <w:t>)</w:t>
            </w:r>
          </w:p>
        </w:tc>
        <w:tc>
          <w:tcPr>
            <w:tcW w:w="2694" w:type="dxa"/>
            <w:vMerge w:val="restart"/>
            <w:shd w:val="clear" w:color="auto" w:fill="F07E31"/>
          </w:tcPr>
          <w:p w14:paraId="3B39F979" w14:textId="77777777" w:rsidR="002B2ED6" w:rsidRPr="003726BE" w:rsidRDefault="002B2ED6" w:rsidP="00AA71F1">
            <w:pPr>
              <w:suppressAutoHyphens/>
              <w:spacing w:before="40" w:after="40" w:line="240" w:lineRule="auto"/>
              <w:rPr>
                <w:rFonts w:cs="Arial"/>
                <w:b/>
                <w:color w:val="FFFFFF"/>
                <w:szCs w:val="18"/>
              </w:rPr>
            </w:pPr>
            <w:r w:rsidRPr="003726BE">
              <w:rPr>
                <w:b/>
                <w:color w:val="FFFFFF"/>
              </w:rPr>
              <w:t>Additional legal reference</w:t>
            </w:r>
          </w:p>
        </w:tc>
        <w:tc>
          <w:tcPr>
            <w:tcW w:w="3397" w:type="dxa"/>
            <w:gridSpan w:val="3"/>
            <w:shd w:val="clear" w:color="auto" w:fill="F07E31"/>
          </w:tcPr>
          <w:p w14:paraId="3A246901" w14:textId="77777777" w:rsidR="002B2ED6" w:rsidRPr="003726BE" w:rsidRDefault="002B2ED6" w:rsidP="00AA71F1">
            <w:pPr>
              <w:suppressAutoHyphens/>
              <w:spacing w:before="40" w:after="40" w:line="240" w:lineRule="auto"/>
              <w:jc w:val="center"/>
              <w:rPr>
                <w:rFonts w:cs="Arial"/>
                <w:b/>
                <w:color w:val="FFFFFF"/>
                <w:szCs w:val="18"/>
              </w:rPr>
            </w:pPr>
            <w:r w:rsidRPr="003726BE">
              <w:rPr>
                <w:b/>
                <w:color w:val="FFFFFF"/>
              </w:rPr>
              <w:t>Reporting requirements</w:t>
            </w:r>
          </w:p>
        </w:tc>
      </w:tr>
      <w:tr w:rsidR="002B2ED6" w:rsidRPr="003726BE" w14:paraId="715E2223" w14:textId="77777777" w:rsidTr="00AA71F1">
        <w:trPr>
          <w:trHeight w:val="150"/>
          <w:tblHeader/>
          <w:jc w:val="center"/>
        </w:trPr>
        <w:tc>
          <w:tcPr>
            <w:tcW w:w="7087" w:type="dxa"/>
            <w:gridSpan w:val="2"/>
            <w:vMerge/>
            <w:shd w:val="clear" w:color="auto" w:fill="F07E31"/>
          </w:tcPr>
          <w:p w14:paraId="3B50B46B" w14:textId="77777777" w:rsidR="002B2ED6" w:rsidRPr="003726BE" w:rsidRDefault="002B2ED6" w:rsidP="00AA71F1">
            <w:pPr>
              <w:suppressAutoHyphens/>
              <w:spacing w:before="40" w:after="40" w:line="240" w:lineRule="auto"/>
              <w:rPr>
                <w:rFonts w:cs="Arial"/>
                <w:b/>
                <w:color w:val="FFFFFF"/>
                <w:szCs w:val="18"/>
              </w:rPr>
            </w:pPr>
          </w:p>
        </w:tc>
        <w:tc>
          <w:tcPr>
            <w:tcW w:w="2694" w:type="dxa"/>
            <w:vMerge/>
            <w:shd w:val="clear" w:color="auto" w:fill="F07E31"/>
          </w:tcPr>
          <w:p w14:paraId="22263A80" w14:textId="77777777" w:rsidR="002B2ED6" w:rsidRPr="003726BE" w:rsidRDefault="002B2ED6" w:rsidP="00AA71F1">
            <w:pPr>
              <w:suppressAutoHyphens/>
              <w:spacing w:before="40" w:after="40" w:line="240" w:lineRule="auto"/>
              <w:rPr>
                <w:rFonts w:cs="Arial"/>
                <w:b/>
                <w:color w:val="FFFFFF"/>
                <w:szCs w:val="18"/>
              </w:rPr>
            </w:pPr>
          </w:p>
        </w:tc>
        <w:tc>
          <w:tcPr>
            <w:tcW w:w="1129" w:type="dxa"/>
            <w:shd w:val="clear" w:color="auto" w:fill="F07E31"/>
          </w:tcPr>
          <w:p w14:paraId="2F9EFADF" w14:textId="77777777" w:rsidR="002B2ED6" w:rsidRPr="003726BE" w:rsidRDefault="002B2ED6" w:rsidP="00AA71F1">
            <w:pPr>
              <w:suppressAutoHyphens/>
              <w:spacing w:before="40" w:after="40" w:line="240" w:lineRule="auto"/>
              <w:rPr>
                <w:rFonts w:cs="Arial"/>
                <w:b/>
                <w:color w:val="FFFFFF"/>
                <w:szCs w:val="18"/>
              </w:rPr>
            </w:pPr>
            <w:r w:rsidRPr="003726BE">
              <w:rPr>
                <w:b/>
                <w:color w:val="FFFFFF"/>
              </w:rPr>
              <w:t>Standard AIR (from 2016)</w:t>
            </w:r>
          </w:p>
        </w:tc>
        <w:tc>
          <w:tcPr>
            <w:tcW w:w="1134" w:type="dxa"/>
            <w:shd w:val="clear" w:color="auto" w:fill="F07E31"/>
          </w:tcPr>
          <w:p w14:paraId="010B0399" w14:textId="77777777" w:rsidR="002B2ED6" w:rsidRPr="003726BE" w:rsidRDefault="002B2ED6" w:rsidP="00AA71F1">
            <w:pPr>
              <w:suppressAutoHyphens/>
              <w:spacing w:before="40" w:after="40" w:line="240" w:lineRule="auto"/>
              <w:rPr>
                <w:rFonts w:cs="Arial"/>
                <w:b/>
                <w:color w:val="FFFFFF"/>
                <w:szCs w:val="18"/>
              </w:rPr>
            </w:pPr>
            <w:r w:rsidRPr="003726BE">
              <w:rPr>
                <w:b/>
                <w:color w:val="FFFFFF"/>
              </w:rPr>
              <w:t xml:space="preserve">Enhanced AIR </w:t>
            </w:r>
            <w:r w:rsidRPr="003726BE">
              <w:rPr>
                <w:rFonts w:cs="Arial"/>
                <w:b/>
                <w:color w:val="FFFFFF"/>
                <w:szCs w:val="18"/>
              </w:rPr>
              <w:br/>
            </w:r>
            <w:r w:rsidRPr="003726BE">
              <w:rPr>
                <w:b/>
                <w:color w:val="FFFFFF"/>
              </w:rPr>
              <w:t>submitted in 2017</w:t>
            </w:r>
          </w:p>
        </w:tc>
        <w:tc>
          <w:tcPr>
            <w:tcW w:w="1134" w:type="dxa"/>
            <w:shd w:val="clear" w:color="auto" w:fill="F07E31"/>
          </w:tcPr>
          <w:p w14:paraId="1E95BC1B" w14:textId="77777777" w:rsidR="002B2ED6" w:rsidRPr="003726BE" w:rsidRDefault="00C2310A" w:rsidP="00AA71F1">
            <w:pPr>
              <w:suppressAutoHyphens/>
              <w:spacing w:before="40" w:after="40" w:line="240" w:lineRule="auto"/>
              <w:rPr>
                <w:rFonts w:cs="Arial"/>
                <w:b/>
                <w:color w:val="FFFFFF"/>
                <w:szCs w:val="18"/>
              </w:rPr>
            </w:pPr>
            <w:r w:rsidRPr="003726BE">
              <w:rPr>
                <w:b/>
                <w:color w:val="FFFFFF"/>
              </w:rPr>
              <w:t xml:space="preserve">Enhanced AIR </w:t>
            </w:r>
            <w:r w:rsidRPr="003726BE">
              <w:rPr>
                <w:rFonts w:cs="Arial"/>
                <w:b/>
                <w:color w:val="FFFFFF"/>
                <w:szCs w:val="18"/>
              </w:rPr>
              <w:br/>
            </w:r>
            <w:r w:rsidRPr="003726BE">
              <w:rPr>
                <w:b/>
                <w:color w:val="FFFFFF"/>
              </w:rPr>
              <w:t>submitted in 2019</w:t>
            </w:r>
          </w:p>
        </w:tc>
      </w:tr>
      <w:tr w:rsidR="002B2ED6" w:rsidRPr="00F61F42" w14:paraId="674B3F71" w14:textId="77777777" w:rsidTr="00AA71F1">
        <w:trPr>
          <w:trHeight w:val="150"/>
          <w:jc w:val="center"/>
        </w:trPr>
        <w:tc>
          <w:tcPr>
            <w:tcW w:w="425" w:type="dxa"/>
            <w:shd w:val="clear" w:color="auto" w:fill="auto"/>
          </w:tcPr>
          <w:p w14:paraId="43508540" w14:textId="77777777" w:rsidR="002B2ED6" w:rsidRPr="003726BE" w:rsidRDefault="002B2ED6" w:rsidP="00AA71F1">
            <w:pPr>
              <w:suppressAutoHyphens/>
              <w:spacing w:before="40" w:after="40" w:line="240" w:lineRule="auto"/>
              <w:rPr>
                <w:rFonts w:cs="Arial"/>
                <w:color w:val="373737" w:themeColor="background1" w:themeShade="40"/>
                <w:szCs w:val="18"/>
              </w:rPr>
            </w:pPr>
            <w:r w:rsidRPr="003726BE">
              <w:rPr>
                <w:color w:val="373737" w:themeColor="background1" w:themeShade="40"/>
              </w:rPr>
              <w:t>1</w:t>
            </w:r>
          </w:p>
        </w:tc>
        <w:tc>
          <w:tcPr>
            <w:tcW w:w="6662" w:type="dxa"/>
            <w:shd w:val="clear" w:color="auto" w:fill="auto"/>
          </w:tcPr>
          <w:p w14:paraId="0314B31B" w14:textId="77777777" w:rsidR="002B2ED6" w:rsidRPr="00CB34A3" w:rsidRDefault="002B2ED6" w:rsidP="00AA71F1">
            <w:pPr>
              <w:suppressAutoHyphens/>
              <w:spacing w:before="40" w:after="40" w:line="240" w:lineRule="auto"/>
              <w:rPr>
                <w:rFonts w:cs="Arial"/>
                <w:color w:val="373737" w:themeColor="background1" w:themeShade="40"/>
                <w:szCs w:val="18"/>
                <w:lang w:val="en-GB"/>
              </w:rPr>
            </w:pPr>
            <w:r w:rsidRPr="00CB34A3">
              <w:rPr>
                <w:color w:val="373737" w:themeColor="background1" w:themeShade="40"/>
                <w:lang w:val="en-GB"/>
              </w:rPr>
              <w:t>Key information on the implementation of the programme and its priorities:</w:t>
            </w:r>
          </w:p>
        </w:tc>
        <w:tc>
          <w:tcPr>
            <w:tcW w:w="2694" w:type="dxa"/>
            <w:shd w:val="clear" w:color="auto" w:fill="auto"/>
          </w:tcPr>
          <w:p w14:paraId="4C27D7E4" w14:textId="77777777" w:rsidR="002B2ED6" w:rsidRPr="00CB34A3" w:rsidRDefault="002B2ED6" w:rsidP="00AA71F1">
            <w:pPr>
              <w:suppressAutoHyphens/>
              <w:spacing w:before="40" w:after="40" w:line="240" w:lineRule="auto"/>
              <w:rPr>
                <w:rFonts w:cs="Arial"/>
                <w:color w:val="373737" w:themeColor="background1" w:themeShade="40"/>
                <w:szCs w:val="18"/>
                <w:lang w:val="en-GB"/>
              </w:rPr>
            </w:pPr>
          </w:p>
        </w:tc>
        <w:tc>
          <w:tcPr>
            <w:tcW w:w="1129" w:type="dxa"/>
            <w:shd w:val="clear" w:color="auto" w:fill="auto"/>
          </w:tcPr>
          <w:p w14:paraId="2F9231CE" w14:textId="77777777" w:rsidR="002B2ED6" w:rsidRPr="00CB34A3" w:rsidRDefault="002B2ED6" w:rsidP="00AA71F1">
            <w:pPr>
              <w:suppressAutoHyphens/>
              <w:spacing w:before="40" w:after="40" w:line="240" w:lineRule="auto"/>
              <w:rPr>
                <w:rFonts w:cs="Arial"/>
                <w:color w:val="373737" w:themeColor="background1" w:themeShade="40"/>
                <w:szCs w:val="18"/>
                <w:lang w:val="en-GB"/>
              </w:rPr>
            </w:pPr>
          </w:p>
        </w:tc>
        <w:tc>
          <w:tcPr>
            <w:tcW w:w="1134" w:type="dxa"/>
            <w:shd w:val="clear" w:color="auto" w:fill="auto"/>
          </w:tcPr>
          <w:p w14:paraId="168D6C80" w14:textId="77777777" w:rsidR="002B2ED6" w:rsidRPr="00CB34A3" w:rsidRDefault="002B2ED6" w:rsidP="00AA71F1">
            <w:pPr>
              <w:suppressAutoHyphens/>
              <w:spacing w:before="40" w:after="40" w:line="240" w:lineRule="auto"/>
              <w:rPr>
                <w:rFonts w:cs="Arial"/>
                <w:color w:val="373737" w:themeColor="background1" w:themeShade="40"/>
                <w:szCs w:val="18"/>
                <w:lang w:val="en-GB"/>
              </w:rPr>
            </w:pPr>
          </w:p>
        </w:tc>
        <w:tc>
          <w:tcPr>
            <w:tcW w:w="1134" w:type="dxa"/>
            <w:shd w:val="clear" w:color="auto" w:fill="auto"/>
          </w:tcPr>
          <w:p w14:paraId="4A883AF9" w14:textId="77777777" w:rsidR="002B2ED6" w:rsidRPr="00CB34A3" w:rsidRDefault="002B2ED6" w:rsidP="00AA71F1">
            <w:pPr>
              <w:suppressAutoHyphens/>
              <w:spacing w:before="40" w:after="40" w:line="240" w:lineRule="auto"/>
              <w:rPr>
                <w:rFonts w:cs="Arial"/>
                <w:color w:val="373737" w:themeColor="background1" w:themeShade="40"/>
                <w:szCs w:val="18"/>
                <w:lang w:val="en-GB"/>
              </w:rPr>
            </w:pPr>
          </w:p>
        </w:tc>
      </w:tr>
      <w:tr w:rsidR="002B2ED6" w:rsidRPr="003726BE" w14:paraId="0C31D403" w14:textId="77777777" w:rsidTr="00AA71F1">
        <w:trPr>
          <w:trHeight w:val="180"/>
          <w:jc w:val="center"/>
        </w:trPr>
        <w:tc>
          <w:tcPr>
            <w:tcW w:w="425" w:type="dxa"/>
            <w:shd w:val="clear" w:color="auto" w:fill="auto"/>
          </w:tcPr>
          <w:p w14:paraId="4CCDBBD9" w14:textId="77777777" w:rsidR="002B2ED6" w:rsidRPr="003726BE" w:rsidRDefault="002B2ED6" w:rsidP="00AA71F1">
            <w:pPr>
              <w:suppressAutoHyphens/>
              <w:spacing w:before="40" w:after="40" w:line="240" w:lineRule="auto"/>
              <w:rPr>
                <w:rFonts w:cs="Arial"/>
                <w:color w:val="373737" w:themeColor="background1" w:themeShade="40"/>
                <w:szCs w:val="18"/>
              </w:rPr>
            </w:pPr>
            <w:r w:rsidRPr="003726BE">
              <w:rPr>
                <w:color w:val="373737" w:themeColor="background1" w:themeShade="40"/>
              </w:rPr>
              <w:t>a)</w:t>
            </w:r>
          </w:p>
        </w:tc>
        <w:tc>
          <w:tcPr>
            <w:tcW w:w="6662" w:type="dxa"/>
            <w:shd w:val="clear" w:color="auto" w:fill="auto"/>
          </w:tcPr>
          <w:p w14:paraId="0BAC5FF5" w14:textId="77777777" w:rsidR="002B2ED6" w:rsidRPr="00CB34A3" w:rsidRDefault="002B2ED6" w:rsidP="00AA71F1">
            <w:pPr>
              <w:suppressAutoHyphens/>
              <w:spacing w:before="40" w:after="40" w:line="240" w:lineRule="auto"/>
              <w:rPr>
                <w:rFonts w:cs="Arial"/>
                <w:color w:val="373737" w:themeColor="background1" w:themeShade="40"/>
                <w:szCs w:val="18"/>
                <w:lang w:val="en-GB"/>
              </w:rPr>
            </w:pPr>
            <w:r w:rsidRPr="00CB34A3">
              <w:rPr>
                <w:color w:val="373737" w:themeColor="background1" w:themeShade="40"/>
                <w:lang w:val="en-GB"/>
              </w:rPr>
              <w:t xml:space="preserve">Financial data: Financial implementation data for each measure and FA, a statement on expenditures incurred and declared in the declaration of expenditures.  </w:t>
            </w:r>
          </w:p>
        </w:tc>
        <w:tc>
          <w:tcPr>
            <w:tcW w:w="2694" w:type="dxa"/>
            <w:shd w:val="clear" w:color="auto" w:fill="auto"/>
          </w:tcPr>
          <w:p w14:paraId="6EE9F199" w14:textId="77777777" w:rsidR="002B2ED6" w:rsidRPr="003726BE" w:rsidRDefault="002B2ED6" w:rsidP="00AA71F1">
            <w:pPr>
              <w:suppressAutoHyphens/>
              <w:spacing w:before="40" w:after="40" w:line="240" w:lineRule="auto"/>
              <w:rPr>
                <w:rFonts w:cs="Arial"/>
                <w:color w:val="373737" w:themeColor="background1" w:themeShade="40"/>
                <w:szCs w:val="18"/>
              </w:rPr>
            </w:pPr>
            <w:r w:rsidRPr="003726BE">
              <w:rPr>
                <w:color w:val="373737" w:themeColor="background1" w:themeShade="40"/>
              </w:rPr>
              <w:t>1303/2013</w:t>
            </w:r>
            <w:r w:rsidRPr="003726BE">
              <w:rPr>
                <w:rStyle w:val="FootnoteReference"/>
                <w:color w:val="373737" w:themeColor="background1" w:themeShade="40"/>
              </w:rPr>
              <w:footnoteReference w:id="191"/>
            </w:r>
            <w:r w:rsidRPr="003726BE">
              <w:rPr>
                <w:color w:val="373737" w:themeColor="background1" w:themeShade="40"/>
              </w:rPr>
              <w:t xml:space="preserve">, Art. 50.2, </w:t>
            </w:r>
          </w:p>
          <w:p w14:paraId="1FE6723F" w14:textId="77777777" w:rsidR="002B2ED6" w:rsidRPr="003726BE" w:rsidRDefault="002B2ED6" w:rsidP="00AA71F1">
            <w:pPr>
              <w:suppressAutoHyphens/>
              <w:spacing w:before="40" w:after="40" w:line="240" w:lineRule="auto"/>
              <w:rPr>
                <w:rFonts w:cs="Arial"/>
                <w:color w:val="373737" w:themeColor="background1" w:themeShade="40"/>
                <w:szCs w:val="18"/>
              </w:rPr>
            </w:pPr>
            <w:r w:rsidRPr="003726BE">
              <w:rPr>
                <w:color w:val="373737" w:themeColor="background1" w:themeShade="40"/>
              </w:rPr>
              <w:t>1305/2013</w:t>
            </w:r>
            <w:r w:rsidRPr="003726BE">
              <w:rPr>
                <w:rStyle w:val="FootnoteReference"/>
                <w:color w:val="373737" w:themeColor="background1" w:themeShade="40"/>
              </w:rPr>
              <w:footnoteReference w:id="192"/>
            </w:r>
            <w:r w:rsidRPr="003726BE">
              <w:rPr>
                <w:color w:val="373737" w:themeColor="background1" w:themeShade="40"/>
              </w:rPr>
              <w:t>, Art. 75.2</w:t>
            </w:r>
          </w:p>
        </w:tc>
        <w:tc>
          <w:tcPr>
            <w:tcW w:w="1129" w:type="dxa"/>
            <w:shd w:val="clear" w:color="auto" w:fill="auto"/>
          </w:tcPr>
          <w:p w14:paraId="66B99182" w14:textId="77777777" w:rsidR="002B2ED6" w:rsidRPr="003726BE" w:rsidRDefault="002B2ED6" w:rsidP="00AA71F1">
            <w:pPr>
              <w:suppressAutoHyphens/>
              <w:spacing w:before="40" w:after="40" w:line="240" w:lineRule="auto"/>
              <w:rPr>
                <w:rFonts w:cs="Arial"/>
                <w:color w:val="373737" w:themeColor="background1" w:themeShade="40"/>
                <w:szCs w:val="18"/>
              </w:rPr>
            </w:pPr>
            <w:r w:rsidRPr="003726BE">
              <w:rPr>
                <w:rFonts w:cs="Arial"/>
                <w:color w:val="373737" w:themeColor="background1" w:themeShade="40"/>
                <w:szCs w:val="18"/>
              </w:rPr>
              <w:sym w:font="Wingdings" w:char="F0FC"/>
            </w:r>
          </w:p>
        </w:tc>
        <w:tc>
          <w:tcPr>
            <w:tcW w:w="1134" w:type="dxa"/>
            <w:shd w:val="clear" w:color="auto" w:fill="auto"/>
          </w:tcPr>
          <w:p w14:paraId="78101206" w14:textId="77777777" w:rsidR="002B2ED6" w:rsidRPr="003726BE" w:rsidRDefault="002B2ED6" w:rsidP="00AA71F1">
            <w:pPr>
              <w:suppressAutoHyphens/>
              <w:spacing w:before="40" w:after="40" w:line="240" w:lineRule="auto"/>
              <w:rPr>
                <w:rFonts w:cs="Arial"/>
                <w:color w:val="373737" w:themeColor="background1" w:themeShade="40"/>
                <w:szCs w:val="18"/>
              </w:rPr>
            </w:pPr>
            <w:r w:rsidRPr="003726BE">
              <w:rPr>
                <w:rFonts w:cs="Arial"/>
                <w:color w:val="373737" w:themeColor="background1" w:themeShade="40"/>
                <w:szCs w:val="18"/>
              </w:rPr>
              <w:sym w:font="Wingdings" w:char="F0FC"/>
            </w:r>
          </w:p>
        </w:tc>
        <w:tc>
          <w:tcPr>
            <w:tcW w:w="1134" w:type="dxa"/>
            <w:shd w:val="clear" w:color="auto" w:fill="auto"/>
          </w:tcPr>
          <w:p w14:paraId="1B905C4E" w14:textId="77777777" w:rsidR="002B2ED6" w:rsidRPr="003726BE" w:rsidRDefault="002B2ED6" w:rsidP="00AA71F1">
            <w:pPr>
              <w:suppressAutoHyphens/>
              <w:spacing w:before="40" w:after="40" w:line="240" w:lineRule="auto"/>
              <w:rPr>
                <w:rFonts w:cs="Arial"/>
                <w:color w:val="373737" w:themeColor="background1" w:themeShade="40"/>
                <w:szCs w:val="18"/>
              </w:rPr>
            </w:pPr>
            <w:r w:rsidRPr="003726BE">
              <w:rPr>
                <w:rFonts w:cs="Arial"/>
                <w:color w:val="373737" w:themeColor="background1" w:themeShade="40"/>
                <w:szCs w:val="18"/>
              </w:rPr>
              <w:sym w:font="Wingdings" w:char="F0FC"/>
            </w:r>
          </w:p>
        </w:tc>
      </w:tr>
      <w:tr w:rsidR="002B2ED6" w:rsidRPr="003726BE" w14:paraId="6B540AEB" w14:textId="77777777" w:rsidTr="00AA71F1">
        <w:trPr>
          <w:trHeight w:val="180"/>
          <w:jc w:val="center"/>
        </w:trPr>
        <w:tc>
          <w:tcPr>
            <w:tcW w:w="425" w:type="dxa"/>
            <w:shd w:val="clear" w:color="auto" w:fill="auto"/>
          </w:tcPr>
          <w:p w14:paraId="6E9F28FD" w14:textId="77777777" w:rsidR="002B2ED6" w:rsidRPr="003726BE" w:rsidRDefault="002B2ED6" w:rsidP="00AA71F1">
            <w:pPr>
              <w:suppressAutoHyphens/>
              <w:spacing w:before="40" w:after="40" w:line="240" w:lineRule="auto"/>
              <w:rPr>
                <w:rFonts w:cs="Arial"/>
                <w:color w:val="373737" w:themeColor="background1" w:themeShade="40"/>
                <w:szCs w:val="18"/>
              </w:rPr>
            </w:pPr>
            <w:r w:rsidRPr="003726BE">
              <w:rPr>
                <w:color w:val="373737" w:themeColor="background1" w:themeShade="40"/>
              </w:rPr>
              <w:t>b)</w:t>
            </w:r>
          </w:p>
        </w:tc>
        <w:tc>
          <w:tcPr>
            <w:tcW w:w="6662" w:type="dxa"/>
            <w:shd w:val="clear" w:color="auto" w:fill="auto"/>
          </w:tcPr>
          <w:p w14:paraId="6AF47110" w14:textId="77777777" w:rsidR="002B2ED6" w:rsidRPr="00CB34A3" w:rsidRDefault="002B2ED6" w:rsidP="00AA71F1">
            <w:pPr>
              <w:suppressAutoHyphens/>
              <w:spacing w:before="40" w:after="40" w:line="240" w:lineRule="auto"/>
              <w:rPr>
                <w:rFonts w:cs="Arial"/>
                <w:color w:val="373737" w:themeColor="background1" w:themeShade="40"/>
                <w:szCs w:val="18"/>
                <w:lang w:val="en-GB"/>
              </w:rPr>
            </w:pPr>
            <w:r w:rsidRPr="00CB34A3">
              <w:rPr>
                <w:color w:val="373737" w:themeColor="background1" w:themeShade="40"/>
                <w:lang w:val="en-GB"/>
              </w:rPr>
              <w:t>Common and programme-specific indicators and quantified target values: Information on the RDP’s implementation as measured by the common and programme specific indicators, including progress achieved in relation to the targets set for each FA and realised outputs compared to planned output as set out in the Indicator Plan</w:t>
            </w:r>
          </w:p>
        </w:tc>
        <w:tc>
          <w:tcPr>
            <w:tcW w:w="2694" w:type="dxa"/>
            <w:shd w:val="clear" w:color="auto" w:fill="auto"/>
          </w:tcPr>
          <w:p w14:paraId="3EA25618" w14:textId="77777777" w:rsidR="002B2ED6" w:rsidRPr="00CB34A3" w:rsidRDefault="002B2ED6" w:rsidP="00AA71F1">
            <w:pPr>
              <w:suppressAutoHyphens/>
              <w:spacing w:before="40" w:after="40" w:line="240" w:lineRule="auto"/>
              <w:rPr>
                <w:rFonts w:cs="Arial"/>
                <w:color w:val="373737" w:themeColor="background1" w:themeShade="40"/>
                <w:szCs w:val="18"/>
                <w:lang w:val="en-GB"/>
              </w:rPr>
            </w:pPr>
            <w:r w:rsidRPr="00CB34A3">
              <w:rPr>
                <w:color w:val="373737" w:themeColor="background1" w:themeShade="40"/>
                <w:lang w:val="en-GB"/>
              </w:rPr>
              <w:t>1303/2013, Art. 50.2, and 54.2</w:t>
            </w:r>
          </w:p>
          <w:p w14:paraId="74CDA41E" w14:textId="77777777" w:rsidR="002B2ED6" w:rsidRPr="00CB34A3" w:rsidRDefault="002B2ED6" w:rsidP="00AA71F1">
            <w:pPr>
              <w:suppressAutoHyphens/>
              <w:spacing w:before="40" w:after="40" w:line="240" w:lineRule="auto"/>
              <w:rPr>
                <w:rFonts w:cs="Arial"/>
                <w:color w:val="373737" w:themeColor="background1" w:themeShade="40"/>
                <w:szCs w:val="18"/>
                <w:lang w:val="en-GB"/>
              </w:rPr>
            </w:pPr>
            <w:r w:rsidRPr="00CB34A3">
              <w:rPr>
                <w:color w:val="373737" w:themeColor="background1" w:themeShade="40"/>
                <w:lang w:val="en-GB"/>
              </w:rPr>
              <w:t>1305/2013, Art.69</w:t>
            </w:r>
          </w:p>
          <w:p w14:paraId="101E0518" w14:textId="77777777" w:rsidR="002B2ED6" w:rsidRPr="00CB34A3" w:rsidRDefault="002B2ED6" w:rsidP="00AA71F1">
            <w:pPr>
              <w:suppressAutoHyphens/>
              <w:spacing w:before="40" w:after="40" w:line="240" w:lineRule="auto"/>
              <w:rPr>
                <w:rFonts w:cs="Arial"/>
                <w:color w:val="373737" w:themeColor="background1" w:themeShade="40"/>
                <w:szCs w:val="18"/>
                <w:lang w:val="en-GB"/>
              </w:rPr>
            </w:pPr>
            <w:r w:rsidRPr="00CB34A3">
              <w:rPr>
                <w:color w:val="373737" w:themeColor="background1" w:themeShade="40"/>
                <w:lang w:val="en-GB"/>
              </w:rPr>
              <w:t>808/2014, Art. 14.1b), Annex IV</w:t>
            </w:r>
          </w:p>
        </w:tc>
        <w:tc>
          <w:tcPr>
            <w:tcW w:w="1129" w:type="dxa"/>
            <w:shd w:val="clear" w:color="auto" w:fill="auto"/>
          </w:tcPr>
          <w:p w14:paraId="6AB6164C" w14:textId="77777777" w:rsidR="002B2ED6" w:rsidRPr="003726BE" w:rsidRDefault="002B2ED6" w:rsidP="00AA71F1">
            <w:pPr>
              <w:suppressAutoHyphens/>
              <w:spacing w:before="40" w:after="40" w:line="240" w:lineRule="auto"/>
              <w:rPr>
                <w:rFonts w:cs="Arial"/>
                <w:color w:val="373737" w:themeColor="background1" w:themeShade="40"/>
                <w:szCs w:val="18"/>
              </w:rPr>
            </w:pPr>
            <w:r w:rsidRPr="003726BE">
              <w:rPr>
                <w:rFonts w:cs="Arial"/>
                <w:color w:val="373737" w:themeColor="background1" w:themeShade="40"/>
                <w:szCs w:val="18"/>
              </w:rPr>
              <w:sym w:font="Wingdings" w:char="F0FC"/>
            </w:r>
          </w:p>
        </w:tc>
        <w:tc>
          <w:tcPr>
            <w:tcW w:w="1134" w:type="dxa"/>
            <w:shd w:val="clear" w:color="auto" w:fill="auto"/>
          </w:tcPr>
          <w:p w14:paraId="668264BB" w14:textId="77777777" w:rsidR="002B2ED6" w:rsidRPr="003726BE" w:rsidRDefault="002B2ED6" w:rsidP="00AA71F1">
            <w:pPr>
              <w:suppressAutoHyphens/>
              <w:spacing w:before="40" w:after="40" w:line="240" w:lineRule="auto"/>
              <w:rPr>
                <w:rFonts w:cs="Arial"/>
                <w:color w:val="373737" w:themeColor="background1" w:themeShade="40"/>
                <w:szCs w:val="18"/>
              </w:rPr>
            </w:pPr>
            <w:r w:rsidRPr="003726BE">
              <w:rPr>
                <w:rFonts w:cs="Arial"/>
                <w:color w:val="373737" w:themeColor="background1" w:themeShade="40"/>
                <w:szCs w:val="18"/>
              </w:rPr>
              <w:sym w:font="Wingdings" w:char="F0FC"/>
            </w:r>
          </w:p>
        </w:tc>
        <w:tc>
          <w:tcPr>
            <w:tcW w:w="1134" w:type="dxa"/>
            <w:shd w:val="clear" w:color="auto" w:fill="auto"/>
          </w:tcPr>
          <w:p w14:paraId="335F5531" w14:textId="77777777" w:rsidR="002B2ED6" w:rsidRPr="003726BE" w:rsidRDefault="002B2ED6" w:rsidP="00AA71F1">
            <w:pPr>
              <w:suppressAutoHyphens/>
              <w:spacing w:before="40" w:after="40" w:line="240" w:lineRule="auto"/>
              <w:rPr>
                <w:rFonts w:cs="Arial"/>
                <w:color w:val="373737" w:themeColor="background1" w:themeShade="40"/>
                <w:szCs w:val="18"/>
              </w:rPr>
            </w:pPr>
            <w:r w:rsidRPr="003726BE">
              <w:rPr>
                <w:rFonts w:cs="Arial"/>
                <w:color w:val="373737" w:themeColor="background1" w:themeShade="40"/>
                <w:szCs w:val="18"/>
              </w:rPr>
              <w:sym w:font="Wingdings" w:char="F0FC"/>
            </w:r>
          </w:p>
        </w:tc>
      </w:tr>
      <w:tr w:rsidR="002B2ED6" w:rsidRPr="003726BE" w14:paraId="625D288B" w14:textId="77777777" w:rsidTr="00AA71F1">
        <w:trPr>
          <w:trHeight w:val="180"/>
          <w:jc w:val="center"/>
        </w:trPr>
        <w:tc>
          <w:tcPr>
            <w:tcW w:w="425" w:type="dxa"/>
            <w:shd w:val="clear" w:color="auto" w:fill="auto"/>
          </w:tcPr>
          <w:p w14:paraId="1233DC93" w14:textId="77777777" w:rsidR="002B2ED6" w:rsidRPr="003726BE" w:rsidRDefault="002B2ED6" w:rsidP="00AA71F1">
            <w:pPr>
              <w:suppressAutoHyphens/>
              <w:spacing w:before="40" w:after="40" w:line="240" w:lineRule="auto"/>
              <w:rPr>
                <w:rFonts w:cs="Arial"/>
                <w:color w:val="373737" w:themeColor="background1" w:themeShade="40"/>
                <w:szCs w:val="18"/>
              </w:rPr>
            </w:pPr>
            <w:r w:rsidRPr="003726BE">
              <w:rPr>
                <w:color w:val="373737" w:themeColor="background1" w:themeShade="40"/>
              </w:rPr>
              <w:t>2</w:t>
            </w:r>
          </w:p>
        </w:tc>
        <w:tc>
          <w:tcPr>
            <w:tcW w:w="6662" w:type="dxa"/>
            <w:shd w:val="clear" w:color="auto" w:fill="auto"/>
          </w:tcPr>
          <w:p w14:paraId="6AA1A8F9" w14:textId="77777777" w:rsidR="002B2ED6" w:rsidRPr="00CB34A3" w:rsidRDefault="002B2ED6" w:rsidP="00AA71F1">
            <w:pPr>
              <w:suppressAutoHyphens/>
              <w:spacing w:before="40" w:after="40" w:line="240" w:lineRule="auto"/>
              <w:rPr>
                <w:rFonts w:cs="Arial"/>
                <w:color w:val="373737" w:themeColor="background1" w:themeShade="40"/>
                <w:szCs w:val="18"/>
                <w:lang w:val="en-GB"/>
              </w:rPr>
            </w:pPr>
            <w:r w:rsidRPr="00CB34A3">
              <w:rPr>
                <w:color w:val="373737" w:themeColor="background1" w:themeShade="40"/>
                <w:lang w:val="en-GB"/>
              </w:rPr>
              <w:t>Progress in implementing the evaluation plan:</w:t>
            </w:r>
          </w:p>
        </w:tc>
        <w:tc>
          <w:tcPr>
            <w:tcW w:w="2694" w:type="dxa"/>
            <w:shd w:val="clear" w:color="auto" w:fill="auto"/>
          </w:tcPr>
          <w:p w14:paraId="56DC53CA" w14:textId="77777777" w:rsidR="002B2ED6" w:rsidRPr="003726BE" w:rsidRDefault="002B2ED6" w:rsidP="00AA71F1">
            <w:pPr>
              <w:suppressAutoHyphens/>
              <w:spacing w:before="40" w:after="40" w:line="240" w:lineRule="auto"/>
              <w:rPr>
                <w:rFonts w:cs="Arial"/>
                <w:color w:val="373737" w:themeColor="background1" w:themeShade="40"/>
                <w:szCs w:val="18"/>
              </w:rPr>
            </w:pPr>
            <w:r w:rsidRPr="003726BE">
              <w:rPr>
                <w:color w:val="373737" w:themeColor="background1" w:themeShade="40"/>
              </w:rPr>
              <w:t>1303/2013, Art. 56.1</w:t>
            </w:r>
          </w:p>
          <w:p w14:paraId="5D874579" w14:textId="77777777" w:rsidR="002B2ED6" w:rsidRPr="003726BE" w:rsidRDefault="002B2ED6" w:rsidP="00AA71F1">
            <w:pPr>
              <w:suppressAutoHyphens/>
              <w:spacing w:before="40" w:after="40" w:line="240" w:lineRule="auto"/>
              <w:rPr>
                <w:rFonts w:cs="Arial"/>
                <w:color w:val="373737" w:themeColor="background1" w:themeShade="40"/>
                <w:szCs w:val="18"/>
              </w:rPr>
            </w:pPr>
            <w:r w:rsidRPr="003726BE">
              <w:rPr>
                <w:color w:val="373737" w:themeColor="background1" w:themeShade="40"/>
              </w:rPr>
              <w:t>808/2014, Art.14.1f), Art.1</w:t>
            </w:r>
            <w:r w:rsidRPr="003726BE">
              <w:tab/>
            </w:r>
          </w:p>
        </w:tc>
        <w:tc>
          <w:tcPr>
            <w:tcW w:w="1129" w:type="dxa"/>
            <w:shd w:val="clear" w:color="auto" w:fill="auto"/>
          </w:tcPr>
          <w:p w14:paraId="29810BAC" w14:textId="77777777" w:rsidR="002B2ED6" w:rsidRPr="003726BE" w:rsidRDefault="002B2ED6" w:rsidP="00AA71F1">
            <w:pPr>
              <w:suppressAutoHyphens/>
              <w:spacing w:before="40" w:after="40" w:line="240" w:lineRule="auto"/>
              <w:rPr>
                <w:rFonts w:cs="Arial"/>
                <w:color w:val="373737" w:themeColor="background1" w:themeShade="40"/>
                <w:szCs w:val="18"/>
              </w:rPr>
            </w:pPr>
          </w:p>
        </w:tc>
        <w:tc>
          <w:tcPr>
            <w:tcW w:w="1134" w:type="dxa"/>
            <w:shd w:val="clear" w:color="auto" w:fill="auto"/>
          </w:tcPr>
          <w:p w14:paraId="56A9A1B8" w14:textId="77777777" w:rsidR="002B2ED6" w:rsidRPr="003726BE" w:rsidRDefault="002B2ED6" w:rsidP="00AA71F1">
            <w:pPr>
              <w:suppressAutoHyphens/>
              <w:spacing w:before="40" w:after="40" w:line="240" w:lineRule="auto"/>
              <w:rPr>
                <w:rFonts w:cs="Arial"/>
                <w:color w:val="373737" w:themeColor="background1" w:themeShade="40"/>
                <w:szCs w:val="18"/>
              </w:rPr>
            </w:pPr>
          </w:p>
        </w:tc>
        <w:tc>
          <w:tcPr>
            <w:tcW w:w="1134" w:type="dxa"/>
            <w:shd w:val="clear" w:color="auto" w:fill="auto"/>
          </w:tcPr>
          <w:p w14:paraId="44AE00B0" w14:textId="77777777" w:rsidR="002B2ED6" w:rsidRPr="003726BE" w:rsidRDefault="002B2ED6" w:rsidP="00AA71F1">
            <w:pPr>
              <w:suppressAutoHyphens/>
              <w:spacing w:before="40" w:after="40" w:line="240" w:lineRule="auto"/>
              <w:rPr>
                <w:rFonts w:cs="Arial"/>
                <w:color w:val="373737" w:themeColor="background1" w:themeShade="40"/>
                <w:szCs w:val="18"/>
              </w:rPr>
            </w:pPr>
          </w:p>
        </w:tc>
      </w:tr>
      <w:tr w:rsidR="002B2ED6" w:rsidRPr="003726BE" w14:paraId="02D4F76C" w14:textId="77777777" w:rsidTr="00AA71F1">
        <w:trPr>
          <w:trHeight w:val="180"/>
          <w:jc w:val="center"/>
        </w:trPr>
        <w:tc>
          <w:tcPr>
            <w:tcW w:w="425" w:type="dxa"/>
            <w:shd w:val="clear" w:color="auto" w:fill="auto"/>
          </w:tcPr>
          <w:p w14:paraId="2AE936B6" w14:textId="77777777" w:rsidR="002B2ED6" w:rsidRPr="003726BE" w:rsidRDefault="002B2ED6" w:rsidP="00AA71F1">
            <w:pPr>
              <w:suppressAutoHyphens/>
              <w:spacing w:before="40" w:after="40" w:line="240" w:lineRule="auto"/>
              <w:rPr>
                <w:rFonts w:cs="Arial"/>
                <w:color w:val="373737" w:themeColor="background1" w:themeShade="40"/>
                <w:szCs w:val="18"/>
              </w:rPr>
            </w:pPr>
            <w:r w:rsidRPr="003726BE">
              <w:rPr>
                <w:color w:val="373737" w:themeColor="background1" w:themeShade="40"/>
              </w:rPr>
              <w:t>a)</w:t>
            </w:r>
          </w:p>
        </w:tc>
        <w:tc>
          <w:tcPr>
            <w:tcW w:w="6662" w:type="dxa"/>
            <w:shd w:val="clear" w:color="auto" w:fill="auto"/>
          </w:tcPr>
          <w:p w14:paraId="4FE4B244" w14:textId="77777777" w:rsidR="002B2ED6" w:rsidRPr="00CB34A3" w:rsidRDefault="002B2ED6" w:rsidP="00AA71F1">
            <w:pPr>
              <w:suppressAutoHyphens/>
              <w:spacing w:before="40" w:after="40" w:line="240" w:lineRule="auto"/>
              <w:rPr>
                <w:rFonts w:cs="Arial"/>
                <w:color w:val="373737" w:themeColor="background1" w:themeShade="40"/>
                <w:szCs w:val="18"/>
                <w:lang w:val="en-GB"/>
              </w:rPr>
            </w:pPr>
            <w:r w:rsidRPr="00CB34A3">
              <w:rPr>
                <w:color w:val="373737" w:themeColor="background1" w:themeShade="40"/>
                <w:lang w:val="en-GB"/>
              </w:rPr>
              <w:t>Description of any modifications made to the evaluation plan</w:t>
            </w:r>
          </w:p>
        </w:tc>
        <w:tc>
          <w:tcPr>
            <w:tcW w:w="2694" w:type="dxa"/>
            <w:shd w:val="clear" w:color="auto" w:fill="auto"/>
          </w:tcPr>
          <w:p w14:paraId="1397C5DB" w14:textId="77777777" w:rsidR="002B2ED6" w:rsidRPr="00CB34A3" w:rsidRDefault="002B2ED6" w:rsidP="00AA71F1">
            <w:pPr>
              <w:suppressAutoHyphens/>
              <w:spacing w:before="40" w:after="40" w:line="240" w:lineRule="auto"/>
              <w:rPr>
                <w:rFonts w:cs="Arial"/>
                <w:color w:val="373737" w:themeColor="background1" w:themeShade="40"/>
                <w:szCs w:val="18"/>
                <w:lang w:val="en-GB"/>
              </w:rPr>
            </w:pPr>
          </w:p>
        </w:tc>
        <w:tc>
          <w:tcPr>
            <w:tcW w:w="1129" w:type="dxa"/>
            <w:shd w:val="clear" w:color="auto" w:fill="auto"/>
          </w:tcPr>
          <w:p w14:paraId="408E0C4B" w14:textId="77777777" w:rsidR="002B2ED6" w:rsidRPr="003726BE" w:rsidRDefault="002B2ED6" w:rsidP="00AA71F1">
            <w:pPr>
              <w:suppressAutoHyphens/>
              <w:spacing w:before="40" w:after="40" w:line="240" w:lineRule="auto"/>
              <w:rPr>
                <w:rFonts w:cs="Arial"/>
                <w:color w:val="373737" w:themeColor="background1" w:themeShade="40"/>
                <w:szCs w:val="18"/>
              </w:rPr>
            </w:pPr>
            <w:r w:rsidRPr="003726BE">
              <w:rPr>
                <w:rFonts w:cs="Arial"/>
                <w:color w:val="373737" w:themeColor="background1" w:themeShade="40"/>
                <w:szCs w:val="18"/>
              </w:rPr>
              <w:sym w:font="Wingdings" w:char="F0FC"/>
            </w:r>
          </w:p>
        </w:tc>
        <w:tc>
          <w:tcPr>
            <w:tcW w:w="1134" w:type="dxa"/>
            <w:shd w:val="clear" w:color="auto" w:fill="auto"/>
          </w:tcPr>
          <w:p w14:paraId="247A79C1" w14:textId="77777777" w:rsidR="002B2ED6" w:rsidRPr="003726BE" w:rsidRDefault="002B2ED6" w:rsidP="00AA71F1">
            <w:pPr>
              <w:suppressAutoHyphens/>
              <w:spacing w:before="40" w:after="40" w:line="240" w:lineRule="auto"/>
              <w:rPr>
                <w:rFonts w:cs="Arial"/>
                <w:color w:val="373737" w:themeColor="background1" w:themeShade="40"/>
                <w:szCs w:val="18"/>
              </w:rPr>
            </w:pPr>
            <w:r w:rsidRPr="003726BE">
              <w:rPr>
                <w:rFonts w:cs="Arial"/>
                <w:color w:val="373737" w:themeColor="background1" w:themeShade="40"/>
                <w:szCs w:val="18"/>
              </w:rPr>
              <w:sym w:font="Wingdings" w:char="F0FC"/>
            </w:r>
          </w:p>
        </w:tc>
        <w:tc>
          <w:tcPr>
            <w:tcW w:w="1134" w:type="dxa"/>
            <w:shd w:val="clear" w:color="auto" w:fill="auto"/>
          </w:tcPr>
          <w:p w14:paraId="099DB928" w14:textId="77777777" w:rsidR="002B2ED6" w:rsidRPr="003726BE" w:rsidRDefault="002B2ED6" w:rsidP="00AA71F1">
            <w:pPr>
              <w:suppressAutoHyphens/>
              <w:spacing w:before="40" w:after="40" w:line="240" w:lineRule="auto"/>
              <w:rPr>
                <w:rFonts w:cs="Arial"/>
                <w:color w:val="373737" w:themeColor="background1" w:themeShade="40"/>
                <w:szCs w:val="18"/>
              </w:rPr>
            </w:pPr>
            <w:r w:rsidRPr="003726BE">
              <w:rPr>
                <w:rFonts w:cs="Arial"/>
                <w:color w:val="373737" w:themeColor="background1" w:themeShade="40"/>
                <w:szCs w:val="18"/>
              </w:rPr>
              <w:sym w:font="Wingdings" w:char="F0FC"/>
            </w:r>
          </w:p>
        </w:tc>
      </w:tr>
      <w:tr w:rsidR="002B2ED6" w:rsidRPr="003726BE" w14:paraId="4B94936B" w14:textId="77777777" w:rsidTr="00AA71F1">
        <w:trPr>
          <w:trHeight w:val="180"/>
          <w:jc w:val="center"/>
        </w:trPr>
        <w:tc>
          <w:tcPr>
            <w:tcW w:w="425" w:type="dxa"/>
            <w:shd w:val="clear" w:color="auto" w:fill="auto"/>
          </w:tcPr>
          <w:p w14:paraId="3F248D14" w14:textId="77777777" w:rsidR="002B2ED6" w:rsidRPr="003726BE" w:rsidRDefault="002B2ED6" w:rsidP="00AA71F1">
            <w:pPr>
              <w:suppressAutoHyphens/>
              <w:spacing w:before="40" w:after="40" w:line="240" w:lineRule="auto"/>
              <w:rPr>
                <w:rFonts w:cs="Arial"/>
                <w:color w:val="373737" w:themeColor="background1" w:themeShade="40"/>
                <w:szCs w:val="18"/>
              </w:rPr>
            </w:pPr>
            <w:r w:rsidRPr="003726BE">
              <w:rPr>
                <w:color w:val="373737" w:themeColor="background1" w:themeShade="40"/>
              </w:rPr>
              <w:t>b)</w:t>
            </w:r>
          </w:p>
        </w:tc>
        <w:tc>
          <w:tcPr>
            <w:tcW w:w="6662" w:type="dxa"/>
            <w:shd w:val="clear" w:color="auto" w:fill="auto"/>
          </w:tcPr>
          <w:p w14:paraId="7844FD80" w14:textId="77777777" w:rsidR="002B2ED6" w:rsidRPr="00CB34A3" w:rsidRDefault="002B2ED6" w:rsidP="00AA71F1">
            <w:pPr>
              <w:suppressAutoHyphens/>
              <w:spacing w:before="40" w:after="40" w:line="240" w:lineRule="auto"/>
              <w:rPr>
                <w:rFonts w:cs="Arial"/>
                <w:color w:val="373737" w:themeColor="background1" w:themeShade="40"/>
                <w:szCs w:val="18"/>
                <w:lang w:val="en-GB"/>
              </w:rPr>
            </w:pPr>
            <w:r w:rsidRPr="00CB34A3">
              <w:rPr>
                <w:color w:val="373737" w:themeColor="background1" w:themeShade="40"/>
                <w:lang w:val="en-GB"/>
              </w:rPr>
              <w:t>Description of the evaluation activities undertaken during the year</w:t>
            </w:r>
          </w:p>
        </w:tc>
        <w:tc>
          <w:tcPr>
            <w:tcW w:w="2694" w:type="dxa"/>
            <w:shd w:val="clear" w:color="auto" w:fill="auto"/>
          </w:tcPr>
          <w:p w14:paraId="09BE020D" w14:textId="77777777" w:rsidR="002B2ED6" w:rsidRPr="003726BE" w:rsidRDefault="002B2ED6" w:rsidP="00AA71F1">
            <w:pPr>
              <w:suppressAutoHyphens/>
              <w:spacing w:before="40" w:after="40" w:line="240" w:lineRule="auto"/>
              <w:rPr>
                <w:rFonts w:cs="Arial"/>
                <w:color w:val="373737" w:themeColor="background1" w:themeShade="40"/>
                <w:szCs w:val="18"/>
              </w:rPr>
            </w:pPr>
            <w:r w:rsidRPr="003726BE">
              <w:rPr>
                <w:color w:val="373737" w:themeColor="background1" w:themeShade="40"/>
              </w:rPr>
              <w:t>1305/2014, Art. 75.2</w:t>
            </w:r>
          </w:p>
        </w:tc>
        <w:tc>
          <w:tcPr>
            <w:tcW w:w="1129" w:type="dxa"/>
            <w:shd w:val="clear" w:color="auto" w:fill="auto"/>
          </w:tcPr>
          <w:p w14:paraId="59616B96" w14:textId="77777777" w:rsidR="002B2ED6" w:rsidRPr="003726BE" w:rsidRDefault="002B2ED6" w:rsidP="00AA71F1">
            <w:pPr>
              <w:suppressAutoHyphens/>
              <w:spacing w:before="40" w:after="40" w:line="240" w:lineRule="auto"/>
              <w:rPr>
                <w:rFonts w:cs="Arial"/>
                <w:color w:val="373737" w:themeColor="background1" w:themeShade="40"/>
                <w:szCs w:val="18"/>
              </w:rPr>
            </w:pPr>
            <w:r w:rsidRPr="003726BE">
              <w:rPr>
                <w:rFonts w:cs="Arial"/>
                <w:color w:val="373737" w:themeColor="background1" w:themeShade="40"/>
                <w:szCs w:val="18"/>
              </w:rPr>
              <w:sym w:font="Wingdings" w:char="F0FC"/>
            </w:r>
          </w:p>
        </w:tc>
        <w:tc>
          <w:tcPr>
            <w:tcW w:w="1134" w:type="dxa"/>
            <w:shd w:val="clear" w:color="auto" w:fill="auto"/>
          </w:tcPr>
          <w:p w14:paraId="0969428C" w14:textId="77777777" w:rsidR="002B2ED6" w:rsidRPr="003726BE" w:rsidRDefault="002B2ED6" w:rsidP="00AA71F1">
            <w:pPr>
              <w:suppressAutoHyphens/>
              <w:spacing w:before="40" w:after="40" w:line="240" w:lineRule="auto"/>
              <w:rPr>
                <w:rFonts w:cs="Arial"/>
                <w:color w:val="373737" w:themeColor="background1" w:themeShade="40"/>
                <w:szCs w:val="18"/>
              </w:rPr>
            </w:pPr>
            <w:r w:rsidRPr="003726BE">
              <w:rPr>
                <w:rFonts w:cs="Arial"/>
                <w:color w:val="373737" w:themeColor="background1" w:themeShade="40"/>
                <w:szCs w:val="18"/>
              </w:rPr>
              <w:sym w:font="Wingdings" w:char="F0FC"/>
            </w:r>
          </w:p>
        </w:tc>
        <w:tc>
          <w:tcPr>
            <w:tcW w:w="1134" w:type="dxa"/>
            <w:shd w:val="clear" w:color="auto" w:fill="auto"/>
          </w:tcPr>
          <w:p w14:paraId="262A9B4D" w14:textId="77777777" w:rsidR="002B2ED6" w:rsidRPr="003726BE" w:rsidRDefault="002B2ED6" w:rsidP="00AA71F1">
            <w:pPr>
              <w:suppressAutoHyphens/>
              <w:spacing w:before="40" w:after="40" w:line="240" w:lineRule="auto"/>
              <w:rPr>
                <w:rFonts w:cs="Arial"/>
                <w:color w:val="373737" w:themeColor="background1" w:themeShade="40"/>
                <w:szCs w:val="18"/>
              </w:rPr>
            </w:pPr>
            <w:r w:rsidRPr="003726BE">
              <w:rPr>
                <w:rFonts w:cs="Arial"/>
                <w:color w:val="373737" w:themeColor="background1" w:themeShade="40"/>
                <w:szCs w:val="18"/>
              </w:rPr>
              <w:sym w:font="Wingdings" w:char="F0FC"/>
            </w:r>
          </w:p>
        </w:tc>
      </w:tr>
      <w:tr w:rsidR="002B2ED6" w:rsidRPr="003726BE" w14:paraId="50F551E4" w14:textId="77777777" w:rsidTr="00AA71F1">
        <w:trPr>
          <w:trHeight w:val="383"/>
          <w:jc w:val="center"/>
        </w:trPr>
        <w:tc>
          <w:tcPr>
            <w:tcW w:w="425" w:type="dxa"/>
            <w:shd w:val="clear" w:color="auto" w:fill="auto"/>
          </w:tcPr>
          <w:p w14:paraId="1DE83D6D" w14:textId="77777777" w:rsidR="002B2ED6" w:rsidRPr="003726BE" w:rsidRDefault="002B2ED6" w:rsidP="00AA71F1">
            <w:pPr>
              <w:suppressAutoHyphens/>
              <w:spacing w:before="40" w:after="40" w:line="240" w:lineRule="auto"/>
              <w:rPr>
                <w:rFonts w:cs="Arial"/>
                <w:color w:val="373737" w:themeColor="background1" w:themeShade="40"/>
                <w:szCs w:val="18"/>
              </w:rPr>
            </w:pPr>
            <w:r w:rsidRPr="003726BE">
              <w:rPr>
                <w:color w:val="373737" w:themeColor="background1" w:themeShade="40"/>
              </w:rPr>
              <w:t>c)</w:t>
            </w:r>
          </w:p>
        </w:tc>
        <w:tc>
          <w:tcPr>
            <w:tcW w:w="6662" w:type="dxa"/>
            <w:shd w:val="clear" w:color="auto" w:fill="auto"/>
          </w:tcPr>
          <w:p w14:paraId="718931FF" w14:textId="77777777" w:rsidR="002B2ED6" w:rsidRPr="00CB34A3" w:rsidRDefault="002B2ED6" w:rsidP="00AA71F1">
            <w:pPr>
              <w:suppressAutoHyphens/>
              <w:spacing w:before="40" w:after="40" w:line="240" w:lineRule="auto"/>
              <w:rPr>
                <w:rFonts w:cs="Arial"/>
                <w:color w:val="373737" w:themeColor="background1" w:themeShade="40"/>
                <w:szCs w:val="18"/>
                <w:lang w:val="en-GB"/>
              </w:rPr>
            </w:pPr>
            <w:r w:rsidRPr="00CB34A3">
              <w:rPr>
                <w:color w:val="373737" w:themeColor="background1" w:themeShade="40"/>
                <w:lang w:val="en-GB"/>
              </w:rPr>
              <w:t xml:space="preserve">Description of the activities undertaken in relation to the provision and management of data </w:t>
            </w:r>
          </w:p>
        </w:tc>
        <w:tc>
          <w:tcPr>
            <w:tcW w:w="2694" w:type="dxa"/>
            <w:shd w:val="clear" w:color="auto" w:fill="auto"/>
          </w:tcPr>
          <w:p w14:paraId="374FF4B4" w14:textId="77777777" w:rsidR="002B2ED6" w:rsidRPr="003726BE" w:rsidRDefault="002B2ED6" w:rsidP="00AA71F1">
            <w:pPr>
              <w:suppressAutoHyphens/>
              <w:spacing w:before="40" w:after="40" w:line="240" w:lineRule="auto"/>
              <w:rPr>
                <w:rFonts w:cs="Arial"/>
                <w:color w:val="373737" w:themeColor="background1" w:themeShade="40"/>
                <w:szCs w:val="18"/>
              </w:rPr>
            </w:pPr>
            <w:r w:rsidRPr="003726BE">
              <w:rPr>
                <w:color w:val="373737" w:themeColor="background1" w:themeShade="40"/>
              </w:rPr>
              <w:t>1305/2014, Art. 70</w:t>
            </w:r>
          </w:p>
        </w:tc>
        <w:tc>
          <w:tcPr>
            <w:tcW w:w="1129" w:type="dxa"/>
            <w:shd w:val="clear" w:color="auto" w:fill="auto"/>
          </w:tcPr>
          <w:p w14:paraId="116B7AFB" w14:textId="77777777" w:rsidR="002B2ED6" w:rsidRPr="003726BE" w:rsidRDefault="002B2ED6" w:rsidP="00AA71F1">
            <w:pPr>
              <w:suppressAutoHyphens/>
              <w:spacing w:before="40" w:after="40" w:line="240" w:lineRule="auto"/>
              <w:rPr>
                <w:rFonts w:cs="Arial"/>
                <w:color w:val="373737" w:themeColor="background1" w:themeShade="40"/>
                <w:szCs w:val="18"/>
              </w:rPr>
            </w:pPr>
            <w:r w:rsidRPr="003726BE">
              <w:rPr>
                <w:rFonts w:cs="Arial"/>
                <w:color w:val="373737" w:themeColor="background1" w:themeShade="40"/>
                <w:szCs w:val="18"/>
              </w:rPr>
              <w:sym w:font="Wingdings" w:char="F0FC"/>
            </w:r>
          </w:p>
        </w:tc>
        <w:tc>
          <w:tcPr>
            <w:tcW w:w="1134" w:type="dxa"/>
            <w:shd w:val="clear" w:color="auto" w:fill="auto"/>
          </w:tcPr>
          <w:p w14:paraId="63599DA3" w14:textId="77777777" w:rsidR="002B2ED6" w:rsidRPr="003726BE" w:rsidRDefault="002B2ED6" w:rsidP="00AA71F1">
            <w:pPr>
              <w:suppressAutoHyphens/>
              <w:spacing w:before="40" w:after="40" w:line="240" w:lineRule="auto"/>
              <w:rPr>
                <w:rFonts w:cs="Arial"/>
                <w:color w:val="373737" w:themeColor="background1" w:themeShade="40"/>
                <w:szCs w:val="18"/>
              </w:rPr>
            </w:pPr>
            <w:r w:rsidRPr="003726BE">
              <w:rPr>
                <w:rFonts w:cs="Arial"/>
                <w:color w:val="373737" w:themeColor="background1" w:themeShade="40"/>
                <w:szCs w:val="18"/>
              </w:rPr>
              <w:sym w:font="Wingdings" w:char="F0FC"/>
            </w:r>
          </w:p>
        </w:tc>
        <w:tc>
          <w:tcPr>
            <w:tcW w:w="1134" w:type="dxa"/>
            <w:shd w:val="clear" w:color="auto" w:fill="auto"/>
          </w:tcPr>
          <w:p w14:paraId="000167BC" w14:textId="77777777" w:rsidR="002B2ED6" w:rsidRPr="003726BE" w:rsidRDefault="002B2ED6" w:rsidP="00AA71F1">
            <w:pPr>
              <w:suppressAutoHyphens/>
              <w:spacing w:before="40" w:after="40" w:line="240" w:lineRule="auto"/>
              <w:rPr>
                <w:rFonts w:cs="Arial"/>
                <w:color w:val="373737" w:themeColor="background1" w:themeShade="40"/>
                <w:szCs w:val="18"/>
              </w:rPr>
            </w:pPr>
            <w:r w:rsidRPr="003726BE">
              <w:rPr>
                <w:rFonts w:cs="Arial"/>
                <w:color w:val="373737" w:themeColor="background1" w:themeShade="40"/>
                <w:szCs w:val="18"/>
              </w:rPr>
              <w:sym w:font="Wingdings" w:char="F0FC"/>
            </w:r>
          </w:p>
        </w:tc>
      </w:tr>
      <w:tr w:rsidR="002B2ED6" w:rsidRPr="003726BE" w14:paraId="0D1A414D" w14:textId="77777777" w:rsidTr="00AA71F1">
        <w:trPr>
          <w:trHeight w:val="180"/>
          <w:jc w:val="center"/>
        </w:trPr>
        <w:tc>
          <w:tcPr>
            <w:tcW w:w="425" w:type="dxa"/>
            <w:shd w:val="clear" w:color="auto" w:fill="auto"/>
          </w:tcPr>
          <w:p w14:paraId="6E537351" w14:textId="77777777" w:rsidR="002B2ED6" w:rsidRPr="003726BE" w:rsidRDefault="002B2ED6" w:rsidP="00AA71F1">
            <w:pPr>
              <w:suppressAutoHyphens/>
              <w:spacing w:before="40" w:after="40" w:line="240" w:lineRule="auto"/>
              <w:rPr>
                <w:rFonts w:cs="Arial"/>
                <w:color w:val="373737" w:themeColor="background1" w:themeShade="40"/>
                <w:szCs w:val="18"/>
              </w:rPr>
            </w:pPr>
            <w:r w:rsidRPr="003726BE">
              <w:rPr>
                <w:color w:val="373737" w:themeColor="background1" w:themeShade="40"/>
              </w:rPr>
              <w:t>d)</w:t>
            </w:r>
          </w:p>
        </w:tc>
        <w:tc>
          <w:tcPr>
            <w:tcW w:w="6662" w:type="dxa"/>
            <w:shd w:val="clear" w:color="auto" w:fill="auto"/>
          </w:tcPr>
          <w:p w14:paraId="127BC9D0" w14:textId="77777777" w:rsidR="002B2ED6" w:rsidRPr="00CB34A3" w:rsidRDefault="002B2ED6" w:rsidP="00AA71F1">
            <w:pPr>
              <w:suppressAutoHyphens/>
              <w:spacing w:before="40" w:after="40" w:line="240" w:lineRule="auto"/>
              <w:rPr>
                <w:rFonts w:cs="Arial"/>
                <w:color w:val="373737" w:themeColor="background1" w:themeShade="40"/>
                <w:szCs w:val="18"/>
                <w:lang w:val="en-GB"/>
              </w:rPr>
            </w:pPr>
            <w:r w:rsidRPr="00CB34A3">
              <w:rPr>
                <w:color w:val="373737" w:themeColor="background1" w:themeShade="40"/>
                <w:lang w:val="en-GB"/>
              </w:rPr>
              <w:t>List of completed evaluations, incl. references to where they have been published on-line</w:t>
            </w:r>
          </w:p>
        </w:tc>
        <w:tc>
          <w:tcPr>
            <w:tcW w:w="2694" w:type="dxa"/>
            <w:shd w:val="clear" w:color="auto" w:fill="auto"/>
          </w:tcPr>
          <w:p w14:paraId="31F9ECE2" w14:textId="77777777" w:rsidR="002B2ED6" w:rsidRPr="003726BE" w:rsidRDefault="002B2ED6" w:rsidP="00AA71F1">
            <w:pPr>
              <w:suppressAutoHyphens/>
              <w:spacing w:before="40" w:after="40" w:line="240" w:lineRule="auto"/>
              <w:rPr>
                <w:rFonts w:cs="Arial"/>
                <w:color w:val="373737" w:themeColor="background1" w:themeShade="40"/>
                <w:szCs w:val="18"/>
              </w:rPr>
            </w:pPr>
            <w:r w:rsidRPr="003726BE">
              <w:rPr>
                <w:color w:val="373737" w:themeColor="background1" w:themeShade="40"/>
              </w:rPr>
              <w:t>1303/2013 Art. 50.2,</w:t>
            </w:r>
          </w:p>
          <w:p w14:paraId="5C01560B" w14:textId="77777777" w:rsidR="002B2ED6" w:rsidRPr="003726BE" w:rsidRDefault="002B2ED6" w:rsidP="00AA71F1">
            <w:pPr>
              <w:suppressAutoHyphens/>
              <w:spacing w:before="40" w:after="40" w:line="240" w:lineRule="auto"/>
              <w:rPr>
                <w:rFonts w:cs="Arial"/>
                <w:color w:val="373737" w:themeColor="background1" w:themeShade="40"/>
                <w:szCs w:val="18"/>
              </w:rPr>
            </w:pPr>
            <w:r w:rsidRPr="003726BE">
              <w:rPr>
                <w:color w:val="373737" w:themeColor="background1" w:themeShade="40"/>
              </w:rPr>
              <w:t>1305/2014, Art. 76.3</w:t>
            </w:r>
          </w:p>
        </w:tc>
        <w:tc>
          <w:tcPr>
            <w:tcW w:w="1129" w:type="dxa"/>
            <w:shd w:val="clear" w:color="auto" w:fill="auto"/>
          </w:tcPr>
          <w:p w14:paraId="3A4EC9D3" w14:textId="77777777" w:rsidR="002B2ED6" w:rsidRPr="003726BE" w:rsidRDefault="002B2ED6" w:rsidP="00AA71F1">
            <w:pPr>
              <w:suppressAutoHyphens/>
              <w:spacing w:before="40" w:after="40" w:line="240" w:lineRule="auto"/>
              <w:rPr>
                <w:rFonts w:cs="Arial"/>
                <w:color w:val="373737" w:themeColor="background1" w:themeShade="40"/>
                <w:szCs w:val="18"/>
              </w:rPr>
            </w:pPr>
            <w:r w:rsidRPr="003726BE">
              <w:rPr>
                <w:rFonts w:cs="Arial"/>
                <w:color w:val="373737" w:themeColor="background1" w:themeShade="40"/>
                <w:szCs w:val="18"/>
              </w:rPr>
              <w:sym w:font="Wingdings" w:char="F0FC"/>
            </w:r>
          </w:p>
        </w:tc>
        <w:tc>
          <w:tcPr>
            <w:tcW w:w="1134" w:type="dxa"/>
            <w:shd w:val="clear" w:color="auto" w:fill="auto"/>
          </w:tcPr>
          <w:p w14:paraId="7BA177B8" w14:textId="77777777" w:rsidR="002B2ED6" w:rsidRPr="003726BE" w:rsidRDefault="002B2ED6" w:rsidP="00AA71F1">
            <w:pPr>
              <w:suppressAutoHyphens/>
              <w:spacing w:before="40" w:after="40" w:line="240" w:lineRule="auto"/>
              <w:rPr>
                <w:rFonts w:cs="Arial"/>
                <w:color w:val="373737" w:themeColor="background1" w:themeShade="40"/>
                <w:szCs w:val="18"/>
              </w:rPr>
            </w:pPr>
            <w:r w:rsidRPr="003726BE">
              <w:rPr>
                <w:rFonts w:cs="Arial"/>
                <w:color w:val="373737" w:themeColor="background1" w:themeShade="40"/>
                <w:szCs w:val="18"/>
              </w:rPr>
              <w:sym w:font="Wingdings" w:char="F0FC"/>
            </w:r>
          </w:p>
        </w:tc>
        <w:tc>
          <w:tcPr>
            <w:tcW w:w="1134" w:type="dxa"/>
            <w:shd w:val="clear" w:color="auto" w:fill="auto"/>
          </w:tcPr>
          <w:p w14:paraId="7C7AC666" w14:textId="77777777" w:rsidR="002B2ED6" w:rsidRPr="003726BE" w:rsidRDefault="002B2ED6" w:rsidP="00AA71F1">
            <w:pPr>
              <w:suppressAutoHyphens/>
              <w:spacing w:before="40" w:after="40" w:line="240" w:lineRule="auto"/>
              <w:rPr>
                <w:rFonts w:cs="Arial"/>
                <w:color w:val="373737" w:themeColor="background1" w:themeShade="40"/>
                <w:szCs w:val="18"/>
              </w:rPr>
            </w:pPr>
            <w:r w:rsidRPr="003726BE">
              <w:rPr>
                <w:rFonts w:cs="Arial"/>
                <w:color w:val="373737" w:themeColor="background1" w:themeShade="40"/>
                <w:szCs w:val="18"/>
              </w:rPr>
              <w:sym w:font="Wingdings" w:char="F0FC"/>
            </w:r>
          </w:p>
        </w:tc>
      </w:tr>
      <w:tr w:rsidR="002B2ED6" w:rsidRPr="003726BE" w14:paraId="7C6D57AB" w14:textId="77777777" w:rsidTr="00AA71F1">
        <w:trPr>
          <w:trHeight w:val="180"/>
          <w:jc w:val="center"/>
        </w:trPr>
        <w:tc>
          <w:tcPr>
            <w:tcW w:w="425" w:type="dxa"/>
            <w:shd w:val="clear" w:color="auto" w:fill="auto"/>
          </w:tcPr>
          <w:p w14:paraId="4347DF65" w14:textId="77777777" w:rsidR="002B2ED6" w:rsidRPr="003726BE" w:rsidRDefault="002B2ED6" w:rsidP="00AA71F1">
            <w:pPr>
              <w:suppressAutoHyphens/>
              <w:spacing w:before="40" w:after="40" w:line="240" w:lineRule="auto"/>
              <w:rPr>
                <w:rFonts w:cs="Arial"/>
                <w:color w:val="373737" w:themeColor="background1" w:themeShade="40"/>
                <w:szCs w:val="18"/>
              </w:rPr>
            </w:pPr>
            <w:r w:rsidRPr="003726BE">
              <w:rPr>
                <w:color w:val="373737" w:themeColor="background1" w:themeShade="40"/>
              </w:rPr>
              <w:t>e)</w:t>
            </w:r>
          </w:p>
        </w:tc>
        <w:tc>
          <w:tcPr>
            <w:tcW w:w="6662" w:type="dxa"/>
            <w:shd w:val="clear" w:color="auto" w:fill="auto"/>
          </w:tcPr>
          <w:p w14:paraId="3751F6EA" w14:textId="77777777" w:rsidR="002B2ED6" w:rsidRPr="00CB34A3" w:rsidRDefault="002B2ED6" w:rsidP="00AA71F1">
            <w:pPr>
              <w:suppressAutoHyphens/>
              <w:spacing w:before="40" w:after="40" w:line="240" w:lineRule="auto"/>
              <w:rPr>
                <w:rFonts w:cs="Arial"/>
                <w:color w:val="373737" w:themeColor="background1" w:themeShade="40"/>
                <w:szCs w:val="18"/>
                <w:lang w:val="en-GB"/>
              </w:rPr>
            </w:pPr>
            <w:r w:rsidRPr="00CB34A3">
              <w:rPr>
                <w:color w:val="373737" w:themeColor="background1" w:themeShade="40"/>
                <w:lang w:val="en-GB"/>
              </w:rPr>
              <w:t xml:space="preserve">A summary of completed evaluations, focusing on the evaluation’s findings </w:t>
            </w:r>
          </w:p>
        </w:tc>
        <w:tc>
          <w:tcPr>
            <w:tcW w:w="2694" w:type="dxa"/>
            <w:shd w:val="clear" w:color="auto" w:fill="auto"/>
          </w:tcPr>
          <w:p w14:paraId="5E7A44F3" w14:textId="77777777" w:rsidR="002B2ED6" w:rsidRPr="003726BE" w:rsidRDefault="002B2ED6" w:rsidP="00AA71F1">
            <w:pPr>
              <w:suppressAutoHyphens/>
              <w:spacing w:before="40" w:after="40" w:line="240" w:lineRule="auto"/>
              <w:rPr>
                <w:rFonts w:cs="Arial"/>
                <w:color w:val="373737" w:themeColor="background1" w:themeShade="40"/>
                <w:szCs w:val="18"/>
              </w:rPr>
            </w:pPr>
            <w:r w:rsidRPr="003726BE">
              <w:rPr>
                <w:color w:val="373737" w:themeColor="background1" w:themeShade="40"/>
              </w:rPr>
              <w:t>1303/2013 Art. 50.2,</w:t>
            </w:r>
          </w:p>
        </w:tc>
        <w:tc>
          <w:tcPr>
            <w:tcW w:w="1129" w:type="dxa"/>
            <w:shd w:val="clear" w:color="auto" w:fill="auto"/>
          </w:tcPr>
          <w:p w14:paraId="13B4053B" w14:textId="77777777" w:rsidR="002B2ED6" w:rsidRPr="003726BE" w:rsidRDefault="002B2ED6" w:rsidP="00AA71F1">
            <w:pPr>
              <w:suppressAutoHyphens/>
              <w:spacing w:before="40" w:after="40" w:line="240" w:lineRule="auto"/>
              <w:rPr>
                <w:rFonts w:cs="Arial"/>
                <w:color w:val="373737" w:themeColor="background1" w:themeShade="40"/>
                <w:szCs w:val="18"/>
              </w:rPr>
            </w:pPr>
            <w:r w:rsidRPr="003726BE">
              <w:rPr>
                <w:rFonts w:cs="Arial"/>
                <w:color w:val="373737" w:themeColor="background1" w:themeShade="40"/>
                <w:szCs w:val="18"/>
              </w:rPr>
              <w:sym w:font="Wingdings" w:char="F0FC"/>
            </w:r>
          </w:p>
        </w:tc>
        <w:tc>
          <w:tcPr>
            <w:tcW w:w="1134" w:type="dxa"/>
            <w:shd w:val="clear" w:color="auto" w:fill="auto"/>
          </w:tcPr>
          <w:p w14:paraId="7C3971EF" w14:textId="77777777" w:rsidR="002B2ED6" w:rsidRPr="003726BE" w:rsidRDefault="002B2ED6" w:rsidP="00AA71F1">
            <w:pPr>
              <w:suppressAutoHyphens/>
              <w:spacing w:before="40" w:after="40" w:line="240" w:lineRule="auto"/>
              <w:rPr>
                <w:rFonts w:cs="Arial"/>
                <w:color w:val="373737" w:themeColor="background1" w:themeShade="40"/>
                <w:szCs w:val="18"/>
              </w:rPr>
            </w:pPr>
            <w:r w:rsidRPr="003726BE">
              <w:rPr>
                <w:rFonts w:cs="Arial"/>
                <w:color w:val="373737" w:themeColor="background1" w:themeShade="40"/>
                <w:szCs w:val="18"/>
              </w:rPr>
              <w:sym w:font="Wingdings" w:char="F0FC"/>
            </w:r>
          </w:p>
        </w:tc>
        <w:tc>
          <w:tcPr>
            <w:tcW w:w="1134" w:type="dxa"/>
            <w:shd w:val="clear" w:color="auto" w:fill="auto"/>
          </w:tcPr>
          <w:p w14:paraId="42D4E54B" w14:textId="77777777" w:rsidR="002B2ED6" w:rsidRPr="003726BE" w:rsidRDefault="002B2ED6" w:rsidP="00AA71F1">
            <w:pPr>
              <w:suppressAutoHyphens/>
              <w:spacing w:before="40" w:after="40" w:line="240" w:lineRule="auto"/>
              <w:rPr>
                <w:rFonts w:cs="Arial"/>
                <w:color w:val="373737" w:themeColor="background1" w:themeShade="40"/>
                <w:szCs w:val="18"/>
              </w:rPr>
            </w:pPr>
            <w:r w:rsidRPr="003726BE">
              <w:rPr>
                <w:rFonts w:cs="Arial"/>
                <w:color w:val="373737" w:themeColor="background1" w:themeShade="40"/>
                <w:szCs w:val="18"/>
              </w:rPr>
              <w:sym w:font="Wingdings" w:char="F0FC"/>
            </w:r>
          </w:p>
        </w:tc>
      </w:tr>
      <w:tr w:rsidR="002B2ED6" w:rsidRPr="003726BE" w14:paraId="66AEE707" w14:textId="77777777" w:rsidTr="00AA71F1">
        <w:trPr>
          <w:trHeight w:val="180"/>
          <w:jc w:val="center"/>
        </w:trPr>
        <w:tc>
          <w:tcPr>
            <w:tcW w:w="425" w:type="dxa"/>
            <w:shd w:val="clear" w:color="auto" w:fill="auto"/>
          </w:tcPr>
          <w:p w14:paraId="09C92AC5" w14:textId="77777777" w:rsidR="002B2ED6" w:rsidRPr="003726BE" w:rsidRDefault="002B2ED6" w:rsidP="00AA71F1">
            <w:pPr>
              <w:suppressAutoHyphens/>
              <w:spacing w:before="40" w:after="40" w:line="240" w:lineRule="auto"/>
              <w:rPr>
                <w:rFonts w:cs="Arial"/>
                <w:color w:val="373737" w:themeColor="background1" w:themeShade="40"/>
                <w:szCs w:val="18"/>
              </w:rPr>
            </w:pPr>
            <w:r w:rsidRPr="003726BE">
              <w:rPr>
                <w:color w:val="373737" w:themeColor="background1" w:themeShade="40"/>
              </w:rPr>
              <w:t>f)</w:t>
            </w:r>
          </w:p>
        </w:tc>
        <w:tc>
          <w:tcPr>
            <w:tcW w:w="6662" w:type="dxa"/>
            <w:shd w:val="clear" w:color="auto" w:fill="auto"/>
          </w:tcPr>
          <w:p w14:paraId="057A6D8F" w14:textId="77777777" w:rsidR="002B2ED6" w:rsidRPr="00CB34A3" w:rsidRDefault="002B2ED6" w:rsidP="00AA71F1">
            <w:pPr>
              <w:suppressAutoHyphens/>
              <w:spacing w:before="40" w:after="40" w:line="240" w:lineRule="auto"/>
              <w:rPr>
                <w:rFonts w:cs="Arial"/>
                <w:color w:val="373737" w:themeColor="background1" w:themeShade="40"/>
                <w:szCs w:val="18"/>
                <w:lang w:val="en-GB"/>
              </w:rPr>
            </w:pPr>
            <w:r w:rsidRPr="00CB34A3">
              <w:rPr>
                <w:color w:val="373737" w:themeColor="background1" w:themeShade="40"/>
                <w:lang w:val="en-GB"/>
              </w:rPr>
              <w:t xml:space="preserve">Description of the communication activities to publicise the evaluation findings </w:t>
            </w:r>
          </w:p>
        </w:tc>
        <w:tc>
          <w:tcPr>
            <w:tcW w:w="2694" w:type="dxa"/>
            <w:shd w:val="clear" w:color="auto" w:fill="auto"/>
          </w:tcPr>
          <w:p w14:paraId="44C9BDF2" w14:textId="77777777" w:rsidR="002B2ED6" w:rsidRPr="003726BE" w:rsidRDefault="002B2ED6" w:rsidP="00AA71F1">
            <w:pPr>
              <w:suppressAutoHyphens/>
              <w:spacing w:before="40" w:after="40" w:line="240" w:lineRule="auto"/>
              <w:rPr>
                <w:rFonts w:cs="Arial"/>
                <w:color w:val="373737" w:themeColor="background1" w:themeShade="40"/>
                <w:szCs w:val="18"/>
              </w:rPr>
            </w:pPr>
            <w:r w:rsidRPr="003726BE">
              <w:rPr>
                <w:color w:val="373737" w:themeColor="background1" w:themeShade="40"/>
              </w:rPr>
              <w:t>1303/2013 Art. 50.9</w:t>
            </w:r>
          </w:p>
        </w:tc>
        <w:tc>
          <w:tcPr>
            <w:tcW w:w="1129" w:type="dxa"/>
            <w:shd w:val="clear" w:color="auto" w:fill="auto"/>
          </w:tcPr>
          <w:p w14:paraId="0A88D332" w14:textId="77777777" w:rsidR="002B2ED6" w:rsidRPr="003726BE" w:rsidRDefault="002B2ED6" w:rsidP="00AA71F1">
            <w:pPr>
              <w:suppressAutoHyphens/>
              <w:spacing w:before="40" w:after="40" w:line="240" w:lineRule="auto"/>
              <w:rPr>
                <w:rFonts w:cs="Arial"/>
                <w:color w:val="373737" w:themeColor="background1" w:themeShade="40"/>
                <w:szCs w:val="18"/>
              </w:rPr>
            </w:pPr>
            <w:r w:rsidRPr="003726BE">
              <w:rPr>
                <w:rFonts w:cs="Arial"/>
                <w:color w:val="373737" w:themeColor="background1" w:themeShade="40"/>
                <w:szCs w:val="18"/>
              </w:rPr>
              <w:sym w:font="Wingdings" w:char="F0FC"/>
            </w:r>
          </w:p>
        </w:tc>
        <w:tc>
          <w:tcPr>
            <w:tcW w:w="1134" w:type="dxa"/>
            <w:shd w:val="clear" w:color="auto" w:fill="auto"/>
          </w:tcPr>
          <w:p w14:paraId="3E1AD651" w14:textId="77777777" w:rsidR="002B2ED6" w:rsidRPr="003726BE" w:rsidRDefault="002B2ED6" w:rsidP="00AA71F1">
            <w:pPr>
              <w:suppressAutoHyphens/>
              <w:spacing w:before="40" w:after="40" w:line="240" w:lineRule="auto"/>
              <w:rPr>
                <w:rFonts w:cs="Arial"/>
                <w:color w:val="373737" w:themeColor="background1" w:themeShade="40"/>
                <w:szCs w:val="18"/>
              </w:rPr>
            </w:pPr>
            <w:r w:rsidRPr="003726BE">
              <w:rPr>
                <w:rFonts w:cs="Arial"/>
                <w:color w:val="373737" w:themeColor="background1" w:themeShade="40"/>
                <w:szCs w:val="18"/>
              </w:rPr>
              <w:sym w:font="Wingdings" w:char="F0FC"/>
            </w:r>
          </w:p>
        </w:tc>
        <w:tc>
          <w:tcPr>
            <w:tcW w:w="1134" w:type="dxa"/>
            <w:shd w:val="clear" w:color="auto" w:fill="auto"/>
          </w:tcPr>
          <w:p w14:paraId="269CC143" w14:textId="77777777" w:rsidR="002B2ED6" w:rsidRPr="003726BE" w:rsidRDefault="002B2ED6" w:rsidP="00AA71F1">
            <w:pPr>
              <w:suppressAutoHyphens/>
              <w:spacing w:before="40" w:after="40" w:line="240" w:lineRule="auto"/>
              <w:rPr>
                <w:rFonts w:cs="Arial"/>
                <w:color w:val="373737" w:themeColor="background1" w:themeShade="40"/>
                <w:szCs w:val="18"/>
              </w:rPr>
            </w:pPr>
            <w:r w:rsidRPr="003726BE">
              <w:rPr>
                <w:rFonts w:cs="Arial"/>
                <w:color w:val="373737" w:themeColor="background1" w:themeShade="40"/>
                <w:szCs w:val="18"/>
              </w:rPr>
              <w:sym w:font="Wingdings" w:char="F0FC"/>
            </w:r>
          </w:p>
        </w:tc>
      </w:tr>
      <w:tr w:rsidR="002B2ED6" w:rsidRPr="003726BE" w14:paraId="6849BA04" w14:textId="77777777" w:rsidTr="00AA71F1">
        <w:trPr>
          <w:trHeight w:val="180"/>
          <w:jc w:val="center"/>
        </w:trPr>
        <w:tc>
          <w:tcPr>
            <w:tcW w:w="425" w:type="dxa"/>
            <w:shd w:val="clear" w:color="auto" w:fill="auto"/>
          </w:tcPr>
          <w:p w14:paraId="5EE1E084" w14:textId="77777777" w:rsidR="002B2ED6" w:rsidRPr="003726BE" w:rsidRDefault="002B2ED6" w:rsidP="00AA71F1">
            <w:pPr>
              <w:suppressAutoHyphens/>
              <w:spacing w:before="40" w:after="40" w:line="240" w:lineRule="auto"/>
              <w:rPr>
                <w:rFonts w:cs="Arial"/>
                <w:color w:val="373737" w:themeColor="background1" w:themeShade="40"/>
                <w:szCs w:val="18"/>
              </w:rPr>
            </w:pPr>
            <w:r w:rsidRPr="003726BE">
              <w:rPr>
                <w:color w:val="373737" w:themeColor="background1" w:themeShade="40"/>
              </w:rPr>
              <w:t>g)</w:t>
            </w:r>
          </w:p>
        </w:tc>
        <w:tc>
          <w:tcPr>
            <w:tcW w:w="6662" w:type="dxa"/>
            <w:shd w:val="clear" w:color="auto" w:fill="auto"/>
          </w:tcPr>
          <w:p w14:paraId="1A6F1427" w14:textId="77777777" w:rsidR="002B2ED6" w:rsidRPr="00CB34A3" w:rsidRDefault="002B2ED6" w:rsidP="00AA71F1">
            <w:pPr>
              <w:suppressAutoHyphens/>
              <w:spacing w:before="40" w:after="40" w:line="240" w:lineRule="auto"/>
              <w:rPr>
                <w:rFonts w:cs="Arial"/>
                <w:color w:val="373737" w:themeColor="background1" w:themeShade="40"/>
                <w:szCs w:val="18"/>
                <w:lang w:val="en-GB"/>
              </w:rPr>
            </w:pPr>
            <w:r w:rsidRPr="00CB34A3">
              <w:rPr>
                <w:color w:val="373737" w:themeColor="background1" w:themeShade="40"/>
                <w:lang w:val="en-GB"/>
              </w:rPr>
              <w:t xml:space="preserve">Description of the follow-up given to evaluation results </w:t>
            </w:r>
          </w:p>
        </w:tc>
        <w:tc>
          <w:tcPr>
            <w:tcW w:w="2694" w:type="dxa"/>
            <w:shd w:val="clear" w:color="auto" w:fill="auto"/>
          </w:tcPr>
          <w:p w14:paraId="3264DABC" w14:textId="77777777" w:rsidR="002B2ED6" w:rsidRPr="003726BE" w:rsidRDefault="002B2ED6" w:rsidP="00AA71F1">
            <w:pPr>
              <w:suppressAutoHyphens/>
              <w:spacing w:before="40" w:after="40" w:line="240" w:lineRule="auto"/>
              <w:rPr>
                <w:rFonts w:cs="Arial"/>
                <w:color w:val="373737" w:themeColor="background1" w:themeShade="40"/>
                <w:szCs w:val="18"/>
              </w:rPr>
            </w:pPr>
            <w:r w:rsidRPr="003726BE">
              <w:rPr>
                <w:color w:val="373737" w:themeColor="background1" w:themeShade="40"/>
              </w:rPr>
              <w:t>1303/2013 Art. 56.3</w:t>
            </w:r>
          </w:p>
        </w:tc>
        <w:tc>
          <w:tcPr>
            <w:tcW w:w="1129" w:type="dxa"/>
            <w:shd w:val="clear" w:color="auto" w:fill="auto"/>
          </w:tcPr>
          <w:p w14:paraId="62282B79" w14:textId="77777777" w:rsidR="002B2ED6" w:rsidRPr="003726BE" w:rsidRDefault="002B2ED6" w:rsidP="00AA71F1">
            <w:pPr>
              <w:suppressAutoHyphens/>
              <w:spacing w:before="40" w:after="40" w:line="240" w:lineRule="auto"/>
              <w:rPr>
                <w:rFonts w:cs="Arial"/>
                <w:color w:val="373737" w:themeColor="background1" w:themeShade="40"/>
                <w:szCs w:val="18"/>
              </w:rPr>
            </w:pPr>
            <w:r w:rsidRPr="003726BE">
              <w:rPr>
                <w:rFonts w:cs="Arial"/>
                <w:color w:val="373737" w:themeColor="background1" w:themeShade="40"/>
                <w:szCs w:val="18"/>
              </w:rPr>
              <w:sym w:font="Wingdings" w:char="F0FC"/>
            </w:r>
          </w:p>
        </w:tc>
        <w:tc>
          <w:tcPr>
            <w:tcW w:w="1134" w:type="dxa"/>
            <w:shd w:val="clear" w:color="auto" w:fill="auto"/>
          </w:tcPr>
          <w:p w14:paraId="3A189E3E" w14:textId="77777777" w:rsidR="002B2ED6" w:rsidRPr="003726BE" w:rsidRDefault="002B2ED6" w:rsidP="00AA71F1">
            <w:pPr>
              <w:suppressAutoHyphens/>
              <w:spacing w:before="40" w:after="40" w:line="240" w:lineRule="auto"/>
              <w:rPr>
                <w:rFonts w:cs="Arial"/>
                <w:color w:val="373737" w:themeColor="background1" w:themeShade="40"/>
                <w:szCs w:val="18"/>
              </w:rPr>
            </w:pPr>
            <w:r w:rsidRPr="003726BE">
              <w:rPr>
                <w:rFonts w:cs="Arial"/>
                <w:color w:val="373737" w:themeColor="background1" w:themeShade="40"/>
                <w:szCs w:val="18"/>
              </w:rPr>
              <w:sym w:font="Wingdings" w:char="F0FC"/>
            </w:r>
          </w:p>
        </w:tc>
        <w:tc>
          <w:tcPr>
            <w:tcW w:w="1134" w:type="dxa"/>
            <w:shd w:val="clear" w:color="auto" w:fill="auto"/>
          </w:tcPr>
          <w:p w14:paraId="5D7B8FD5" w14:textId="77777777" w:rsidR="002B2ED6" w:rsidRPr="003726BE" w:rsidRDefault="002B2ED6" w:rsidP="00AA71F1">
            <w:pPr>
              <w:suppressAutoHyphens/>
              <w:spacing w:before="40" w:after="40" w:line="240" w:lineRule="auto"/>
              <w:rPr>
                <w:rFonts w:cs="Arial"/>
                <w:color w:val="373737" w:themeColor="background1" w:themeShade="40"/>
                <w:szCs w:val="18"/>
              </w:rPr>
            </w:pPr>
            <w:r w:rsidRPr="003726BE">
              <w:rPr>
                <w:rFonts w:cs="Arial"/>
                <w:color w:val="373737" w:themeColor="background1" w:themeShade="40"/>
                <w:szCs w:val="18"/>
              </w:rPr>
              <w:sym w:font="Wingdings" w:char="F0FC"/>
            </w:r>
          </w:p>
        </w:tc>
      </w:tr>
      <w:tr w:rsidR="002B2ED6" w:rsidRPr="003726BE" w14:paraId="4BF17F65" w14:textId="77777777" w:rsidTr="00AA71F1">
        <w:trPr>
          <w:trHeight w:val="180"/>
          <w:jc w:val="center"/>
        </w:trPr>
        <w:tc>
          <w:tcPr>
            <w:tcW w:w="425" w:type="dxa"/>
            <w:shd w:val="clear" w:color="auto" w:fill="auto"/>
          </w:tcPr>
          <w:p w14:paraId="6F720AE9" w14:textId="77777777" w:rsidR="002B2ED6" w:rsidRPr="003726BE" w:rsidRDefault="002B2ED6" w:rsidP="00AA71F1">
            <w:pPr>
              <w:suppressAutoHyphens/>
              <w:spacing w:before="40" w:after="40" w:line="240" w:lineRule="auto"/>
              <w:rPr>
                <w:rFonts w:cs="Arial"/>
                <w:color w:val="373737" w:themeColor="background1" w:themeShade="40"/>
                <w:szCs w:val="18"/>
              </w:rPr>
            </w:pPr>
            <w:r w:rsidRPr="003726BE">
              <w:rPr>
                <w:color w:val="373737" w:themeColor="background1" w:themeShade="40"/>
              </w:rPr>
              <w:t>3</w:t>
            </w:r>
          </w:p>
        </w:tc>
        <w:tc>
          <w:tcPr>
            <w:tcW w:w="6662" w:type="dxa"/>
            <w:shd w:val="clear" w:color="auto" w:fill="auto"/>
          </w:tcPr>
          <w:p w14:paraId="05197639" w14:textId="77777777" w:rsidR="002B2ED6" w:rsidRPr="00CB34A3" w:rsidRDefault="002B2ED6" w:rsidP="00AA71F1">
            <w:pPr>
              <w:suppressAutoHyphens/>
              <w:spacing w:before="40" w:after="40" w:line="240" w:lineRule="auto"/>
              <w:rPr>
                <w:rFonts w:cs="Arial"/>
                <w:color w:val="373737" w:themeColor="background1" w:themeShade="40"/>
                <w:szCs w:val="18"/>
                <w:lang w:val="en-GB"/>
              </w:rPr>
            </w:pPr>
            <w:r w:rsidRPr="00CB34A3">
              <w:rPr>
                <w:color w:val="373737" w:themeColor="background1" w:themeShade="40"/>
                <w:lang w:val="en-GB"/>
              </w:rPr>
              <w:t xml:space="preserve">Issues which affect the performance (quality and effectiveness of the RDP’s implementation) of the programme and the measures taken </w:t>
            </w:r>
          </w:p>
        </w:tc>
        <w:tc>
          <w:tcPr>
            <w:tcW w:w="2694" w:type="dxa"/>
            <w:shd w:val="clear" w:color="auto" w:fill="auto"/>
          </w:tcPr>
          <w:p w14:paraId="3CD919A3" w14:textId="77777777" w:rsidR="002B2ED6" w:rsidRPr="00CB34A3" w:rsidRDefault="002B2ED6" w:rsidP="00AA71F1">
            <w:pPr>
              <w:suppressAutoHyphens/>
              <w:spacing w:before="40" w:after="40" w:line="240" w:lineRule="auto"/>
              <w:rPr>
                <w:rFonts w:cs="Arial"/>
                <w:color w:val="373737" w:themeColor="background1" w:themeShade="40"/>
                <w:szCs w:val="18"/>
                <w:lang w:val="en-GB"/>
              </w:rPr>
            </w:pPr>
          </w:p>
        </w:tc>
        <w:tc>
          <w:tcPr>
            <w:tcW w:w="1129" w:type="dxa"/>
            <w:shd w:val="clear" w:color="auto" w:fill="auto"/>
          </w:tcPr>
          <w:p w14:paraId="6FB94D24" w14:textId="77777777" w:rsidR="002B2ED6" w:rsidRPr="003726BE" w:rsidRDefault="002B2ED6" w:rsidP="00AA71F1">
            <w:pPr>
              <w:suppressAutoHyphens/>
              <w:spacing w:before="40" w:after="40" w:line="240" w:lineRule="auto"/>
              <w:rPr>
                <w:rFonts w:cs="Arial"/>
                <w:color w:val="373737" w:themeColor="background1" w:themeShade="40"/>
                <w:szCs w:val="18"/>
              </w:rPr>
            </w:pPr>
            <w:r w:rsidRPr="003726BE">
              <w:rPr>
                <w:rFonts w:cs="Arial"/>
                <w:color w:val="373737" w:themeColor="background1" w:themeShade="40"/>
                <w:szCs w:val="18"/>
              </w:rPr>
              <w:sym w:font="Wingdings" w:char="F0FC"/>
            </w:r>
          </w:p>
        </w:tc>
        <w:tc>
          <w:tcPr>
            <w:tcW w:w="1134" w:type="dxa"/>
            <w:shd w:val="clear" w:color="auto" w:fill="auto"/>
          </w:tcPr>
          <w:p w14:paraId="32D1507F" w14:textId="77777777" w:rsidR="002B2ED6" w:rsidRPr="003726BE" w:rsidRDefault="002B2ED6" w:rsidP="00AA71F1">
            <w:pPr>
              <w:suppressAutoHyphens/>
              <w:spacing w:before="40" w:after="40" w:line="240" w:lineRule="auto"/>
              <w:rPr>
                <w:rFonts w:cs="Arial"/>
                <w:color w:val="373737" w:themeColor="background1" w:themeShade="40"/>
                <w:szCs w:val="18"/>
              </w:rPr>
            </w:pPr>
            <w:r w:rsidRPr="003726BE">
              <w:rPr>
                <w:rFonts w:cs="Arial"/>
                <w:color w:val="373737" w:themeColor="background1" w:themeShade="40"/>
                <w:szCs w:val="18"/>
              </w:rPr>
              <w:sym w:font="Wingdings" w:char="F0FC"/>
            </w:r>
          </w:p>
        </w:tc>
        <w:tc>
          <w:tcPr>
            <w:tcW w:w="1134" w:type="dxa"/>
            <w:shd w:val="clear" w:color="auto" w:fill="auto"/>
          </w:tcPr>
          <w:p w14:paraId="2309D9B3" w14:textId="77777777" w:rsidR="002B2ED6" w:rsidRPr="003726BE" w:rsidRDefault="002B2ED6" w:rsidP="00AA71F1">
            <w:pPr>
              <w:suppressAutoHyphens/>
              <w:spacing w:before="40" w:after="40" w:line="240" w:lineRule="auto"/>
              <w:rPr>
                <w:rFonts w:cs="Arial"/>
                <w:color w:val="373737" w:themeColor="background1" w:themeShade="40"/>
                <w:szCs w:val="18"/>
              </w:rPr>
            </w:pPr>
            <w:r w:rsidRPr="003726BE">
              <w:rPr>
                <w:rFonts w:cs="Arial"/>
                <w:color w:val="373737" w:themeColor="background1" w:themeShade="40"/>
                <w:szCs w:val="18"/>
              </w:rPr>
              <w:sym w:font="Wingdings" w:char="F0FC"/>
            </w:r>
          </w:p>
        </w:tc>
      </w:tr>
      <w:tr w:rsidR="002B2ED6" w:rsidRPr="003726BE" w14:paraId="48FB8B9B" w14:textId="77777777" w:rsidTr="00AA71F1">
        <w:trPr>
          <w:trHeight w:val="180"/>
          <w:jc w:val="center"/>
        </w:trPr>
        <w:tc>
          <w:tcPr>
            <w:tcW w:w="425" w:type="dxa"/>
            <w:shd w:val="clear" w:color="auto" w:fill="auto"/>
          </w:tcPr>
          <w:p w14:paraId="0AB11797" w14:textId="77777777" w:rsidR="002B2ED6" w:rsidRPr="003726BE" w:rsidRDefault="002B2ED6" w:rsidP="00AA71F1">
            <w:pPr>
              <w:suppressAutoHyphens/>
              <w:spacing w:before="40" w:after="40" w:line="240" w:lineRule="auto"/>
              <w:rPr>
                <w:rFonts w:cs="Arial"/>
                <w:color w:val="373737" w:themeColor="background1" w:themeShade="40"/>
                <w:szCs w:val="18"/>
              </w:rPr>
            </w:pPr>
            <w:r w:rsidRPr="003726BE">
              <w:rPr>
                <w:color w:val="373737" w:themeColor="background1" w:themeShade="40"/>
              </w:rPr>
              <w:lastRenderedPageBreak/>
              <w:t>4</w:t>
            </w:r>
          </w:p>
        </w:tc>
        <w:tc>
          <w:tcPr>
            <w:tcW w:w="6662" w:type="dxa"/>
            <w:shd w:val="clear" w:color="auto" w:fill="auto"/>
          </w:tcPr>
          <w:p w14:paraId="46E2C3C9" w14:textId="77777777" w:rsidR="002B2ED6" w:rsidRPr="00CB34A3" w:rsidRDefault="002B2ED6" w:rsidP="00BE40D4">
            <w:pPr>
              <w:suppressAutoHyphens/>
              <w:spacing w:before="40" w:after="40" w:line="240" w:lineRule="auto"/>
              <w:rPr>
                <w:rFonts w:cs="Arial"/>
                <w:color w:val="373737" w:themeColor="background1" w:themeShade="40"/>
                <w:szCs w:val="18"/>
                <w:lang w:val="en-GB"/>
              </w:rPr>
            </w:pPr>
            <w:r w:rsidRPr="00CB34A3">
              <w:rPr>
                <w:color w:val="373737" w:themeColor="background1" w:themeShade="40"/>
                <w:lang w:val="en-GB"/>
              </w:rPr>
              <w:t>Steps taken to implement technical assistance (including the establishment of the NRN) and programme publicity requirements</w:t>
            </w:r>
          </w:p>
        </w:tc>
        <w:tc>
          <w:tcPr>
            <w:tcW w:w="2694" w:type="dxa"/>
            <w:shd w:val="clear" w:color="auto" w:fill="auto"/>
          </w:tcPr>
          <w:p w14:paraId="047DDE40" w14:textId="77777777" w:rsidR="002B2ED6" w:rsidRPr="003726BE" w:rsidRDefault="002B2ED6" w:rsidP="00AA71F1">
            <w:pPr>
              <w:suppressAutoHyphens/>
              <w:spacing w:before="40" w:after="40" w:line="240" w:lineRule="auto"/>
              <w:rPr>
                <w:rFonts w:cs="Arial"/>
                <w:color w:val="373737" w:themeColor="background1" w:themeShade="40"/>
                <w:szCs w:val="18"/>
              </w:rPr>
            </w:pPr>
            <w:r w:rsidRPr="003726BE">
              <w:rPr>
                <w:color w:val="373737" w:themeColor="background1" w:themeShade="40"/>
              </w:rPr>
              <w:t>1305/2014, Art. 54.1</w:t>
            </w:r>
          </w:p>
          <w:p w14:paraId="6BC3E3C3" w14:textId="77777777" w:rsidR="002B2ED6" w:rsidRPr="003726BE" w:rsidRDefault="002B2ED6" w:rsidP="00AA71F1">
            <w:pPr>
              <w:suppressAutoHyphens/>
              <w:spacing w:before="40" w:after="40" w:line="240" w:lineRule="auto"/>
              <w:rPr>
                <w:rFonts w:cs="Arial"/>
                <w:color w:val="373737" w:themeColor="background1" w:themeShade="40"/>
                <w:szCs w:val="18"/>
              </w:rPr>
            </w:pPr>
            <w:r w:rsidRPr="003726BE">
              <w:rPr>
                <w:color w:val="373737" w:themeColor="background1" w:themeShade="40"/>
              </w:rPr>
              <w:t xml:space="preserve">808/2014, Art. 13,  </w:t>
            </w:r>
          </w:p>
        </w:tc>
        <w:tc>
          <w:tcPr>
            <w:tcW w:w="1129" w:type="dxa"/>
            <w:shd w:val="clear" w:color="auto" w:fill="auto"/>
          </w:tcPr>
          <w:p w14:paraId="5505979D" w14:textId="77777777" w:rsidR="002B2ED6" w:rsidRPr="003726BE" w:rsidRDefault="002B2ED6" w:rsidP="00AA71F1">
            <w:pPr>
              <w:suppressAutoHyphens/>
              <w:spacing w:before="40" w:after="40" w:line="240" w:lineRule="auto"/>
              <w:rPr>
                <w:rFonts w:cs="Arial"/>
                <w:color w:val="373737" w:themeColor="background1" w:themeShade="40"/>
                <w:szCs w:val="18"/>
              </w:rPr>
            </w:pPr>
          </w:p>
        </w:tc>
        <w:tc>
          <w:tcPr>
            <w:tcW w:w="1134" w:type="dxa"/>
            <w:shd w:val="clear" w:color="auto" w:fill="auto"/>
          </w:tcPr>
          <w:p w14:paraId="529651E7" w14:textId="77777777" w:rsidR="002B2ED6" w:rsidRPr="003726BE" w:rsidRDefault="002B2ED6" w:rsidP="00AA71F1">
            <w:pPr>
              <w:suppressAutoHyphens/>
              <w:spacing w:before="40" w:after="40" w:line="240" w:lineRule="auto"/>
              <w:rPr>
                <w:rFonts w:cs="Arial"/>
                <w:color w:val="373737" w:themeColor="background1" w:themeShade="40"/>
                <w:szCs w:val="18"/>
              </w:rPr>
            </w:pPr>
          </w:p>
        </w:tc>
        <w:tc>
          <w:tcPr>
            <w:tcW w:w="1134" w:type="dxa"/>
            <w:shd w:val="clear" w:color="auto" w:fill="auto"/>
          </w:tcPr>
          <w:p w14:paraId="6BD0EC06" w14:textId="77777777" w:rsidR="002B2ED6" w:rsidRPr="003726BE" w:rsidRDefault="002B2ED6" w:rsidP="00AA71F1">
            <w:pPr>
              <w:suppressAutoHyphens/>
              <w:spacing w:before="40" w:after="40" w:line="240" w:lineRule="auto"/>
              <w:rPr>
                <w:rFonts w:cs="Arial"/>
                <w:color w:val="373737" w:themeColor="background1" w:themeShade="40"/>
                <w:szCs w:val="18"/>
              </w:rPr>
            </w:pPr>
          </w:p>
        </w:tc>
      </w:tr>
      <w:tr w:rsidR="002B2ED6" w:rsidRPr="003726BE" w14:paraId="4669D3B7" w14:textId="77777777" w:rsidTr="00AA71F1">
        <w:trPr>
          <w:trHeight w:val="180"/>
          <w:jc w:val="center"/>
        </w:trPr>
        <w:tc>
          <w:tcPr>
            <w:tcW w:w="425" w:type="dxa"/>
            <w:shd w:val="clear" w:color="auto" w:fill="auto"/>
          </w:tcPr>
          <w:p w14:paraId="752782A9" w14:textId="77777777" w:rsidR="002B2ED6" w:rsidRPr="003726BE" w:rsidRDefault="002B2ED6" w:rsidP="00AA71F1">
            <w:pPr>
              <w:suppressAutoHyphens/>
              <w:spacing w:before="40" w:after="40" w:line="240" w:lineRule="auto"/>
              <w:rPr>
                <w:rFonts w:cs="Arial"/>
                <w:color w:val="373737" w:themeColor="background1" w:themeShade="40"/>
                <w:szCs w:val="18"/>
              </w:rPr>
            </w:pPr>
            <w:r w:rsidRPr="003726BE">
              <w:rPr>
                <w:color w:val="373737" w:themeColor="background1" w:themeShade="40"/>
              </w:rPr>
              <w:t>a)</w:t>
            </w:r>
          </w:p>
        </w:tc>
        <w:tc>
          <w:tcPr>
            <w:tcW w:w="6662" w:type="dxa"/>
            <w:shd w:val="clear" w:color="auto" w:fill="auto"/>
          </w:tcPr>
          <w:p w14:paraId="07CC86EF" w14:textId="77777777" w:rsidR="002B2ED6" w:rsidRPr="00CB34A3" w:rsidRDefault="002B2ED6" w:rsidP="00AA71F1">
            <w:pPr>
              <w:suppressAutoHyphens/>
              <w:spacing w:before="40" w:after="40" w:line="240" w:lineRule="auto"/>
              <w:rPr>
                <w:rFonts w:cs="Arial"/>
                <w:color w:val="373737" w:themeColor="background1" w:themeShade="40"/>
                <w:szCs w:val="18"/>
                <w:lang w:val="en-GB"/>
              </w:rPr>
            </w:pPr>
            <w:r w:rsidRPr="00CB34A3">
              <w:rPr>
                <w:color w:val="373737" w:themeColor="background1" w:themeShade="40"/>
                <w:lang w:val="en-GB"/>
              </w:rPr>
              <w:t>In case of coverage under the technical assistance of the establishment and functioning of the NRN, the report shall describe actions taken and the state of play with regard to the establishment of the NRN and the implementation of this action plan</w:t>
            </w:r>
          </w:p>
        </w:tc>
        <w:tc>
          <w:tcPr>
            <w:tcW w:w="2694" w:type="dxa"/>
            <w:shd w:val="clear" w:color="auto" w:fill="auto"/>
          </w:tcPr>
          <w:p w14:paraId="4C6123EA" w14:textId="77777777" w:rsidR="002B2ED6" w:rsidRPr="003726BE" w:rsidRDefault="002B2ED6" w:rsidP="00AA71F1">
            <w:pPr>
              <w:suppressAutoHyphens/>
              <w:spacing w:before="40" w:after="40" w:line="240" w:lineRule="auto"/>
              <w:rPr>
                <w:rFonts w:cs="Arial"/>
                <w:color w:val="373737" w:themeColor="background1" w:themeShade="40"/>
                <w:szCs w:val="18"/>
              </w:rPr>
            </w:pPr>
            <w:r w:rsidRPr="003726BE">
              <w:rPr>
                <w:color w:val="373737" w:themeColor="background1" w:themeShade="40"/>
              </w:rPr>
              <w:t>1305/2014, Art. 54.3</w:t>
            </w:r>
          </w:p>
        </w:tc>
        <w:tc>
          <w:tcPr>
            <w:tcW w:w="1129" w:type="dxa"/>
            <w:shd w:val="clear" w:color="auto" w:fill="auto"/>
          </w:tcPr>
          <w:p w14:paraId="45AB9E7A" w14:textId="77777777" w:rsidR="002B2ED6" w:rsidRPr="003726BE" w:rsidRDefault="002B2ED6" w:rsidP="00AA71F1">
            <w:pPr>
              <w:suppressAutoHyphens/>
              <w:spacing w:before="40" w:after="40" w:line="240" w:lineRule="auto"/>
              <w:rPr>
                <w:rFonts w:cs="Arial"/>
                <w:color w:val="373737" w:themeColor="background1" w:themeShade="40"/>
                <w:szCs w:val="18"/>
              </w:rPr>
            </w:pPr>
            <w:r w:rsidRPr="003726BE">
              <w:rPr>
                <w:rFonts w:cs="Arial"/>
                <w:color w:val="373737" w:themeColor="background1" w:themeShade="40"/>
                <w:szCs w:val="18"/>
              </w:rPr>
              <w:sym w:font="Wingdings" w:char="F0FC"/>
            </w:r>
          </w:p>
        </w:tc>
        <w:tc>
          <w:tcPr>
            <w:tcW w:w="1134" w:type="dxa"/>
            <w:shd w:val="clear" w:color="auto" w:fill="auto"/>
          </w:tcPr>
          <w:p w14:paraId="63EB7952" w14:textId="77777777" w:rsidR="002B2ED6" w:rsidRPr="003726BE" w:rsidRDefault="002B2ED6" w:rsidP="00AA71F1">
            <w:pPr>
              <w:suppressAutoHyphens/>
              <w:spacing w:before="40" w:after="40" w:line="240" w:lineRule="auto"/>
              <w:rPr>
                <w:rFonts w:cs="Arial"/>
                <w:color w:val="373737" w:themeColor="background1" w:themeShade="40"/>
                <w:szCs w:val="18"/>
              </w:rPr>
            </w:pPr>
            <w:r w:rsidRPr="003726BE">
              <w:rPr>
                <w:rFonts w:cs="Arial"/>
                <w:color w:val="373737" w:themeColor="background1" w:themeShade="40"/>
                <w:szCs w:val="18"/>
              </w:rPr>
              <w:sym w:font="Wingdings" w:char="F0FC"/>
            </w:r>
          </w:p>
        </w:tc>
        <w:tc>
          <w:tcPr>
            <w:tcW w:w="1134" w:type="dxa"/>
            <w:shd w:val="clear" w:color="auto" w:fill="auto"/>
          </w:tcPr>
          <w:p w14:paraId="5B9A382C" w14:textId="77777777" w:rsidR="002B2ED6" w:rsidRPr="003726BE" w:rsidRDefault="002B2ED6" w:rsidP="00AA71F1">
            <w:pPr>
              <w:suppressAutoHyphens/>
              <w:spacing w:before="40" w:after="40" w:line="240" w:lineRule="auto"/>
              <w:rPr>
                <w:rFonts w:cs="Arial"/>
                <w:color w:val="373737" w:themeColor="background1" w:themeShade="40"/>
                <w:szCs w:val="18"/>
              </w:rPr>
            </w:pPr>
            <w:r w:rsidRPr="003726BE">
              <w:rPr>
                <w:rFonts w:cs="Arial"/>
                <w:color w:val="373737" w:themeColor="background1" w:themeShade="40"/>
                <w:szCs w:val="18"/>
              </w:rPr>
              <w:sym w:font="Wingdings" w:char="F0FC"/>
            </w:r>
          </w:p>
        </w:tc>
      </w:tr>
      <w:tr w:rsidR="002B2ED6" w:rsidRPr="003726BE" w14:paraId="2E7B0291" w14:textId="77777777" w:rsidTr="00AA71F1">
        <w:trPr>
          <w:trHeight w:val="180"/>
          <w:jc w:val="center"/>
        </w:trPr>
        <w:tc>
          <w:tcPr>
            <w:tcW w:w="425" w:type="dxa"/>
            <w:shd w:val="clear" w:color="auto" w:fill="auto"/>
          </w:tcPr>
          <w:p w14:paraId="64EBE440" w14:textId="77777777" w:rsidR="002B2ED6" w:rsidRPr="003726BE" w:rsidRDefault="002B2ED6" w:rsidP="00AA71F1">
            <w:pPr>
              <w:suppressAutoHyphens/>
              <w:spacing w:before="40" w:after="40" w:line="240" w:lineRule="auto"/>
              <w:rPr>
                <w:rFonts w:cs="Arial"/>
                <w:color w:val="373737" w:themeColor="background1" w:themeShade="40"/>
                <w:szCs w:val="18"/>
              </w:rPr>
            </w:pPr>
            <w:r w:rsidRPr="003726BE">
              <w:rPr>
                <w:color w:val="373737" w:themeColor="background1" w:themeShade="40"/>
              </w:rPr>
              <w:t>b)</w:t>
            </w:r>
          </w:p>
        </w:tc>
        <w:tc>
          <w:tcPr>
            <w:tcW w:w="6662" w:type="dxa"/>
            <w:shd w:val="clear" w:color="auto" w:fill="auto"/>
          </w:tcPr>
          <w:p w14:paraId="48A0641C" w14:textId="77777777" w:rsidR="002B2ED6" w:rsidRPr="00CB34A3" w:rsidRDefault="002B2ED6" w:rsidP="00AA71F1">
            <w:pPr>
              <w:suppressAutoHyphens/>
              <w:spacing w:before="40" w:after="40" w:line="240" w:lineRule="auto"/>
              <w:rPr>
                <w:rFonts w:cs="Arial"/>
                <w:color w:val="373737" w:themeColor="background1" w:themeShade="40"/>
                <w:szCs w:val="18"/>
                <w:lang w:val="en-GB"/>
              </w:rPr>
            </w:pPr>
            <w:r w:rsidRPr="00CB34A3">
              <w:rPr>
                <w:color w:val="373737" w:themeColor="background1" w:themeShade="40"/>
                <w:lang w:val="en-GB"/>
              </w:rPr>
              <w:t>Steps taken to ensure that the programme is publicised</w:t>
            </w:r>
          </w:p>
        </w:tc>
        <w:tc>
          <w:tcPr>
            <w:tcW w:w="2694" w:type="dxa"/>
            <w:shd w:val="clear" w:color="auto" w:fill="auto"/>
          </w:tcPr>
          <w:p w14:paraId="4C2D5F7C" w14:textId="77777777" w:rsidR="002B2ED6" w:rsidRPr="003726BE" w:rsidRDefault="002B2ED6" w:rsidP="00AA71F1">
            <w:pPr>
              <w:suppressAutoHyphens/>
              <w:spacing w:before="40" w:after="40" w:line="240" w:lineRule="auto"/>
              <w:rPr>
                <w:rFonts w:cs="Arial"/>
                <w:color w:val="373737" w:themeColor="background1" w:themeShade="40"/>
                <w:szCs w:val="18"/>
              </w:rPr>
            </w:pPr>
            <w:r w:rsidRPr="003726BE">
              <w:rPr>
                <w:color w:val="373737" w:themeColor="background1" w:themeShade="40"/>
              </w:rPr>
              <w:t>1305/2014, Art. 8.1m) iii),</w:t>
            </w:r>
          </w:p>
        </w:tc>
        <w:tc>
          <w:tcPr>
            <w:tcW w:w="1129" w:type="dxa"/>
            <w:shd w:val="clear" w:color="auto" w:fill="auto"/>
          </w:tcPr>
          <w:p w14:paraId="03B505AC" w14:textId="77777777" w:rsidR="002B2ED6" w:rsidRPr="003726BE" w:rsidRDefault="002B2ED6" w:rsidP="00AA71F1">
            <w:pPr>
              <w:suppressAutoHyphens/>
              <w:spacing w:before="40" w:after="40" w:line="240" w:lineRule="auto"/>
              <w:rPr>
                <w:rFonts w:cs="Arial"/>
                <w:color w:val="373737" w:themeColor="background1" w:themeShade="40"/>
                <w:szCs w:val="18"/>
              </w:rPr>
            </w:pPr>
            <w:r w:rsidRPr="003726BE">
              <w:rPr>
                <w:rFonts w:cs="Arial"/>
                <w:color w:val="373737" w:themeColor="background1" w:themeShade="40"/>
                <w:szCs w:val="18"/>
              </w:rPr>
              <w:sym w:font="Wingdings" w:char="F0FC"/>
            </w:r>
          </w:p>
        </w:tc>
        <w:tc>
          <w:tcPr>
            <w:tcW w:w="1134" w:type="dxa"/>
            <w:shd w:val="clear" w:color="auto" w:fill="auto"/>
          </w:tcPr>
          <w:p w14:paraId="52A740FE" w14:textId="77777777" w:rsidR="002B2ED6" w:rsidRPr="003726BE" w:rsidRDefault="002B2ED6" w:rsidP="00AA71F1">
            <w:pPr>
              <w:suppressAutoHyphens/>
              <w:spacing w:before="40" w:after="40" w:line="240" w:lineRule="auto"/>
              <w:rPr>
                <w:rFonts w:cs="Arial"/>
                <w:color w:val="373737" w:themeColor="background1" w:themeShade="40"/>
                <w:szCs w:val="18"/>
              </w:rPr>
            </w:pPr>
            <w:r w:rsidRPr="003726BE">
              <w:rPr>
                <w:rFonts w:cs="Arial"/>
                <w:color w:val="373737" w:themeColor="background1" w:themeShade="40"/>
                <w:szCs w:val="18"/>
              </w:rPr>
              <w:sym w:font="Wingdings" w:char="F0FC"/>
            </w:r>
          </w:p>
        </w:tc>
        <w:tc>
          <w:tcPr>
            <w:tcW w:w="1134" w:type="dxa"/>
            <w:shd w:val="clear" w:color="auto" w:fill="auto"/>
          </w:tcPr>
          <w:p w14:paraId="7575423D" w14:textId="77777777" w:rsidR="002B2ED6" w:rsidRPr="003726BE" w:rsidRDefault="002B2ED6" w:rsidP="00AA71F1">
            <w:pPr>
              <w:suppressAutoHyphens/>
              <w:spacing w:before="40" w:after="40" w:line="240" w:lineRule="auto"/>
              <w:rPr>
                <w:rFonts w:cs="Arial"/>
                <w:color w:val="373737" w:themeColor="background1" w:themeShade="40"/>
                <w:szCs w:val="18"/>
              </w:rPr>
            </w:pPr>
            <w:r w:rsidRPr="003726BE">
              <w:rPr>
                <w:rFonts w:cs="Arial"/>
                <w:color w:val="373737" w:themeColor="background1" w:themeShade="40"/>
                <w:szCs w:val="18"/>
              </w:rPr>
              <w:sym w:font="Wingdings" w:char="F0FC"/>
            </w:r>
          </w:p>
        </w:tc>
      </w:tr>
      <w:tr w:rsidR="002B2ED6" w:rsidRPr="003726BE" w14:paraId="0DCB4DEC" w14:textId="77777777" w:rsidTr="00AA71F1">
        <w:trPr>
          <w:trHeight w:val="509"/>
          <w:jc w:val="center"/>
        </w:trPr>
        <w:tc>
          <w:tcPr>
            <w:tcW w:w="425" w:type="dxa"/>
            <w:shd w:val="clear" w:color="auto" w:fill="auto"/>
          </w:tcPr>
          <w:p w14:paraId="401E3770" w14:textId="77777777" w:rsidR="002B2ED6" w:rsidRPr="003726BE" w:rsidRDefault="002B2ED6" w:rsidP="00AA71F1">
            <w:pPr>
              <w:suppressAutoHyphens/>
              <w:spacing w:before="40" w:after="40" w:line="240" w:lineRule="auto"/>
              <w:rPr>
                <w:rFonts w:cs="Arial"/>
                <w:color w:val="373737" w:themeColor="background1" w:themeShade="40"/>
                <w:szCs w:val="18"/>
              </w:rPr>
            </w:pPr>
            <w:r w:rsidRPr="003726BE">
              <w:rPr>
                <w:color w:val="373737" w:themeColor="background1" w:themeShade="40"/>
              </w:rPr>
              <w:t>5</w:t>
            </w:r>
          </w:p>
        </w:tc>
        <w:tc>
          <w:tcPr>
            <w:tcW w:w="6662" w:type="dxa"/>
            <w:shd w:val="clear" w:color="auto" w:fill="auto"/>
          </w:tcPr>
          <w:p w14:paraId="62419775" w14:textId="77777777" w:rsidR="002B2ED6" w:rsidRPr="00CB34A3" w:rsidRDefault="002B2ED6" w:rsidP="00AA71F1">
            <w:pPr>
              <w:suppressAutoHyphens/>
              <w:spacing w:before="40" w:after="40" w:line="240" w:lineRule="auto"/>
              <w:rPr>
                <w:rFonts w:cs="Arial"/>
                <w:color w:val="373737" w:themeColor="background1" w:themeShade="40"/>
                <w:szCs w:val="18"/>
                <w:lang w:val="en-GB"/>
              </w:rPr>
            </w:pPr>
            <w:r w:rsidRPr="00CB34A3">
              <w:rPr>
                <w:color w:val="373737" w:themeColor="background1" w:themeShade="40"/>
                <w:lang w:val="en-GB"/>
              </w:rPr>
              <w:t xml:space="preserve">Actions taken to fulfil ex ante conditionalities (where relevant), description by priority/focus area/measure.   </w:t>
            </w:r>
          </w:p>
        </w:tc>
        <w:tc>
          <w:tcPr>
            <w:tcW w:w="2694" w:type="dxa"/>
            <w:shd w:val="clear" w:color="auto" w:fill="auto"/>
          </w:tcPr>
          <w:p w14:paraId="095C4032" w14:textId="77777777" w:rsidR="002B2ED6" w:rsidRPr="003726BE" w:rsidRDefault="002B2ED6" w:rsidP="00AA71F1">
            <w:pPr>
              <w:suppressAutoHyphens/>
              <w:spacing w:before="40" w:after="40" w:line="240" w:lineRule="auto"/>
              <w:rPr>
                <w:rFonts w:cs="Arial"/>
                <w:color w:val="373737" w:themeColor="background1" w:themeShade="40"/>
                <w:szCs w:val="18"/>
              </w:rPr>
            </w:pPr>
            <w:r w:rsidRPr="003726BE">
              <w:rPr>
                <w:color w:val="373737" w:themeColor="background1" w:themeShade="40"/>
              </w:rPr>
              <w:t>1303/2013 Art. 19.1, Art 50.2</w:t>
            </w:r>
          </w:p>
          <w:p w14:paraId="331765BA" w14:textId="77777777" w:rsidR="002B2ED6" w:rsidRPr="003726BE" w:rsidRDefault="002B2ED6" w:rsidP="00AA71F1">
            <w:pPr>
              <w:suppressAutoHyphens/>
              <w:spacing w:before="40" w:after="40" w:line="240" w:lineRule="auto"/>
              <w:rPr>
                <w:rFonts w:cs="Arial"/>
                <w:color w:val="373737" w:themeColor="background1" w:themeShade="40"/>
                <w:szCs w:val="18"/>
              </w:rPr>
            </w:pPr>
          </w:p>
        </w:tc>
        <w:tc>
          <w:tcPr>
            <w:tcW w:w="1129" w:type="dxa"/>
            <w:shd w:val="clear" w:color="auto" w:fill="auto"/>
          </w:tcPr>
          <w:p w14:paraId="23A666D1" w14:textId="77777777" w:rsidR="002B2ED6" w:rsidRPr="003726BE" w:rsidRDefault="002B2ED6" w:rsidP="00AA71F1">
            <w:pPr>
              <w:suppressAutoHyphens/>
              <w:spacing w:before="40" w:after="40" w:line="240" w:lineRule="auto"/>
              <w:rPr>
                <w:rFonts w:cs="Arial"/>
                <w:color w:val="373737" w:themeColor="background1" w:themeShade="40"/>
                <w:szCs w:val="18"/>
              </w:rPr>
            </w:pPr>
            <w:r w:rsidRPr="003726BE">
              <w:rPr>
                <w:rFonts w:cs="Arial"/>
                <w:color w:val="373737" w:themeColor="background1" w:themeShade="40"/>
                <w:szCs w:val="18"/>
              </w:rPr>
              <w:sym w:font="Wingdings" w:char="F0FC"/>
            </w:r>
          </w:p>
        </w:tc>
        <w:tc>
          <w:tcPr>
            <w:tcW w:w="1134" w:type="dxa"/>
            <w:shd w:val="clear" w:color="auto" w:fill="auto"/>
          </w:tcPr>
          <w:p w14:paraId="41C31606" w14:textId="77777777" w:rsidR="002B2ED6" w:rsidRPr="003726BE" w:rsidRDefault="002B2ED6" w:rsidP="00AA71F1">
            <w:pPr>
              <w:suppressAutoHyphens/>
              <w:spacing w:before="40" w:after="40" w:line="240" w:lineRule="auto"/>
              <w:rPr>
                <w:rFonts w:cs="Arial"/>
                <w:color w:val="373737" w:themeColor="background1" w:themeShade="40"/>
                <w:szCs w:val="18"/>
              </w:rPr>
            </w:pPr>
            <w:r w:rsidRPr="003726BE">
              <w:rPr>
                <w:rFonts w:cs="Arial"/>
                <w:color w:val="373737" w:themeColor="background1" w:themeShade="40"/>
                <w:szCs w:val="18"/>
              </w:rPr>
              <w:sym w:font="Wingdings" w:char="F0FC"/>
            </w:r>
          </w:p>
        </w:tc>
        <w:tc>
          <w:tcPr>
            <w:tcW w:w="1134" w:type="dxa"/>
            <w:shd w:val="clear" w:color="auto" w:fill="auto"/>
          </w:tcPr>
          <w:p w14:paraId="7430C38F" w14:textId="77777777" w:rsidR="002B2ED6" w:rsidRPr="003726BE" w:rsidRDefault="002B2ED6" w:rsidP="00AA71F1">
            <w:pPr>
              <w:suppressAutoHyphens/>
              <w:spacing w:before="40" w:after="40" w:line="240" w:lineRule="auto"/>
              <w:rPr>
                <w:rFonts w:cs="Arial"/>
                <w:color w:val="373737" w:themeColor="background1" w:themeShade="40"/>
                <w:szCs w:val="18"/>
              </w:rPr>
            </w:pPr>
          </w:p>
        </w:tc>
      </w:tr>
      <w:tr w:rsidR="002B2ED6" w:rsidRPr="003726BE" w14:paraId="09DF07AC" w14:textId="77777777" w:rsidTr="00AA71F1">
        <w:trPr>
          <w:trHeight w:val="180"/>
          <w:jc w:val="center"/>
        </w:trPr>
        <w:tc>
          <w:tcPr>
            <w:tcW w:w="425" w:type="dxa"/>
            <w:shd w:val="clear" w:color="auto" w:fill="auto"/>
          </w:tcPr>
          <w:p w14:paraId="4B790BB5" w14:textId="77777777" w:rsidR="002B2ED6" w:rsidRPr="003726BE" w:rsidRDefault="002B2ED6" w:rsidP="00AA71F1">
            <w:pPr>
              <w:suppressAutoHyphens/>
              <w:spacing w:before="40" w:after="40" w:line="240" w:lineRule="auto"/>
              <w:rPr>
                <w:rFonts w:cs="Arial"/>
                <w:color w:val="373737" w:themeColor="background1" w:themeShade="40"/>
                <w:szCs w:val="18"/>
              </w:rPr>
            </w:pPr>
            <w:r w:rsidRPr="003726BE">
              <w:rPr>
                <w:color w:val="373737" w:themeColor="background1" w:themeShade="40"/>
              </w:rPr>
              <w:t>6</w:t>
            </w:r>
          </w:p>
        </w:tc>
        <w:tc>
          <w:tcPr>
            <w:tcW w:w="6662" w:type="dxa"/>
            <w:shd w:val="clear" w:color="auto" w:fill="auto"/>
          </w:tcPr>
          <w:p w14:paraId="7DC308B3" w14:textId="77777777" w:rsidR="002B2ED6" w:rsidRPr="00CB34A3" w:rsidRDefault="002B2ED6" w:rsidP="00AA71F1">
            <w:pPr>
              <w:suppressAutoHyphens/>
              <w:spacing w:before="40" w:after="40" w:line="240" w:lineRule="auto"/>
              <w:rPr>
                <w:rFonts w:cs="Arial"/>
                <w:color w:val="373737" w:themeColor="background1" w:themeShade="40"/>
                <w:szCs w:val="18"/>
                <w:lang w:val="en-GB"/>
              </w:rPr>
            </w:pPr>
            <w:r w:rsidRPr="00CB34A3">
              <w:rPr>
                <w:color w:val="373737" w:themeColor="background1" w:themeShade="40"/>
                <w:lang w:val="en-GB"/>
              </w:rPr>
              <w:t>Description of the implementation of sub-programmes as measured by the common and specific indicators including on the progress achieved in relation to targets set in the indicator plan of the sub-programme</w:t>
            </w:r>
          </w:p>
        </w:tc>
        <w:tc>
          <w:tcPr>
            <w:tcW w:w="2694" w:type="dxa"/>
            <w:shd w:val="clear" w:color="auto" w:fill="auto"/>
          </w:tcPr>
          <w:p w14:paraId="3E31B516" w14:textId="77777777" w:rsidR="002B2ED6" w:rsidRPr="003726BE" w:rsidRDefault="002B2ED6" w:rsidP="00AA71F1">
            <w:pPr>
              <w:suppressAutoHyphens/>
              <w:spacing w:before="40" w:after="40" w:line="240" w:lineRule="auto"/>
              <w:rPr>
                <w:rFonts w:cs="Arial"/>
                <w:color w:val="373737" w:themeColor="background1" w:themeShade="40"/>
                <w:szCs w:val="18"/>
              </w:rPr>
            </w:pPr>
            <w:r w:rsidRPr="003726BE">
              <w:rPr>
                <w:color w:val="373737" w:themeColor="background1" w:themeShade="40"/>
              </w:rPr>
              <w:t>1305/2013</w:t>
            </w:r>
          </w:p>
          <w:p w14:paraId="13FCE2CA" w14:textId="77777777" w:rsidR="002B2ED6" w:rsidRPr="003726BE" w:rsidRDefault="002B2ED6" w:rsidP="00AA71F1">
            <w:pPr>
              <w:suppressAutoHyphens/>
              <w:spacing w:before="40" w:after="40" w:line="240" w:lineRule="auto"/>
              <w:rPr>
                <w:rFonts w:cs="Arial"/>
                <w:color w:val="373737" w:themeColor="background1" w:themeShade="40"/>
                <w:szCs w:val="18"/>
              </w:rPr>
            </w:pPr>
            <w:r w:rsidRPr="003726BE">
              <w:rPr>
                <w:color w:val="373737" w:themeColor="background1" w:themeShade="40"/>
              </w:rPr>
              <w:t xml:space="preserve">Art.7.1, 75.3 </w:t>
            </w:r>
          </w:p>
        </w:tc>
        <w:tc>
          <w:tcPr>
            <w:tcW w:w="1129" w:type="dxa"/>
            <w:shd w:val="clear" w:color="auto" w:fill="auto"/>
          </w:tcPr>
          <w:p w14:paraId="67951208" w14:textId="77777777" w:rsidR="002B2ED6" w:rsidRPr="003726BE" w:rsidRDefault="002B2ED6" w:rsidP="00AA71F1">
            <w:pPr>
              <w:suppressAutoHyphens/>
              <w:spacing w:before="40" w:after="40" w:line="240" w:lineRule="auto"/>
              <w:rPr>
                <w:rFonts w:cs="Arial"/>
                <w:color w:val="373737" w:themeColor="background1" w:themeShade="40"/>
                <w:szCs w:val="18"/>
              </w:rPr>
            </w:pPr>
          </w:p>
        </w:tc>
        <w:tc>
          <w:tcPr>
            <w:tcW w:w="1134" w:type="dxa"/>
            <w:shd w:val="clear" w:color="auto" w:fill="auto"/>
          </w:tcPr>
          <w:p w14:paraId="5CE1B504" w14:textId="77777777" w:rsidR="002B2ED6" w:rsidRPr="003726BE" w:rsidRDefault="002B2ED6" w:rsidP="00AA71F1">
            <w:pPr>
              <w:suppressAutoHyphens/>
              <w:spacing w:before="40" w:after="40" w:line="240" w:lineRule="auto"/>
              <w:rPr>
                <w:rFonts w:cs="Arial"/>
                <w:color w:val="373737" w:themeColor="background1" w:themeShade="40"/>
                <w:szCs w:val="18"/>
              </w:rPr>
            </w:pPr>
            <w:r w:rsidRPr="003726BE">
              <w:rPr>
                <w:rFonts w:cs="Arial"/>
                <w:color w:val="373737" w:themeColor="background1" w:themeShade="40"/>
                <w:szCs w:val="18"/>
              </w:rPr>
              <w:sym w:font="Wingdings" w:char="F0FC"/>
            </w:r>
          </w:p>
        </w:tc>
        <w:tc>
          <w:tcPr>
            <w:tcW w:w="1134" w:type="dxa"/>
            <w:shd w:val="clear" w:color="auto" w:fill="auto"/>
          </w:tcPr>
          <w:p w14:paraId="59EA3ACF" w14:textId="77777777" w:rsidR="002B2ED6" w:rsidRPr="003726BE" w:rsidRDefault="002B2ED6" w:rsidP="00AA71F1">
            <w:pPr>
              <w:suppressAutoHyphens/>
              <w:spacing w:before="40" w:after="40" w:line="240" w:lineRule="auto"/>
              <w:rPr>
                <w:rFonts w:cs="Arial"/>
                <w:color w:val="373737" w:themeColor="background1" w:themeShade="40"/>
                <w:szCs w:val="18"/>
              </w:rPr>
            </w:pPr>
            <w:r w:rsidRPr="003726BE">
              <w:rPr>
                <w:rFonts w:cs="Arial"/>
                <w:color w:val="373737" w:themeColor="background1" w:themeShade="40"/>
                <w:szCs w:val="18"/>
              </w:rPr>
              <w:sym w:font="Wingdings" w:char="F0FC"/>
            </w:r>
          </w:p>
        </w:tc>
      </w:tr>
      <w:tr w:rsidR="002B2ED6" w:rsidRPr="00F61F42" w14:paraId="211A0802" w14:textId="77777777" w:rsidTr="00AA71F1">
        <w:trPr>
          <w:trHeight w:val="180"/>
          <w:jc w:val="center"/>
        </w:trPr>
        <w:tc>
          <w:tcPr>
            <w:tcW w:w="425" w:type="dxa"/>
            <w:shd w:val="clear" w:color="auto" w:fill="auto"/>
          </w:tcPr>
          <w:p w14:paraId="4C35F73F" w14:textId="77777777" w:rsidR="002B2ED6" w:rsidRPr="003726BE" w:rsidRDefault="002B2ED6" w:rsidP="00AA71F1">
            <w:pPr>
              <w:suppressAutoHyphens/>
              <w:spacing w:before="40" w:after="40" w:line="240" w:lineRule="auto"/>
              <w:rPr>
                <w:rFonts w:cs="Arial"/>
                <w:color w:val="373737" w:themeColor="background1" w:themeShade="40"/>
                <w:szCs w:val="18"/>
              </w:rPr>
            </w:pPr>
            <w:r w:rsidRPr="003726BE">
              <w:rPr>
                <w:color w:val="373737" w:themeColor="background1" w:themeShade="40"/>
              </w:rPr>
              <w:t>7</w:t>
            </w:r>
          </w:p>
        </w:tc>
        <w:tc>
          <w:tcPr>
            <w:tcW w:w="6662" w:type="dxa"/>
            <w:shd w:val="clear" w:color="auto" w:fill="auto"/>
          </w:tcPr>
          <w:p w14:paraId="4D5B1AB5" w14:textId="77777777" w:rsidR="002B2ED6" w:rsidRPr="00CB34A3" w:rsidRDefault="002B2ED6" w:rsidP="00AA71F1">
            <w:pPr>
              <w:suppressAutoHyphens/>
              <w:spacing w:before="40" w:after="40" w:line="240" w:lineRule="auto"/>
              <w:rPr>
                <w:rFonts w:cs="Arial"/>
                <w:color w:val="373737" w:themeColor="background1" w:themeShade="40"/>
                <w:szCs w:val="18"/>
                <w:lang w:val="en-GB"/>
              </w:rPr>
            </w:pPr>
            <w:r w:rsidRPr="00CB34A3">
              <w:rPr>
                <w:color w:val="373737" w:themeColor="background1" w:themeShade="40"/>
                <w:lang w:val="en-GB"/>
              </w:rPr>
              <w:t>Assessment of the information and progress towards achieving objectives of the programme:</w:t>
            </w:r>
          </w:p>
        </w:tc>
        <w:tc>
          <w:tcPr>
            <w:tcW w:w="2694" w:type="dxa"/>
            <w:shd w:val="clear" w:color="auto" w:fill="auto"/>
          </w:tcPr>
          <w:p w14:paraId="3B1C5E08" w14:textId="77777777" w:rsidR="002B2ED6" w:rsidRPr="00CB34A3" w:rsidRDefault="002B2ED6" w:rsidP="00AA71F1">
            <w:pPr>
              <w:suppressAutoHyphens/>
              <w:spacing w:before="40" w:after="40" w:line="240" w:lineRule="auto"/>
              <w:rPr>
                <w:rFonts w:cs="Arial"/>
                <w:color w:val="373737" w:themeColor="background1" w:themeShade="40"/>
                <w:szCs w:val="18"/>
                <w:lang w:val="en-GB"/>
              </w:rPr>
            </w:pPr>
          </w:p>
        </w:tc>
        <w:tc>
          <w:tcPr>
            <w:tcW w:w="1129" w:type="dxa"/>
            <w:shd w:val="clear" w:color="auto" w:fill="auto"/>
          </w:tcPr>
          <w:p w14:paraId="4A502F4C" w14:textId="77777777" w:rsidR="002B2ED6" w:rsidRPr="00CB34A3" w:rsidRDefault="002B2ED6" w:rsidP="00AA71F1">
            <w:pPr>
              <w:suppressAutoHyphens/>
              <w:spacing w:before="40" w:after="40" w:line="240" w:lineRule="auto"/>
              <w:rPr>
                <w:rFonts w:cs="Arial"/>
                <w:color w:val="373737" w:themeColor="background1" w:themeShade="40"/>
                <w:szCs w:val="18"/>
                <w:lang w:val="en-GB"/>
              </w:rPr>
            </w:pPr>
          </w:p>
        </w:tc>
        <w:tc>
          <w:tcPr>
            <w:tcW w:w="1134" w:type="dxa"/>
            <w:shd w:val="clear" w:color="auto" w:fill="auto"/>
          </w:tcPr>
          <w:p w14:paraId="01336103" w14:textId="77777777" w:rsidR="002B2ED6" w:rsidRPr="00CB34A3" w:rsidRDefault="002B2ED6" w:rsidP="00AA71F1">
            <w:pPr>
              <w:suppressAutoHyphens/>
              <w:spacing w:before="40" w:after="40" w:line="240" w:lineRule="auto"/>
              <w:rPr>
                <w:rFonts w:cs="Arial"/>
                <w:color w:val="373737" w:themeColor="background1" w:themeShade="40"/>
                <w:szCs w:val="18"/>
                <w:lang w:val="en-GB"/>
              </w:rPr>
            </w:pPr>
          </w:p>
        </w:tc>
        <w:tc>
          <w:tcPr>
            <w:tcW w:w="1134" w:type="dxa"/>
            <w:shd w:val="clear" w:color="auto" w:fill="auto"/>
          </w:tcPr>
          <w:p w14:paraId="2B1D60DF" w14:textId="77777777" w:rsidR="002B2ED6" w:rsidRPr="00CB34A3" w:rsidRDefault="002B2ED6" w:rsidP="00AA71F1">
            <w:pPr>
              <w:suppressAutoHyphens/>
              <w:spacing w:before="40" w:after="40" w:line="240" w:lineRule="auto"/>
              <w:rPr>
                <w:rFonts w:cs="Arial"/>
                <w:color w:val="373737" w:themeColor="background1" w:themeShade="40"/>
                <w:szCs w:val="18"/>
                <w:lang w:val="en-GB"/>
              </w:rPr>
            </w:pPr>
          </w:p>
        </w:tc>
      </w:tr>
      <w:tr w:rsidR="002B2ED6" w:rsidRPr="003726BE" w14:paraId="46C19A83" w14:textId="77777777" w:rsidTr="00AA71F1">
        <w:trPr>
          <w:trHeight w:val="180"/>
          <w:jc w:val="center"/>
        </w:trPr>
        <w:tc>
          <w:tcPr>
            <w:tcW w:w="425" w:type="dxa"/>
            <w:shd w:val="clear" w:color="auto" w:fill="auto"/>
          </w:tcPr>
          <w:p w14:paraId="7EB1EE28" w14:textId="77777777" w:rsidR="002B2ED6" w:rsidRPr="00CB34A3" w:rsidRDefault="002B2ED6" w:rsidP="00AA71F1">
            <w:pPr>
              <w:suppressAutoHyphens/>
              <w:spacing w:before="40" w:after="40" w:line="240" w:lineRule="auto"/>
              <w:rPr>
                <w:rFonts w:cs="Arial"/>
                <w:color w:val="373737" w:themeColor="background1" w:themeShade="40"/>
                <w:szCs w:val="18"/>
                <w:lang w:val="en-GB"/>
              </w:rPr>
            </w:pPr>
          </w:p>
        </w:tc>
        <w:tc>
          <w:tcPr>
            <w:tcW w:w="6662" w:type="dxa"/>
            <w:shd w:val="clear" w:color="auto" w:fill="auto"/>
          </w:tcPr>
          <w:p w14:paraId="0B0A6A49" w14:textId="77777777" w:rsidR="002B2ED6" w:rsidRPr="00CB34A3" w:rsidRDefault="002B2ED6" w:rsidP="00AA71F1">
            <w:pPr>
              <w:suppressAutoHyphens/>
              <w:spacing w:before="40" w:after="40" w:line="240" w:lineRule="auto"/>
              <w:rPr>
                <w:rFonts w:cs="Arial"/>
                <w:color w:val="373737" w:themeColor="background1" w:themeShade="40"/>
                <w:szCs w:val="18"/>
                <w:lang w:val="en-GB"/>
              </w:rPr>
            </w:pPr>
            <w:r w:rsidRPr="00CB34A3">
              <w:rPr>
                <w:color w:val="373737" w:themeColor="background1" w:themeShade="40"/>
                <w:lang w:val="en-GB"/>
              </w:rPr>
              <w:t xml:space="preserve">Reporting and quantification of programme achievements, in particular through the assessment of the complementary result indicators and relevant evaluation questions  </w:t>
            </w:r>
          </w:p>
        </w:tc>
        <w:tc>
          <w:tcPr>
            <w:tcW w:w="2694" w:type="dxa"/>
            <w:shd w:val="clear" w:color="auto" w:fill="auto"/>
          </w:tcPr>
          <w:p w14:paraId="299C240D" w14:textId="77777777" w:rsidR="002B2ED6" w:rsidRPr="003726BE" w:rsidRDefault="002B2ED6" w:rsidP="00AA71F1">
            <w:pPr>
              <w:suppressAutoHyphens/>
              <w:spacing w:before="40" w:after="40" w:line="240" w:lineRule="auto"/>
              <w:rPr>
                <w:rFonts w:cs="Arial"/>
                <w:color w:val="373737" w:themeColor="background1" w:themeShade="40"/>
                <w:szCs w:val="18"/>
              </w:rPr>
            </w:pPr>
            <w:r w:rsidRPr="003726BE">
              <w:rPr>
                <w:color w:val="373737" w:themeColor="background1" w:themeShade="40"/>
              </w:rPr>
              <w:t>1303/2013, Art. 50.2</w:t>
            </w:r>
          </w:p>
          <w:p w14:paraId="661FBCAB" w14:textId="77777777" w:rsidR="002B2ED6" w:rsidRPr="003726BE" w:rsidRDefault="002B2ED6" w:rsidP="00AA71F1">
            <w:pPr>
              <w:suppressAutoHyphens/>
              <w:spacing w:before="40" w:after="40" w:line="240" w:lineRule="auto"/>
              <w:rPr>
                <w:rFonts w:cs="Arial"/>
                <w:color w:val="373737" w:themeColor="background1" w:themeShade="40"/>
                <w:szCs w:val="18"/>
              </w:rPr>
            </w:pPr>
            <w:r w:rsidRPr="003726BE">
              <w:rPr>
                <w:color w:val="373737" w:themeColor="background1" w:themeShade="40"/>
              </w:rPr>
              <w:t>808/2014, Art. 14,</w:t>
            </w:r>
          </w:p>
        </w:tc>
        <w:tc>
          <w:tcPr>
            <w:tcW w:w="1129" w:type="dxa"/>
            <w:shd w:val="clear" w:color="auto" w:fill="auto"/>
          </w:tcPr>
          <w:p w14:paraId="6A95E3EE" w14:textId="77777777" w:rsidR="002B2ED6" w:rsidRPr="003726BE" w:rsidRDefault="002B2ED6" w:rsidP="00AA71F1">
            <w:pPr>
              <w:suppressAutoHyphens/>
              <w:spacing w:before="40" w:after="40" w:line="240" w:lineRule="auto"/>
              <w:rPr>
                <w:rFonts w:cs="Arial"/>
                <w:color w:val="373737" w:themeColor="background1" w:themeShade="40"/>
                <w:szCs w:val="18"/>
              </w:rPr>
            </w:pPr>
          </w:p>
        </w:tc>
        <w:tc>
          <w:tcPr>
            <w:tcW w:w="1134" w:type="dxa"/>
            <w:shd w:val="clear" w:color="auto" w:fill="auto"/>
          </w:tcPr>
          <w:p w14:paraId="13560C50" w14:textId="77777777" w:rsidR="002B2ED6" w:rsidRPr="003726BE" w:rsidRDefault="002B2ED6" w:rsidP="00AA71F1">
            <w:pPr>
              <w:suppressAutoHyphens/>
              <w:spacing w:before="40" w:after="40" w:line="240" w:lineRule="auto"/>
              <w:rPr>
                <w:rFonts w:cs="Arial"/>
                <w:color w:val="373737" w:themeColor="background1" w:themeShade="40"/>
                <w:szCs w:val="18"/>
              </w:rPr>
            </w:pPr>
            <w:r w:rsidRPr="003726BE">
              <w:rPr>
                <w:rFonts w:cs="Arial"/>
                <w:color w:val="373737" w:themeColor="background1" w:themeShade="40"/>
                <w:szCs w:val="18"/>
              </w:rPr>
              <w:sym w:font="Wingdings" w:char="F0FC"/>
            </w:r>
          </w:p>
        </w:tc>
        <w:tc>
          <w:tcPr>
            <w:tcW w:w="1134" w:type="dxa"/>
            <w:shd w:val="clear" w:color="auto" w:fill="auto"/>
          </w:tcPr>
          <w:p w14:paraId="67230D49" w14:textId="77777777" w:rsidR="002B2ED6" w:rsidRPr="003726BE" w:rsidRDefault="002B2ED6" w:rsidP="00AA71F1">
            <w:pPr>
              <w:suppressAutoHyphens/>
              <w:spacing w:before="40" w:after="40" w:line="240" w:lineRule="auto"/>
              <w:rPr>
                <w:rFonts w:cs="Arial"/>
                <w:color w:val="373737" w:themeColor="background1" w:themeShade="40"/>
                <w:szCs w:val="18"/>
              </w:rPr>
            </w:pPr>
            <w:r w:rsidRPr="003726BE">
              <w:rPr>
                <w:rFonts w:cs="Arial"/>
                <w:color w:val="373737" w:themeColor="background1" w:themeShade="40"/>
                <w:szCs w:val="18"/>
              </w:rPr>
              <w:sym w:font="Wingdings" w:char="F0FC"/>
            </w:r>
          </w:p>
        </w:tc>
      </w:tr>
      <w:tr w:rsidR="002B2ED6" w:rsidRPr="003726BE" w14:paraId="59F7E1C8" w14:textId="77777777" w:rsidTr="00AA71F1">
        <w:trPr>
          <w:trHeight w:val="180"/>
          <w:jc w:val="center"/>
        </w:trPr>
        <w:tc>
          <w:tcPr>
            <w:tcW w:w="425" w:type="dxa"/>
            <w:shd w:val="clear" w:color="auto" w:fill="auto"/>
          </w:tcPr>
          <w:p w14:paraId="0C516A23" w14:textId="77777777" w:rsidR="002B2ED6" w:rsidRPr="003726BE" w:rsidRDefault="002B2ED6" w:rsidP="00AA71F1">
            <w:pPr>
              <w:suppressAutoHyphens/>
              <w:spacing w:before="40" w:after="40" w:line="240" w:lineRule="auto"/>
              <w:rPr>
                <w:rFonts w:cs="Arial"/>
                <w:color w:val="373737" w:themeColor="background1" w:themeShade="40"/>
                <w:szCs w:val="18"/>
              </w:rPr>
            </w:pPr>
          </w:p>
        </w:tc>
        <w:tc>
          <w:tcPr>
            <w:tcW w:w="6662" w:type="dxa"/>
            <w:shd w:val="clear" w:color="auto" w:fill="auto"/>
          </w:tcPr>
          <w:p w14:paraId="2A616C53" w14:textId="77777777" w:rsidR="002B2ED6" w:rsidRPr="00CB34A3" w:rsidRDefault="002B2ED6" w:rsidP="00AA71F1">
            <w:pPr>
              <w:suppressAutoHyphens/>
              <w:spacing w:before="40" w:after="40" w:line="240" w:lineRule="auto"/>
              <w:rPr>
                <w:rFonts w:cs="Arial"/>
                <w:color w:val="373737" w:themeColor="background1" w:themeShade="40"/>
                <w:szCs w:val="18"/>
                <w:lang w:val="en-GB"/>
              </w:rPr>
            </w:pPr>
            <w:r w:rsidRPr="00CB34A3">
              <w:rPr>
                <w:color w:val="373737" w:themeColor="background1" w:themeShade="40"/>
                <w:lang w:val="en-GB"/>
              </w:rPr>
              <w:t>Reporting on the progress towards the objectives of the programme and its contribution to achieving the European Union’s strategy for smart, sustainable and inclusive growth, through inter alia assessment of the programme’s net contribution to the changes in the CAP’s impact indicator values, and relevant evaluation questions</w:t>
            </w:r>
          </w:p>
        </w:tc>
        <w:tc>
          <w:tcPr>
            <w:tcW w:w="2694" w:type="dxa"/>
            <w:shd w:val="clear" w:color="auto" w:fill="auto"/>
          </w:tcPr>
          <w:p w14:paraId="76857B0D" w14:textId="77777777" w:rsidR="002B2ED6" w:rsidRPr="003726BE" w:rsidRDefault="002B2ED6" w:rsidP="00AA71F1">
            <w:pPr>
              <w:suppressAutoHyphens/>
              <w:spacing w:before="40" w:after="40" w:line="240" w:lineRule="auto"/>
              <w:rPr>
                <w:rFonts w:cs="Arial"/>
                <w:color w:val="373737" w:themeColor="background1" w:themeShade="40"/>
                <w:szCs w:val="18"/>
              </w:rPr>
            </w:pPr>
            <w:r w:rsidRPr="003726BE">
              <w:rPr>
                <w:color w:val="373737" w:themeColor="background1" w:themeShade="40"/>
              </w:rPr>
              <w:t>1303/2013, Art. 54.1</w:t>
            </w:r>
          </w:p>
          <w:p w14:paraId="79CE85D3" w14:textId="77777777" w:rsidR="002B2ED6" w:rsidRPr="003726BE" w:rsidRDefault="002B2ED6" w:rsidP="00AA71F1">
            <w:pPr>
              <w:suppressAutoHyphens/>
              <w:spacing w:before="40" w:after="40" w:line="240" w:lineRule="auto"/>
              <w:rPr>
                <w:rFonts w:cs="Arial"/>
                <w:color w:val="373737" w:themeColor="background1" w:themeShade="40"/>
                <w:szCs w:val="18"/>
              </w:rPr>
            </w:pPr>
            <w:r w:rsidRPr="003726BE">
              <w:rPr>
                <w:color w:val="373737" w:themeColor="background1" w:themeShade="40"/>
              </w:rPr>
              <w:t>808/2014, Art. 14,</w:t>
            </w:r>
          </w:p>
        </w:tc>
        <w:tc>
          <w:tcPr>
            <w:tcW w:w="1129" w:type="dxa"/>
            <w:shd w:val="clear" w:color="auto" w:fill="auto"/>
          </w:tcPr>
          <w:p w14:paraId="02F0E345" w14:textId="77777777" w:rsidR="002B2ED6" w:rsidRPr="003726BE" w:rsidRDefault="002B2ED6" w:rsidP="00AA71F1">
            <w:pPr>
              <w:suppressAutoHyphens/>
              <w:spacing w:before="40" w:after="40" w:line="240" w:lineRule="auto"/>
              <w:rPr>
                <w:rFonts w:cs="Arial"/>
                <w:color w:val="373737" w:themeColor="background1" w:themeShade="40"/>
                <w:szCs w:val="18"/>
              </w:rPr>
            </w:pPr>
          </w:p>
        </w:tc>
        <w:tc>
          <w:tcPr>
            <w:tcW w:w="1134" w:type="dxa"/>
            <w:shd w:val="clear" w:color="auto" w:fill="auto"/>
          </w:tcPr>
          <w:p w14:paraId="6E4B8C08" w14:textId="77777777" w:rsidR="002B2ED6" w:rsidRPr="003726BE" w:rsidRDefault="002B2ED6" w:rsidP="00AA71F1">
            <w:pPr>
              <w:suppressAutoHyphens/>
              <w:spacing w:before="40" w:after="40" w:line="240" w:lineRule="auto"/>
              <w:rPr>
                <w:rFonts w:cs="Arial"/>
                <w:color w:val="373737" w:themeColor="background1" w:themeShade="40"/>
                <w:szCs w:val="18"/>
              </w:rPr>
            </w:pPr>
          </w:p>
        </w:tc>
        <w:tc>
          <w:tcPr>
            <w:tcW w:w="1134" w:type="dxa"/>
            <w:shd w:val="clear" w:color="auto" w:fill="auto"/>
          </w:tcPr>
          <w:p w14:paraId="6347F110" w14:textId="77777777" w:rsidR="002B2ED6" w:rsidRPr="003726BE" w:rsidRDefault="002B2ED6" w:rsidP="00AA71F1">
            <w:pPr>
              <w:suppressAutoHyphens/>
              <w:spacing w:before="40" w:after="40" w:line="240" w:lineRule="auto"/>
              <w:rPr>
                <w:rFonts w:cs="Arial"/>
                <w:color w:val="373737" w:themeColor="background1" w:themeShade="40"/>
                <w:szCs w:val="18"/>
              </w:rPr>
            </w:pPr>
            <w:r w:rsidRPr="003726BE">
              <w:rPr>
                <w:rFonts w:cs="Arial"/>
                <w:color w:val="373737" w:themeColor="background1" w:themeShade="40"/>
                <w:szCs w:val="18"/>
              </w:rPr>
              <w:sym w:font="Wingdings" w:char="F0FC"/>
            </w:r>
          </w:p>
        </w:tc>
      </w:tr>
      <w:tr w:rsidR="002B2ED6" w:rsidRPr="00F61F42" w14:paraId="752FFC6B" w14:textId="77777777" w:rsidTr="00AA71F1">
        <w:trPr>
          <w:trHeight w:val="180"/>
          <w:jc w:val="center"/>
        </w:trPr>
        <w:tc>
          <w:tcPr>
            <w:tcW w:w="425" w:type="dxa"/>
            <w:shd w:val="clear" w:color="auto" w:fill="auto"/>
          </w:tcPr>
          <w:p w14:paraId="159D8FDF" w14:textId="77777777" w:rsidR="002B2ED6" w:rsidRPr="003726BE" w:rsidRDefault="002B2ED6" w:rsidP="00AA71F1">
            <w:pPr>
              <w:suppressAutoHyphens/>
              <w:spacing w:before="40" w:after="40" w:line="240" w:lineRule="auto"/>
              <w:rPr>
                <w:rFonts w:cs="Arial"/>
                <w:color w:val="373737" w:themeColor="background1" w:themeShade="40"/>
                <w:szCs w:val="18"/>
              </w:rPr>
            </w:pPr>
            <w:r w:rsidRPr="003726BE">
              <w:rPr>
                <w:color w:val="373737" w:themeColor="background1" w:themeShade="40"/>
              </w:rPr>
              <w:t>8</w:t>
            </w:r>
          </w:p>
        </w:tc>
        <w:tc>
          <w:tcPr>
            <w:tcW w:w="6662" w:type="dxa"/>
            <w:shd w:val="clear" w:color="auto" w:fill="auto"/>
          </w:tcPr>
          <w:p w14:paraId="58A52C29" w14:textId="77777777" w:rsidR="002B2ED6" w:rsidRPr="00CB34A3" w:rsidRDefault="002B2ED6" w:rsidP="00AA71F1">
            <w:pPr>
              <w:suppressAutoHyphens/>
              <w:spacing w:before="40" w:after="40" w:line="240" w:lineRule="auto"/>
              <w:rPr>
                <w:rFonts w:cs="Arial"/>
                <w:color w:val="373737" w:themeColor="background1" w:themeShade="40"/>
                <w:szCs w:val="18"/>
                <w:lang w:val="en-GB"/>
              </w:rPr>
            </w:pPr>
            <w:r w:rsidRPr="00CB34A3">
              <w:rPr>
                <w:color w:val="373737" w:themeColor="background1" w:themeShade="40"/>
                <w:lang w:val="en-GB"/>
              </w:rPr>
              <w:t>Implementation of actions to take into account principles set out in Articles 5, 7 and 8 of Regulation (EU) No 1303/2013</w:t>
            </w:r>
          </w:p>
        </w:tc>
        <w:tc>
          <w:tcPr>
            <w:tcW w:w="2694" w:type="dxa"/>
            <w:shd w:val="clear" w:color="auto" w:fill="auto"/>
          </w:tcPr>
          <w:p w14:paraId="539C0C0B" w14:textId="77777777" w:rsidR="002B2ED6" w:rsidRPr="00CB34A3" w:rsidRDefault="002B2ED6" w:rsidP="00AA71F1">
            <w:pPr>
              <w:suppressAutoHyphens/>
              <w:spacing w:before="40" w:after="40" w:line="240" w:lineRule="auto"/>
              <w:rPr>
                <w:rFonts w:cs="Arial"/>
                <w:color w:val="373737" w:themeColor="background1" w:themeShade="40"/>
                <w:szCs w:val="18"/>
                <w:lang w:val="en-GB"/>
              </w:rPr>
            </w:pPr>
          </w:p>
        </w:tc>
        <w:tc>
          <w:tcPr>
            <w:tcW w:w="1129" w:type="dxa"/>
            <w:shd w:val="clear" w:color="auto" w:fill="auto"/>
          </w:tcPr>
          <w:p w14:paraId="2486D219" w14:textId="77777777" w:rsidR="002B2ED6" w:rsidRPr="00CB34A3" w:rsidRDefault="002B2ED6" w:rsidP="00AA71F1">
            <w:pPr>
              <w:suppressAutoHyphens/>
              <w:spacing w:before="40" w:after="40" w:line="240" w:lineRule="auto"/>
              <w:rPr>
                <w:rFonts w:cs="Arial"/>
                <w:color w:val="373737" w:themeColor="background1" w:themeShade="40"/>
                <w:szCs w:val="18"/>
                <w:lang w:val="en-GB"/>
              </w:rPr>
            </w:pPr>
          </w:p>
        </w:tc>
        <w:tc>
          <w:tcPr>
            <w:tcW w:w="1134" w:type="dxa"/>
            <w:shd w:val="clear" w:color="auto" w:fill="auto"/>
          </w:tcPr>
          <w:p w14:paraId="6336C339" w14:textId="77777777" w:rsidR="002B2ED6" w:rsidRPr="00CB34A3" w:rsidRDefault="002B2ED6" w:rsidP="00AA71F1">
            <w:pPr>
              <w:suppressAutoHyphens/>
              <w:spacing w:before="40" w:after="40" w:line="240" w:lineRule="auto"/>
              <w:rPr>
                <w:rFonts w:cs="Arial"/>
                <w:color w:val="373737" w:themeColor="background1" w:themeShade="40"/>
                <w:szCs w:val="18"/>
                <w:lang w:val="en-GB"/>
              </w:rPr>
            </w:pPr>
          </w:p>
        </w:tc>
        <w:tc>
          <w:tcPr>
            <w:tcW w:w="1134" w:type="dxa"/>
            <w:shd w:val="clear" w:color="auto" w:fill="auto"/>
          </w:tcPr>
          <w:p w14:paraId="46EC601C" w14:textId="77777777" w:rsidR="002B2ED6" w:rsidRPr="00CB34A3" w:rsidRDefault="002B2ED6" w:rsidP="00AA71F1">
            <w:pPr>
              <w:suppressAutoHyphens/>
              <w:spacing w:before="40" w:after="40" w:line="240" w:lineRule="auto"/>
              <w:rPr>
                <w:rFonts w:cs="Arial"/>
                <w:color w:val="373737" w:themeColor="background1" w:themeShade="40"/>
                <w:szCs w:val="18"/>
                <w:lang w:val="en-GB"/>
              </w:rPr>
            </w:pPr>
          </w:p>
        </w:tc>
      </w:tr>
      <w:tr w:rsidR="002B2ED6" w:rsidRPr="003726BE" w14:paraId="3C086776" w14:textId="77777777" w:rsidTr="00AA71F1">
        <w:trPr>
          <w:trHeight w:val="287"/>
          <w:jc w:val="center"/>
        </w:trPr>
        <w:tc>
          <w:tcPr>
            <w:tcW w:w="425" w:type="dxa"/>
            <w:shd w:val="clear" w:color="auto" w:fill="auto"/>
          </w:tcPr>
          <w:p w14:paraId="4CF38470" w14:textId="77777777" w:rsidR="002B2ED6" w:rsidRPr="003726BE" w:rsidRDefault="002B2ED6" w:rsidP="00AA71F1">
            <w:pPr>
              <w:suppressAutoHyphens/>
              <w:spacing w:before="40" w:after="40" w:line="240" w:lineRule="auto"/>
              <w:rPr>
                <w:rFonts w:cs="Arial"/>
                <w:color w:val="373737" w:themeColor="background1" w:themeShade="40"/>
                <w:szCs w:val="18"/>
              </w:rPr>
            </w:pPr>
            <w:r w:rsidRPr="003726BE">
              <w:rPr>
                <w:color w:val="373737" w:themeColor="background1" w:themeShade="40"/>
              </w:rPr>
              <w:t>a)</w:t>
            </w:r>
          </w:p>
        </w:tc>
        <w:tc>
          <w:tcPr>
            <w:tcW w:w="6662" w:type="dxa"/>
            <w:shd w:val="clear" w:color="auto" w:fill="auto"/>
          </w:tcPr>
          <w:p w14:paraId="352CA85C" w14:textId="77777777" w:rsidR="002B2ED6" w:rsidRPr="00CB34A3" w:rsidRDefault="002B2ED6" w:rsidP="00AA71F1">
            <w:pPr>
              <w:suppressAutoHyphens/>
              <w:spacing w:before="40" w:after="40" w:line="240" w:lineRule="auto"/>
              <w:rPr>
                <w:rFonts w:cs="Arial"/>
                <w:color w:val="373737" w:themeColor="background1" w:themeShade="40"/>
                <w:szCs w:val="18"/>
                <w:lang w:val="en-GB"/>
              </w:rPr>
            </w:pPr>
            <w:r w:rsidRPr="00CB34A3">
              <w:rPr>
                <w:color w:val="373737" w:themeColor="background1" w:themeShade="40"/>
                <w:lang w:val="en-GB"/>
              </w:rPr>
              <w:t xml:space="preserve">Promotion of equality between men and women and non-discrimination, </w:t>
            </w:r>
          </w:p>
        </w:tc>
        <w:tc>
          <w:tcPr>
            <w:tcW w:w="2694" w:type="dxa"/>
            <w:shd w:val="clear" w:color="auto" w:fill="auto"/>
          </w:tcPr>
          <w:p w14:paraId="0D43ABF0" w14:textId="77777777" w:rsidR="002B2ED6" w:rsidRPr="003726BE" w:rsidRDefault="002B2ED6" w:rsidP="00AA71F1">
            <w:pPr>
              <w:suppressAutoHyphens/>
              <w:spacing w:before="40" w:after="40" w:line="240" w:lineRule="auto"/>
              <w:rPr>
                <w:rFonts w:cs="Arial"/>
                <w:color w:val="373737" w:themeColor="background1" w:themeShade="40"/>
                <w:szCs w:val="18"/>
              </w:rPr>
            </w:pPr>
            <w:r w:rsidRPr="003726BE">
              <w:rPr>
                <w:color w:val="373737" w:themeColor="background1" w:themeShade="40"/>
              </w:rPr>
              <w:t>1303/2013 Art.7</w:t>
            </w:r>
          </w:p>
        </w:tc>
        <w:tc>
          <w:tcPr>
            <w:tcW w:w="1129" w:type="dxa"/>
            <w:shd w:val="clear" w:color="auto" w:fill="auto"/>
          </w:tcPr>
          <w:p w14:paraId="7827D9D8" w14:textId="77777777" w:rsidR="002B2ED6" w:rsidRPr="003726BE" w:rsidRDefault="002B2ED6" w:rsidP="00AA71F1">
            <w:pPr>
              <w:suppressAutoHyphens/>
              <w:spacing w:before="40" w:after="40" w:line="240" w:lineRule="auto"/>
              <w:rPr>
                <w:rFonts w:cs="Arial"/>
                <w:color w:val="373737" w:themeColor="background1" w:themeShade="40"/>
                <w:szCs w:val="18"/>
              </w:rPr>
            </w:pPr>
          </w:p>
        </w:tc>
        <w:tc>
          <w:tcPr>
            <w:tcW w:w="1134" w:type="dxa"/>
            <w:shd w:val="clear" w:color="auto" w:fill="auto"/>
          </w:tcPr>
          <w:p w14:paraId="2BDD347F" w14:textId="77777777" w:rsidR="002B2ED6" w:rsidRPr="003726BE" w:rsidRDefault="002B2ED6" w:rsidP="00AA71F1">
            <w:pPr>
              <w:suppressAutoHyphens/>
              <w:spacing w:before="40" w:after="40" w:line="240" w:lineRule="auto"/>
              <w:rPr>
                <w:rFonts w:cs="Arial"/>
                <w:color w:val="373737" w:themeColor="background1" w:themeShade="40"/>
                <w:szCs w:val="18"/>
              </w:rPr>
            </w:pPr>
            <w:r w:rsidRPr="003726BE">
              <w:rPr>
                <w:rFonts w:cs="Arial"/>
                <w:color w:val="373737" w:themeColor="background1" w:themeShade="40"/>
                <w:szCs w:val="18"/>
              </w:rPr>
              <w:sym w:font="Wingdings" w:char="F0FC"/>
            </w:r>
          </w:p>
        </w:tc>
        <w:tc>
          <w:tcPr>
            <w:tcW w:w="1134" w:type="dxa"/>
            <w:shd w:val="clear" w:color="auto" w:fill="auto"/>
          </w:tcPr>
          <w:p w14:paraId="6033BDE2" w14:textId="77777777" w:rsidR="002B2ED6" w:rsidRPr="003726BE" w:rsidRDefault="002B2ED6" w:rsidP="00AA71F1">
            <w:pPr>
              <w:suppressAutoHyphens/>
              <w:spacing w:before="40" w:after="40" w:line="240" w:lineRule="auto"/>
              <w:rPr>
                <w:rFonts w:cs="Arial"/>
                <w:color w:val="373737" w:themeColor="background1" w:themeShade="40"/>
                <w:szCs w:val="18"/>
              </w:rPr>
            </w:pPr>
            <w:r w:rsidRPr="003726BE">
              <w:rPr>
                <w:rFonts w:cs="Arial"/>
                <w:color w:val="373737" w:themeColor="background1" w:themeShade="40"/>
                <w:szCs w:val="18"/>
              </w:rPr>
              <w:sym w:font="Wingdings" w:char="F0FC"/>
            </w:r>
          </w:p>
        </w:tc>
      </w:tr>
      <w:tr w:rsidR="002B2ED6" w:rsidRPr="003726BE" w14:paraId="7061245A" w14:textId="77777777" w:rsidTr="00AA71F1">
        <w:trPr>
          <w:trHeight w:val="180"/>
          <w:jc w:val="center"/>
        </w:trPr>
        <w:tc>
          <w:tcPr>
            <w:tcW w:w="425" w:type="dxa"/>
            <w:shd w:val="clear" w:color="auto" w:fill="auto"/>
          </w:tcPr>
          <w:p w14:paraId="2975E3F9" w14:textId="77777777" w:rsidR="002B2ED6" w:rsidRPr="003726BE" w:rsidRDefault="002B2ED6" w:rsidP="00AA71F1">
            <w:pPr>
              <w:suppressAutoHyphens/>
              <w:spacing w:before="40" w:after="40" w:line="240" w:lineRule="auto"/>
              <w:rPr>
                <w:rFonts w:cs="Arial"/>
                <w:color w:val="373737" w:themeColor="background1" w:themeShade="40"/>
                <w:szCs w:val="18"/>
              </w:rPr>
            </w:pPr>
            <w:r w:rsidRPr="003726BE">
              <w:rPr>
                <w:color w:val="373737" w:themeColor="background1" w:themeShade="40"/>
              </w:rPr>
              <w:t>b)</w:t>
            </w:r>
          </w:p>
        </w:tc>
        <w:tc>
          <w:tcPr>
            <w:tcW w:w="6662" w:type="dxa"/>
            <w:shd w:val="clear" w:color="auto" w:fill="auto"/>
          </w:tcPr>
          <w:p w14:paraId="2AB79396" w14:textId="77777777" w:rsidR="002B2ED6" w:rsidRPr="003726BE" w:rsidRDefault="002B2ED6" w:rsidP="00AA71F1">
            <w:pPr>
              <w:suppressAutoHyphens/>
              <w:spacing w:before="40" w:after="40" w:line="240" w:lineRule="auto"/>
              <w:rPr>
                <w:rFonts w:cs="Arial"/>
                <w:color w:val="373737" w:themeColor="background1" w:themeShade="40"/>
                <w:szCs w:val="18"/>
              </w:rPr>
            </w:pPr>
            <w:r w:rsidRPr="003726BE">
              <w:rPr>
                <w:color w:val="373737" w:themeColor="background1" w:themeShade="40"/>
              </w:rPr>
              <w:t>Sustainable development</w:t>
            </w:r>
          </w:p>
        </w:tc>
        <w:tc>
          <w:tcPr>
            <w:tcW w:w="2694" w:type="dxa"/>
            <w:shd w:val="clear" w:color="auto" w:fill="auto"/>
          </w:tcPr>
          <w:p w14:paraId="5FA5A9F2" w14:textId="77777777" w:rsidR="002B2ED6" w:rsidRPr="003726BE" w:rsidRDefault="002B2ED6" w:rsidP="00AA71F1">
            <w:pPr>
              <w:suppressAutoHyphens/>
              <w:spacing w:before="40" w:after="40" w:line="240" w:lineRule="auto"/>
              <w:rPr>
                <w:rFonts w:cs="Arial"/>
                <w:color w:val="373737" w:themeColor="background1" w:themeShade="40"/>
                <w:szCs w:val="18"/>
              </w:rPr>
            </w:pPr>
            <w:r w:rsidRPr="003726BE">
              <w:rPr>
                <w:color w:val="373737" w:themeColor="background1" w:themeShade="40"/>
              </w:rPr>
              <w:t>1303/2013 Art.8</w:t>
            </w:r>
          </w:p>
        </w:tc>
        <w:tc>
          <w:tcPr>
            <w:tcW w:w="1129" w:type="dxa"/>
            <w:shd w:val="clear" w:color="auto" w:fill="auto"/>
          </w:tcPr>
          <w:p w14:paraId="71759B8D" w14:textId="77777777" w:rsidR="002B2ED6" w:rsidRPr="003726BE" w:rsidRDefault="002B2ED6" w:rsidP="00AA71F1">
            <w:pPr>
              <w:suppressAutoHyphens/>
              <w:spacing w:before="40" w:after="40" w:line="240" w:lineRule="auto"/>
              <w:rPr>
                <w:rFonts w:cs="Arial"/>
                <w:color w:val="373737" w:themeColor="background1" w:themeShade="40"/>
                <w:szCs w:val="18"/>
              </w:rPr>
            </w:pPr>
          </w:p>
        </w:tc>
        <w:tc>
          <w:tcPr>
            <w:tcW w:w="1134" w:type="dxa"/>
            <w:shd w:val="clear" w:color="auto" w:fill="auto"/>
          </w:tcPr>
          <w:p w14:paraId="47DD6CFA" w14:textId="77777777" w:rsidR="002B2ED6" w:rsidRPr="003726BE" w:rsidRDefault="002B2ED6" w:rsidP="00AA71F1">
            <w:pPr>
              <w:suppressAutoHyphens/>
              <w:spacing w:before="40" w:after="40" w:line="240" w:lineRule="auto"/>
              <w:rPr>
                <w:rFonts w:cs="Arial"/>
                <w:color w:val="373737" w:themeColor="background1" w:themeShade="40"/>
                <w:szCs w:val="18"/>
              </w:rPr>
            </w:pPr>
            <w:r w:rsidRPr="003726BE">
              <w:rPr>
                <w:rFonts w:cs="Arial"/>
                <w:color w:val="373737" w:themeColor="background1" w:themeShade="40"/>
                <w:szCs w:val="18"/>
              </w:rPr>
              <w:sym w:font="Wingdings" w:char="F0FC"/>
            </w:r>
          </w:p>
        </w:tc>
        <w:tc>
          <w:tcPr>
            <w:tcW w:w="1134" w:type="dxa"/>
            <w:shd w:val="clear" w:color="auto" w:fill="auto"/>
          </w:tcPr>
          <w:p w14:paraId="14AA9D4C" w14:textId="77777777" w:rsidR="002B2ED6" w:rsidRPr="003726BE" w:rsidRDefault="002B2ED6" w:rsidP="00AA71F1">
            <w:pPr>
              <w:suppressAutoHyphens/>
              <w:spacing w:before="40" w:after="40" w:line="240" w:lineRule="auto"/>
              <w:rPr>
                <w:rFonts w:cs="Arial"/>
                <w:color w:val="373737" w:themeColor="background1" w:themeShade="40"/>
                <w:szCs w:val="18"/>
              </w:rPr>
            </w:pPr>
            <w:r w:rsidRPr="003726BE">
              <w:rPr>
                <w:rFonts w:cs="Arial"/>
                <w:color w:val="373737" w:themeColor="background1" w:themeShade="40"/>
                <w:szCs w:val="18"/>
              </w:rPr>
              <w:sym w:font="Wingdings" w:char="F0FC"/>
            </w:r>
          </w:p>
        </w:tc>
      </w:tr>
      <w:tr w:rsidR="002B2ED6" w:rsidRPr="003726BE" w14:paraId="1AB25CBD" w14:textId="77777777" w:rsidTr="00AA71F1">
        <w:trPr>
          <w:trHeight w:val="180"/>
          <w:jc w:val="center"/>
        </w:trPr>
        <w:tc>
          <w:tcPr>
            <w:tcW w:w="425" w:type="dxa"/>
            <w:shd w:val="clear" w:color="auto" w:fill="auto"/>
          </w:tcPr>
          <w:p w14:paraId="59BC964B" w14:textId="77777777" w:rsidR="002B2ED6" w:rsidRPr="003726BE" w:rsidRDefault="002B2ED6" w:rsidP="00AA71F1">
            <w:pPr>
              <w:suppressAutoHyphens/>
              <w:spacing w:before="40" w:after="40" w:line="240" w:lineRule="auto"/>
              <w:rPr>
                <w:rFonts w:cs="Arial"/>
                <w:color w:val="373737" w:themeColor="background1" w:themeShade="40"/>
                <w:szCs w:val="18"/>
              </w:rPr>
            </w:pPr>
            <w:r w:rsidRPr="003726BE">
              <w:rPr>
                <w:color w:val="373737" w:themeColor="background1" w:themeShade="40"/>
              </w:rPr>
              <w:t>c)</w:t>
            </w:r>
          </w:p>
        </w:tc>
        <w:tc>
          <w:tcPr>
            <w:tcW w:w="6662" w:type="dxa"/>
            <w:shd w:val="clear" w:color="auto" w:fill="auto"/>
          </w:tcPr>
          <w:p w14:paraId="32DE8FFE" w14:textId="77777777" w:rsidR="002B2ED6" w:rsidRPr="003726BE" w:rsidRDefault="002B2ED6" w:rsidP="00AA71F1">
            <w:pPr>
              <w:suppressAutoHyphens/>
              <w:spacing w:before="40" w:after="40" w:line="240" w:lineRule="auto"/>
              <w:rPr>
                <w:rFonts w:cs="Arial"/>
                <w:color w:val="373737" w:themeColor="background1" w:themeShade="40"/>
                <w:szCs w:val="18"/>
              </w:rPr>
            </w:pPr>
            <w:r w:rsidRPr="003726BE">
              <w:rPr>
                <w:color w:val="373737" w:themeColor="background1" w:themeShade="40"/>
              </w:rPr>
              <w:t>Role of partners</w:t>
            </w:r>
          </w:p>
        </w:tc>
        <w:tc>
          <w:tcPr>
            <w:tcW w:w="2694" w:type="dxa"/>
            <w:shd w:val="clear" w:color="auto" w:fill="auto"/>
          </w:tcPr>
          <w:p w14:paraId="1F46C776" w14:textId="77777777" w:rsidR="002B2ED6" w:rsidRPr="003726BE" w:rsidRDefault="002B2ED6" w:rsidP="00AA71F1">
            <w:pPr>
              <w:suppressAutoHyphens/>
              <w:spacing w:before="40" w:after="40" w:line="240" w:lineRule="auto"/>
              <w:rPr>
                <w:rFonts w:cs="Arial"/>
                <w:color w:val="373737" w:themeColor="background1" w:themeShade="40"/>
                <w:szCs w:val="18"/>
              </w:rPr>
            </w:pPr>
            <w:r w:rsidRPr="003726BE">
              <w:rPr>
                <w:color w:val="373737" w:themeColor="background1" w:themeShade="40"/>
              </w:rPr>
              <w:t>1303/2013 Art.5</w:t>
            </w:r>
          </w:p>
        </w:tc>
        <w:tc>
          <w:tcPr>
            <w:tcW w:w="1129" w:type="dxa"/>
            <w:shd w:val="clear" w:color="auto" w:fill="auto"/>
          </w:tcPr>
          <w:p w14:paraId="795EB894" w14:textId="77777777" w:rsidR="002B2ED6" w:rsidRPr="003726BE" w:rsidRDefault="002B2ED6" w:rsidP="00AA71F1">
            <w:pPr>
              <w:suppressAutoHyphens/>
              <w:spacing w:before="40" w:after="40" w:line="240" w:lineRule="auto"/>
              <w:rPr>
                <w:rFonts w:cs="Arial"/>
                <w:color w:val="373737" w:themeColor="background1" w:themeShade="40"/>
                <w:szCs w:val="18"/>
              </w:rPr>
            </w:pPr>
          </w:p>
        </w:tc>
        <w:tc>
          <w:tcPr>
            <w:tcW w:w="1134" w:type="dxa"/>
            <w:shd w:val="clear" w:color="auto" w:fill="auto"/>
          </w:tcPr>
          <w:p w14:paraId="41DC073E" w14:textId="77777777" w:rsidR="002B2ED6" w:rsidRPr="003726BE" w:rsidRDefault="002B2ED6" w:rsidP="00AA71F1">
            <w:pPr>
              <w:suppressAutoHyphens/>
              <w:spacing w:before="40" w:after="40" w:line="240" w:lineRule="auto"/>
              <w:rPr>
                <w:rFonts w:cs="Arial"/>
                <w:color w:val="373737" w:themeColor="background1" w:themeShade="40"/>
                <w:szCs w:val="18"/>
              </w:rPr>
            </w:pPr>
            <w:r w:rsidRPr="003726BE">
              <w:rPr>
                <w:rFonts w:cs="Arial"/>
                <w:color w:val="373737" w:themeColor="background1" w:themeShade="40"/>
                <w:szCs w:val="18"/>
              </w:rPr>
              <w:sym w:font="Wingdings" w:char="F0FC"/>
            </w:r>
          </w:p>
        </w:tc>
        <w:tc>
          <w:tcPr>
            <w:tcW w:w="1134" w:type="dxa"/>
            <w:shd w:val="clear" w:color="auto" w:fill="auto"/>
          </w:tcPr>
          <w:p w14:paraId="310EAA91" w14:textId="77777777" w:rsidR="002B2ED6" w:rsidRPr="003726BE" w:rsidRDefault="002B2ED6" w:rsidP="00AA71F1">
            <w:pPr>
              <w:suppressAutoHyphens/>
              <w:spacing w:before="40" w:after="40" w:line="240" w:lineRule="auto"/>
              <w:rPr>
                <w:rFonts w:cs="Arial"/>
                <w:color w:val="373737" w:themeColor="background1" w:themeShade="40"/>
                <w:szCs w:val="18"/>
              </w:rPr>
            </w:pPr>
            <w:r w:rsidRPr="003726BE">
              <w:rPr>
                <w:rFonts w:cs="Arial"/>
                <w:color w:val="373737" w:themeColor="background1" w:themeShade="40"/>
                <w:szCs w:val="18"/>
              </w:rPr>
              <w:sym w:font="Wingdings" w:char="F0FC"/>
            </w:r>
          </w:p>
        </w:tc>
      </w:tr>
      <w:tr w:rsidR="002B2ED6" w:rsidRPr="003726BE" w14:paraId="27350EA9" w14:textId="77777777" w:rsidTr="00AA71F1">
        <w:trPr>
          <w:trHeight w:val="180"/>
          <w:jc w:val="center"/>
        </w:trPr>
        <w:tc>
          <w:tcPr>
            <w:tcW w:w="425" w:type="dxa"/>
            <w:shd w:val="clear" w:color="auto" w:fill="auto"/>
          </w:tcPr>
          <w:p w14:paraId="479C6CE4" w14:textId="77777777" w:rsidR="002B2ED6" w:rsidRPr="003726BE" w:rsidRDefault="002B2ED6" w:rsidP="00AA71F1">
            <w:pPr>
              <w:suppressAutoHyphens/>
              <w:spacing w:before="40" w:after="40" w:line="240" w:lineRule="auto"/>
              <w:rPr>
                <w:rFonts w:cs="Arial"/>
                <w:color w:val="373737" w:themeColor="background1" w:themeShade="40"/>
                <w:szCs w:val="18"/>
              </w:rPr>
            </w:pPr>
            <w:r w:rsidRPr="003726BE">
              <w:rPr>
                <w:color w:val="373737" w:themeColor="background1" w:themeShade="40"/>
              </w:rPr>
              <w:t>9</w:t>
            </w:r>
          </w:p>
        </w:tc>
        <w:tc>
          <w:tcPr>
            <w:tcW w:w="6662" w:type="dxa"/>
            <w:shd w:val="clear" w:color="auto" w:fill="auto"/>
          </w:tcPr>
          <w:p w14:paraId="570A4370" w14:textId="77777777" w:rsidR="002B2ED6" w:rsidRPr="00CB34A3" w:rsidRDefault="002B2ED6" w:rsidP="00AA71F1">
            <w:pPr>
              <w:suppressAutoHyphens/>
              <w:spacing w:before="40" w:after="40" w:line="240" w:lineRule="auto"/>
              <w:rPr>
                <w:rFonts w:cs="Arial"/>
                <w:color w:val="373737" w:themeColor="background1" w:themeShade="40"/>
                <w:szCs w:val="18"/>
                <w:lang w:val="en-GB"/>
              </w:rPr>
            </w:pPr>
            <w:r w:rsidRPr="00CB34A3">
              <w:rPr>
                <w:color w:val="373737" w:themeColor="background1" w:themeShade="40"/>
                <w:lang w:val="en-GB"/>
              </w:rPr>
              <w:t xml:space="preserve">Progress made in ensuring an integrated approach to support the territorial development of rural areas, including through local development strategies </w:t>
            </w:r>
          </w:p>
        </w:tc>
        <w:tc>
          <w:tcPr>
            <w:tcW w:w="2694" w:type="dxa"/>
            <w:shd w:val="clear" w:color="auto" w:fill="auto"/>
          </w:tcPr>
          <w:p w14:paraId="3FCA0D02" w14:textId="77777777" w:rsidR="002B2ED6" w:rsidRPr="003726BE" w:rsidRDefault="002B2ED6" w:rsidP="00AA71F1">
            <w:pPr>
              <w:suppressAutoHyphens/>
              <w:spacing w:before="40" w:after="40" w:line="240" w:lineRule="auto"/>
              <w:rPr>
                <w:rFonts w:cs="Arial"/>
                <w:color w:val="373737" w:themeColor="background1" w:themeShade="40"/>
                <w:szCs w:val="18"/>
              </w:rPr>
            </w:pPr>
            <w:r w:rsidRPr="003726BE">
              <w:rPr>
                <w:color w:val="373737" w:themeColor="background1" w:themeShade="40"/>
              </w:rPr>
              <w:t>1303/2013 Art. 32-36</w:t>
            </w:r>
          </w:p>
          <w:p w14:paraId="4561E017" w14:textId="77777777" w:rsidR="002B2ED6" w:rsidRPr="003726BE" w:rsidRDefault="002B2ED6" w:rsidP="00AA71F1">
            <w:pPr>
              <w:suppressAutoHyphens/>
              <w:spacing w:before="40" w:after="40" w:line="240" w:lineRule="auto"/>
              <w:rPr>
                <w:rFonts w:cs="Arial"/>
                <w:color w:val="373737" w:themeColor="background1" w:themeShade="40"/>
                <w:szCs w:val="18"/>
              </w:rPr>
            </w:pPr>
            <w:r w:rsidRPr="003726BE">
              <w:rPr>
                <w:color w:val="373737" w:themeColor="background1" w:themeShade="40"/>
              </w:rPr>
              <w:t>1305/2014, Art.42-44</w:t>
            </w:r>
          </w:p>
        </w:tc>
        <w:tc>
          <w:tcPr>
            <w:tcW w:w="1129" w:type="dxa"/>
            <w:shd w:val="clear" w:color="auto" w:fill="auto"/>
          </w:tcPr>
          <w:p w14:paraId="56DEAE71" w14:textId="77777777" w:rsidR="002B2ED6" w:rsidRPr="003726BE" w:rsidRDefault="002B2ED6" w:rsidP="00AA71F1">
            <w:pPr>
              <w:suppressAutoHyphens/>
              <w:spacing w:before="40" w:after="40" w:line="240" w:lineRule="auto"/>
              <w:rPr>
                <w:rFonts w:cs="Arial"/>
                <w:color w:val="373737" w:themeColor="background1" w:themeShade="40"/>
                <w:szCs w:val="18"/>
              </w:rPr>
            </w:pPr>
          </w:p>
        </w:tc>
        <w:tc>
          <w:tcPr>
            <w:tcW w:w="1134" w:type="dxa"/>
            <w:shd w:val="clear" w:color="auto" w:fill="auto"/>
          </w:tcPr>
          <w:p w14:paraId="37D707F5" w14:textId="77777777" w:rsidR="002B2ED6" w:rsidRPr="003726BE" w:rsidRDefault="002B2ED6" w:rsidP="00AA71F1">
            <w:pPr>
              <w:suppressAutoHyphens/>
              <w:spacing w:before="40" w:after="40" w:line="240" w:lineRule="auto"/>
              <w:rPr>
                <w:rFonts w:cs="Arial"/>
                <w:color w:val="373737" w:themeColor="background1" w:themeShade="40"/>
                <w:szCs w:val="18"/>
              </w:rPr>
            </w:pPr>
          </w:p>
        </w:tc>
        <w:tc>
          <w:tcPr>
            <w:tcW w:w="1134" w:type="dxa"/>
            <w:shd w:val="clear" w:color="auto" w:fill="auto"/>
          </w:tcPr>
          <w:p w14:paraId="4F5912DA" w14:textId="77777777" w:rsidR="002B2ED6" w:rsidRPr="003726BE" w:rsidRDefault="002B2ED6" w:rsidP="00AA71F1">
            <w:pPr>
              <w:suppressAutoHyphens/>
              <w:spacing w:before="40" w:after="40" w:line="240" w:lineRule="auto"/>
              <w:rPr>
                <w:rFonts w:cs="Arial"/>
                <w:color w:val="373737" w:themeColor="background1" w:themeShade="40"/>
                <w:szCs w:val="18"/>
              </w:rPr>
            </w:pPr>
            <w:r w:rsidRPr="003726BE">
              <w:rPr>
                <w:rFonts w:cs="Arial"/>
                <w:color w:val="373737" w:themeColor="background1" w:themeShade="40"/>
                <w:szCs w:val="18"/>
              </w:rPr>
              <w:sym w:font="Wingdings" w:char="F0FC"/>
            </w:r>
          </w:p>
        </w:tc>
      </w:tr>
      <w:tr w:rsidR="002B2ED6" w:rsidRPr="00F61F42" w14:paraId="6F1FCF87" w14:textId="77777777" w:rsidTr="00AA71F1">
        <w:trPr>
          <w:trHeight w:val="180"/>
          <w:jc w:val="center"/>
        </w:trPr>
        <w:tc>
          <w:tcPr>
            <w:tcW w:w="425" w:type="dxa"/>
            <w:shd w:val="clear" w:color="auto" w:fill="auto"/>
          </w:tcPr>
          <w:p w14:paraId="39803E97" w14:textId="77777777" w:rsidR="002B2ED6" w:rsidRPr="003726BE" w:rsidRDefault="002B2ED6" w:rsidP="00AA71F1">
            <w:pPr>
              <w:suppressAutoHyphens/>
              <w:spacing w:before="40" w:after="40" w:line="240" w:lineRule="auto"/>
              <w:rPr>
                <w:rFonts w:cs="Arial"/>
                <w:color w:val="373737" w:themeColor="background1" w:themeShade="40"/>
                <w:szCs w:val="18"/>
              </w:rPr>
            </w:pPr>
            <w:r w:rsidRPr="003726BE">
              <w:rPr>
                <w:color w:val="373737" w:themeColor="background1" w:themeShade="40"/>
              </w:rPr>
              <w:t>10</w:t>
            </w:r>
          </w:p>
        </w:tc>
        <w:tc>
          <w:tcPr>
            <w:tcW w:w="6662" w:type="dxa"/>
            <w:shd w:val="clear" w:color="auto" w:fill="auto"/>
          </w:tcPr>
          <w:p w14:paraId="07EDEE7E" w14:textId="77777777" w:rsidR="002B2ED6" w:rsidRPr="00CB34A3" w:rsidRDefault="002B2ED6" w:rsidP="00AA71F1">
            <w:pPr>
              <w:suppressAutoHyphens/>
              <w:spacing w:before="40" w:after="40" w:line="240" w:lineRule="auto"/>
              <w:rPr>
                <w:rFonts w:cs="Arial"/>
                <w:color w:val="373737" w:themeColor="background1" w:themeShade="40"/>
                <w:szCs w:val="18"/>
                <w:lang w:val="en-GB"/>
              </w:rPr>
            </w:pPr>
            <w:r w:rsidRPr="00CB34A3">
              <w:rPr>
                <w:color w:val="373737" w:themeColor="background1" w:themeShade="40"/>
                <w:lang w:val="en-GB"/>
              </w:rPr>
              <w:t>Report on implementation of financial instruments (as annex to AIR)</w:t>
            </w:r>
          </w:p>
        </w:tc>
        <w:tc>
          <w:tcPr>
            <w:tcW w:w="2694" w:type="dxa"/>
            <w:shd w:val="clear" w:color="auto" w:fill="auto"/>
          </w:tcPr>
          <w:p w14:paraId="4DE2FDC3" w14:textId="77777777" w:rsidR="002B2ED6" w:rsidRPr="00CB34A3" w:rsidRDefault="002B2ED6" w:rsidP="00AA71F1">
            <w:pPr>
              <w:suppressAutoHyphens/>
              <w:spacing w:before="40" w:after="40" w:line="240" w:lineRule="auto"/>
              <w:rPr>
                <w:rFonts w:cs="Arial"/>
                <w:color w:val="373737" w:themeColor="background1" w:themeShade="40"/>
                <w:szCs w:val="18"/>
                <w:lang w:val="en-GB"/>
              </w:rPr>
            </w:pPr>
          </w:p>
        </w:tc>
        <w:tc>
          <w:tcPr>
            <w:tcW w:w="1129" w:type="dxa"/>
            <w:shd w:val="clear" w:color="auto" w:fill="auto"/>
          </w:tcPr>
          <w:p w14:paraId="182DFF34" w14:textId="77777777" w:rsidR="002B2ED6" w:rsidRPr="00CB34A3" w:rsidRDefault="002B2ED6" w:rsidP="00AA71F1">
            <w:pPr>
              <w:suppressAutoHyphens/>
              <w:spacing w:before="40" w:after="40" w:line="240" w:lineRule="auto"/>
              <w:rPr>
                <w:rFonts w:cs="Arial"/>
                <w:color w:val="373737" w:themeColor="background1" w:themeShade="40"/>
                <w:szCs w:val="18"/>
                <w:lang w:val="en-GB"/>
              </w:rPr>
            </w:pPr>
          </w:p>
        </w:tc>
        <w:tc>
          <w:tcPr>
            <w:tcW w:w="1134" w:type="dxa"/>
            <w:shd w:val="clear" w:color="auto" w:fill="auto"/>
          </w:tcPr>
          <w:p w14:paraId="37A42DCE" w14:textId="77777777" w:rsidR="002B2ED6" w:rsidRPr="00CB34A3" w:rsidRDefault="002B2ED6" w:rsidP="00AA71F1">
            <w:pPr>
              <w:suppressAutoHyphens/>
              <w:spacing w:before="40" w:after="40" w:line="240" w:lineRule="auto"/>
              <w:rPr>
                <w:rFonts w:cs="Arial"/>
                <w:color w:val="373737" w:themeColor="background1" w:themeShade="40"/>
                <w:szCs w:val="18"/>
                <w:lang w:val="en-GB"/>
              </w:rPr>
            </w:pPr>
          </w:p>
        </w:tc>
        <w:tc>
          <w:tcPr>
            <w:tcW w:w="1134" w:type="dxa"/>
            <w:shd w:val="clear" w:color="auto" w:fill="auto"/>
          </w:tcPr>
          <w:p w14:paraId="307E0F5A" w14:textId="77777777" w:rsidR="002B2ED6" w:rsidRPr="00CB34A3" w:rsidRDefault="002B2ED6" w:rsidP="00AA71F1">
            <w:pPr>
              <w:suppressAutoHyphens/>
              <w:spacing w:before="40" w:after="40" w:line="240" w:lineRule="auto"/>
              <w:rPr>
                <w:rFonts w:cs="Arial"/>
                <w:color w:val="373737" w:themeColor="background1" w:themeShade="40"/>
                <w:szCs w:val="18"/>
                <w:lang w:val="en-GB"/>
              </w:rPr>
            </w:pPr>
          </w:p>
        </w:tc>
      </w:tr>
      <w:tr w:rsidR="002B2ED6" w:rsidRPr="003726BE" w14:paraId="01EF8C4F" w14:textId="77777777" w:rsidTr="00AA71F1">
        <w:trPr>
          <w:trHeight w:val="180"/>
          <w:jc w:val="center"/>
        </w:trPr>
        <w:tc>
          <w:tcPr>
            <w:tcW w:w="425" w:type="dxa"/>
            <w:shd w:val="clear" w:color="auto" w:fill="auto"/>
          </w:tcPr>
          <w:p w14:paraId="32695419" w14:textId="77777777" w:rsidR="002B2ED6" w:rsidRPr="00CB34A3" w:rsidRDefault="002B2ED6" w:rsidP="00AA71F1">
            <w:pPr>
              <w:suppressAutoHyphens/>
              <w:spacing w:before="40" w:after="40" w:line="240" w:lineRule="auto"/>
              <w:rPr>
                <w:rFonts w:cs="Arial"/>
                <w:szCs w:val="18"/>
                <w:lang w:val="en-GB"/>
              </w:rPr>
            </w:pPr>
          </w:p>
        </w:tc>
        <w:tc>
          <w:tcPr>
            <w:tcW w:w="6662" w:type="dxa"/>
            <w:shd w:val="clear" w:color="auto" w:fill="auto"/>
          </w:tcPr>
          <w:p w14:paraId="0DCC05D9" w14:textId="77777777" w:rsidR="002B2ED6" w:rsidRPr="00CB34A3" w:rsidRDefault="002B2ED6" w:rsidP="00AA71F1">
            <w:pPr>
              <w:suppressAutoHyphens/>
              <w:spacing w:before="40" w:after="40" w:line="240" w:lineRule="auto"/>
              <w:rPr>
                <w:rFonts w:cs="Arial"/>
                <w:color w:val="373737" w:themeColor="background1" w:themeShade="40"/>
                <w:szCs w:val="18"/>
                <w:lang w:val="en-GB"/>
              </w:rPr>
            </w:pPr>
            <w:r w:rsidRPr="00CB34A3">
              <w:rPr>
                <w:color w:val="373737" w:themeColor="background1" w:themeShade="40"/>
                <w:lang w:val="en-GB"/>
              </w:rPr>
              <w:t>including for each financial instrument the information contained in Article 46.2 points a) to g) and i) of Reg. 1303/2013</w:t>
            </w:r>
          </w:p>
        </w:tc>
        <w:tc>
          <w:tcPr>
            <w:tcW w:w="2694" w:type="dxa"/>
            <w:shd w:val="clear" w:color="auto" w:fill="auto"/>
          </w:tcPr>
          <w:p w14:paraId="6709033D" w14:textId="77777777" w:rsidR="002B2ED6" w:rsidRPr="00CB34A3" w:rsidRDefault="002B2ED6" w:rsidP="00AA71F1">
            <w:pPr>
              <w:suppressAutoHyphens/>
              <w:spacing w:before="40" w:after="40" w:line="240" w:lineRule="auto"/>
              <w:rPr>
                <w:rFonts w:cs="Arial"/>
                <w:color w:val="373737" w:themeColor="background1" w:themeShade="40"/>
                <w:szCs w:val="18"/>
                <w:lang w:val="en-GB"/>
              </w:rPr>
            </w:pPr>
            <w:r w:rsidRPr="00CB34A3">
              <w:rPr>
                <w:color w:val="373737" w:themeColor="background1" w:themeShade="40"/>
                <w:lang w:val="en-GB"/>
              </w:rPr>
              <w:t>1303/2013 Art. 46.2, points a) – g) and i)</w:t>
            </w:r>
          </w:p>
        </w:tc>
        <w:tc>
          <w:tcPr>
            <w:tcW w:w="1129" w:type="dxa"/>
            <w:shd w:val="clear" w:color="auto" w:fill="auto"/>
          </w:tcPr>
          <w:p w14:paraId="5FCE17D8" w14:textId="77777777" w:rsidR="002B2ED6" w:rsidRPr="003726BE" w:rsidRDefault="002B2ED6" w:rsidP="00AA71F1">
            <w:pPr>
              <w:suppressAutoHyphens/>
              <w:spacing w:before="40" w:after="40" w:line="240" w:lineRule="auto"/>
              <w:rPr>
                <w:rFonts w:cs="Arial"/>
                <w:color w:val="373737" w:themeColor="background1" w:themeShade="40"/>
                <w:szCs w:val="18"/>
              </w:rPr>
            </w:pPr>
            <w:r w:rsidRPr="003726BE">
              <w:rPr>
                <w:rFonts w:cs="Arial"/>
                <w:color w:val="373737" w:themeColor="background1" w:themeShade="40"/>
                <w:szCs w:val="18"/>
              </w:rPr>
              <w:sym w:font="Wingdings" w:char="F0FC"/>
            </w:r>
          </w:p>
        </w:tc>
        <w:tc>
          <w:tcPr>
            <w:tcW w:w="1134" w:type="dxa"/>
            <w:shd w:val="clear" w:color="auto" w:fill="auto"/>
          </w:tcPr>
          <w:p w14:paraId="0075ADC3" w14:textId="77777777" w:rsidR="002B2ED6" w:rsidRPr="003726BE" w:rsidRDefault="002B2ED6" w:rsidP="00AA71F1">
            <w:pPr>
              <w:suppressAutoHyphens/>
              <w:spacing w:before="40" w:after="40" w:line="240" w:lineRule="auto"/>
              <w:rPr>
                <w:rFonts w:cs="Arial"/>
                <w:color w:val="373737" w:themeColor="background1" w:themeShade="40"/>
                <w:szCs w:val="18"/>
              </w:rPr>
            </w:pPr>
            <w:r w:rsidRPr="003726BE">
              <w:rPr>
                <w:rFonts w:cs="Arial"/>
                <w:color w:val="373737" w:themeColor="background1" w:themeShade="40"/>
                <w:szCs w:val="18"/>
              </w:rPr>
              <w:sym w:font="Wingdings" w:char="F0FC"/>
            </w:r>
          </w:p>
        </w:tc>
        <w:tc>
          <w:tcPr>
            <w:tcW w:w="1134" w:type="dxa"/>
            <w:shd w:val="clear" w:color="auto" w:fill="auto"/>
          </w:tcPr>
          <w:p w14:paraId="3D97C1B8" w14:textId="77777777" w:rsidR="002B2ED6" w:rsidRPr="003726BE" w:rsidRDefault="002B2ED6" w:rsidP="00AA71F1">
            <w:pPr>
              <w:suppressAutoHyphens/>
              <w:spacing w:before="40" w:after="40" w:line="240" w:lineRule="auto"/>
              <w:rPr>
                <w:rFonts w:cs="Arial"/>
                <w:color w:val="373737" w:themeColor="background1" w:themeShade="40"/>
                <w:szCs w:val="18"/>
              </w:rPr>
            </w:pPr>
            <w:r w:rsidRPr="003726BE">
              <w:rPr>
                <w:rFonts w:cs="Arial"/>
                <w:color w:val="373737" w:themeColor="background1" w:themeShade="40"/>
                <w:szCs w:val="18"/>
              </w:rPr>
              <w:sym w:font="Wingdings" w:char="F0FC"/>
            </w:r>
          </w:p>
        </w:tc>
      </w:tr>
      <w:tr w:rsidR="002B2ED6" w:rsidRPr="003726BE" w14:paraId="15534BEE" w14:textId="77777777" w:rsidTr="00AA71F1">
        <w:trPr>
          <w:trHeight w:val="718"/>
          <w:jc w:val="center"/>
        </w:trPr>
        <w:tc>
          <w:tcPr>
            <w:tcW w:w="425" w:type="dxa"/>
            <w:shd w:val="clear" w:color="auto" w:fill="auto"/>
          </w:tcPr>
          <w:p w14:paraId="5DE6772F" w14:textId="77777777" w:rsidR="002B2ED6" w:rsidRPr="003726BE" w:rsidRDefault="002B2ED6" w:rsidP="00AA71F1">
            <w:pPr>
              <w:suppressAutoHyphens/>
              <w:spacing w:before="40" w:after="40" w:line="240" w:lineRule="auto"/>
              <w:rPr>
                <w:rFonts w:cs="Arial"/>
                <w:szCs w:val="18"/>
              </w:rPr>
            </w:pPr>
          </w:p>
        </w:tc>
        <w:tc>
          <w:tcPr>
            <w:tcW w:w="6662" w:type="dxa"/>
            <w:shd w:val="clear" w:color="auto" w:fill="auto"/>
          </w:tcPr>
          <w:p w14:paraId="6D7720AA" w14:textId="77777777" w:rsidR="002B2ED6" w:rsidRPr="00CB34A3" w:rsidRDefault="002B2ED6" w:rsidP="00BE40D4">
            <w:pPr>
              <w:suppressAutoHyphens/>
              <w:spacing w:before="40" w:after="40" w:line="240" w:lineRule="auto"/>
              <w:rPr>
                <w:rFonts w:cs="Arial"/>
                <w:color w:val="373737" w:themeColor="background1" w:themeShade="40"/>
                <w:szCs w:val="18"/>
                <w:lang w:val="en-GB"/>
              </w:rPr>
            </w:pPr>
            <w:r w:rsidRPr="00CB34A3">
              <w:rPr>
                <w:color w:val="373737" w:themeColor="background1" w:themeShade="40"/>
                <w:lang w:val="en-GB"/>
              </w:rPr>
              <w:t>Including the information contained in Article 46.2 points h) and j) of Reg. 1303/2013</w:t>
            </w:r>
          </w:p>
        </w:tc>
        <w:tc>
          <w:tcPr>
            <w:tcW w:w="2694" w:type="dxa"/>
            <w:shd w:val="clear" w:color="auto" w:fill="auto"/>
          </w:tcPr>
          <w:p w14:paraId="0E2CFB65" w14:textId="77777777" w:rsidR="002B2ED6" w:rsidRPr="00CB34A3" w:rsidRDefault="002B2ED6" w:rsidP="00AA71F1">
            <w:pPr>
              <w:suppressAutoHyphens/>
              <w:spacing w:before="40" w:after="40" w:line="240" w:lineRule="auto"/>
              <w:rPr>
                <w:rFonts w:cs="Arial"/>
                <w:color w:val="373737" w:themeColor="background1" w:themeShade="40"/>
                <w:szCs w:val="18"/>
                <w:lang w:val="en-GB"/>
              </w:rPr>
            </w:pPr>
            <w:r w:rsidRPr="00CB34A3">
              <w:rPr>
                <w:color w:val="373737" w:themeColor="background1" w:themeShade="40"/>
                <w:lang w:val="en-GB"/>
              </w:rPr>
              <w:t>1303/2013 Art. 46.2, points h) and j)</w:t>
            </w:r>
          </w:p>
        </w:tc>
        <w:tc>
          <w:tcPr>
            <w:tcW w:w="1129" w:type="dxa"/>
            <w:shd w:val="clear" w:color="auto" w:fill="auto"/>
          </w:tcPr>
          <w:p w14:paraId="6EB4F8E0" w14:textId="77777777" w:rsidR="002B2ED6" w:rsidRPr="00CB34A3" w:rsidRDefault="002B2ED6" w:rsidP="00AA71F1">
            <w:pPr>
              <w:suppressAutoHyphens/>
              <w:spacing w:before="40" w:after="40" w:line="240" w:lineRule="auto"/>
              <w:rPr>
                <w:rFonts w:cs="Arial"/>
                <w:color w:val="373737" w:themeColor="background1" w:themeShade="40"/>
                <w:szCs w:val="18"/>
                <w:lang w:val="en-GB"/>
              </w:rPr>
            </w:pPr>
          </w:p>
        </w:tc>
        <w:tc>
          <w:tcPr>
            <w:tcW w:w="1134" w:type="dxa"/>
            <w:shd w:val="clear" w:color="auto" w:fill="auto"/>
          </w:tcPr>
          <w:p w14:paraId="2FBCA981" w14:textId="77777777" w:rsidR="002B2ED6" w:rsidRPr="003726BE" w:rsidRDefault="002B2ED6" w:rsidP="00AA71F1">
            <w:pPr>
              <w:suppressAutoHyphens/>
              <w:spacing w:before="40" w:after="40" w:line="240" w:lineRule="auto"/>
              <w:rPr>
                <w:rFonts w:cs="Arial"/>
                <w:color w:val="373737" w:themeColor="background1" w:themeShade="40"/>
                <w:szCs w:val="18"/>
              </w:rPr>
            </w:pPr>
            <w:r w:rsidRPr="003726BE">
              <w:rPr>
                <w:rFonts w:cs="Arial"/>
                <w:color w:val="373737" w:themeColor="background1" w:themeShade="40"/>
                <w:szCs w:val="18"/>
              </w:rPr>
              <w:sym w:font="Wingdings" w:char="F0FC"/>
            </w:r>
          </w:p>
        </w:tc>
        <w:tc>
          <w:tcPr>
            <w:tcW w:w="1134" w:type="dxa"/>
            <w:shd w:val="clear" w:color="auto" w:fill="auto"/>
          </w:tcPr>
          <w:p w14:paraId="73BF84B7" w14:textId="77777777" w:rsidR="002B2ED6" w:rsidRPr="003726BE" w:rsidRDefault="002B2ED6" w:rsidP="00AA71F1">
            <w:pPr>
              <w:suppressAutoHyphens/>
              <w:spacing w:before="40" w:after="40" w:line="240" w:lineRule="auto"/>
              <w:rPr>
                <w:rFonts w:cs="Arial"/>
                <w:color w:val="373737" w:themeColor="background1" w:themeShade="40"/>
                <w:szCs w:val="18"/>
              </w:rPr>
            </w:pPr>
            <w:r w:rsidRPr="003726BE">
              <w:rPr>
                <w:rFonts w:cs="Arial"/>
                <w:color w:val="373737" w:themeColor="background1" w:themeShade="40"/>
                <w:szCs w:val="18"/>
              </w:rPr>
              <w:sym w:font="Wingdings" w:char="F0FC"/>
            </w:r>
          </w:p>
        </w:tc>
      </w:tr>
    </w:tbl>
    <w:p w14:paraId="3794AF38" w14:textId="77777777" w:rsidR="002B2ED6" w:rsidRPr="003726BE" w:rsidRDefault="002B2ED6" w:rsidP="002B2ED6">
      <w:pPr>
        <w:pStyle w:val="H-Heading2"/>
        <w:ind w:left="792" w:hanging="432"/>
        <w:rPr>
          <w:rFonts w:ascii="Arial" w:hAnsi="Arial" w:cs="Arial"/>
        </w:rPr>
        <w:sectPr w:rsidR="002B2ED6" w:rsidRPr="003726BE" w:rsidSect="00FE5DEE">
          <w:pgSz w:w="16840" w:h="11907" w:orient="landscape" w:code="9"/>
          <w:pgMar w:top="1418" w:right="1418" w:bottom="1418" w:left="1418" w:header="737" w:footer="709" w:gutter="0"/>
          <w:cols w:space="708"/>
          <w:titlePg/>
          <w:docGrid w:linePitch="435"/>
        </w:sectPr>
      </w:pPr>
    </w:p>
    <w:p w14:paraId="5E12D54D" w14:textId="77777777" w:rsidR="002B2ED6" w:rsidRPr="00CB34A3" w:rsidRDefault="002B2ED6" w:rsidP="009750E9">
      <w:pPr>
        <w:pStyle w:val="HHeading1"/>
        <w:numPr>
          <w:ilvl w:val="0"/>
          <w:numId w:val="0"/>
        </w:numPr>
        <w:rPr>
          <w:caps w:val="0"/>
          <w:lang w:val="en-GB"/>
        </w:rPr>
      </w:pPr>
      <w:bookmarkStart w:id="144" w:name="_Toc460936129"/>
      <w:bookmarkStart w:id="145" w:name="_Toc474132169"/>
      <w:bookmarkStart w:id="146" w:name="_Toc456012910"/>
      <w:r w:rsidRPr="00CB34A3">
        <w:rPr>
          <w:caps w:val="0"/>
          <w:lang w:val="en-GB"/>
        </w:rPr>
        <w:lastRenderedPageBreak/>
        <w:t>Annex 4 – Working Steps in Setting up the System to Answer the evaluation questions in 2017</w:t>
      </w:r>
      <w:bookmarkEnd w:id="144"/>
      <w:bookmarkEnd w:id="145"/>
      <w:r w:rsidRPr="00CB34A3">
        <w:rPr>
          <w:caps w:val="0"/>
          <w:lang w:val="en-GB"/>
        </w:rPr>
        <w:t xml:space="preserve">  </w:t>
      </w:r>
      <w:bookmarkEnd w:id="146"/>
    </w:p>
    <w:tbl>
      <w:tblPr>
        <w:tblStyle w:val="TableGrid"/>
        <w:tblW w:w="13675" w:type="dxa"/>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1975"/>
        <w:gridCol w:w="2160"/>
        <w:gridCol w:w="2905"/>
        <w:gridCol w:w="3317"/>
        <w:gridCol w:w="3318"/>
      </w:tblGrid>
      <w:tr w:rsidR="002B2ED6" w:rsidRPr="00F61F42" w14:paraId="7150815E" w14:textId="77777777" w:rsidTr="000307AE">
        <w:trPr>
          <w:trHeight w:val="300"/>
          <w:tblHeader/>
        </w:trPr>
        <w:tc>
          <w:tcPr>
            <w:tcW w:w="1975" w:type="dxa"/>
            <w:vMerge w:val="restart"/>
            <w:shd w:val="clear" w:color="auto" w:fill="F07E31"/>
          </w:tcPr>
          <w:p w14:paraId="138DE2A3" w14:textId="77777777" w:rsidR="002B2ED6" w:rsidRPr="003726BE" w:rsidRDefault="002B2ED6" w:rsidP="00AA71F1">
            <w:pPr>
              <w:rPr>
                <w:rFonts w:cs="Arial"/>
                <w:b/>
                <w:color w:val="FFFFFF" w:themeColor="accent1"/>
                <w:szCs w:val="18"/>
              </w:rPr>
            </w:pPr>
            <w:r w:rsidRPr="003726BE">
              <w:rPr>
                <w:b/>
                <w:color w:val="FFFFFF" w:themeColor="accent1"/>
              </w:rPr>
              <w:t xml:space="preserve">Major steps </w:t>
            </w:r>
          </w:p>
        </w:tc>
        <w:tc>
          <w:tcPr>
            <w:tcW w:w="2160" w:type="dxa"/>
            <w:vMerge w:val="restart"/>
            <w:shd w:val="clear" w:color="auto" w:fill="F07E31"/>
          </w:tcPr>
          <w:p w14:paraId="453C3DC3" w14:textId="77777777" w:rsidR="002B2ED6" w:rsidRPr="003726BE" w:rsidRDefault="002B2ED6" w:rsidP="00AA71F1">
            <w:pPr>
              <w:rPr>
                <w:rFonts w:cs="Arial"/>
                <w:b/>
                <w:color w:val="FFFFFF" w:themeColor="accent1"/>
                <w:szCs w:val="18"/>
              </w:rPr>
            </w:pPr>
            <w:r w:rsidRPr="003726BE">
              <w:rPr>
                <w:b/>
                <w:color w:val="FFFFFF" w:themeColor="accent1"/>
              </w:rPr>
              <w:t>Steps</w:t>
            </w:r>
          </w:p>
        </w:tc>
        <w:tc>
          <w:tcPr>
            <w:tcW w:w="2905" w:type="dxa"/>
            <w:vMerge w:val="restart"/>
            <w:shd w:val="clear" w:color="auto" w:fill="F07E31"/>
          </w:tcPr>
          <w:p w14:paraId="331A44AC" w14:textId="77777777" w:rsidR="002B2ED6" w:rsidRPr="003726BE" w:rsidRDefault="002B2ED6" w:rsidP="00AA71F1">
            <w:pPr>
              <w:rPr>
                <w:rFonts w:cs="Arial"/>
                <w:b/>
                <w:color w:val="FFFFFF" w:themeColor="accent1"/>
                <w:szCs w:val="18"/>
              </w:rPr>
            </w:pPr>
            <w:r w:rsidRPr="003726BE">
              <w:rPr>
                <w:b/>
                <w:color w:val="FFFFFF" w:themeColor="accent1"/>
              </w:rPr>
              <w:t xml:space="preserve">Responsibilities </w:t>
            </w:r>
          </w:p>
        </w:tc>
        <w:tc>
          <w:tcPr>
            <w:tcW w:w="6635" w:type="dxa"/>
            <w:gridSpan w:val="2"/>
            <w:shd w:val="clear" w:color="auto" w:fill="F07E31"/>
          </w:tcPr>
          <w:p w14:paraId="11C9445E" w14:textId="77777777" w:rsidR="002B2ED6" w:rsidRPr="00CB34A3" w:rsidRDefault="002B2ED6" w:rsidP="00AA71F1">
            <w:pPr>
              <w:rPr>
                <w:rFonts w:cs="Arial"/>
                <w:b/>
                <w:color w:val="FFFFFF" w:themeColor="accent1"/>
                <w:szCs w:val="18"/>
                <w:lang w:val="en-GB"/>
              </w:rPr>
            </w:pPr>
            <w:r w:rsidRPr="00CB34A3">
              <w:rPr>
                <w:b/>
                <w:color w:val="FFFFFF" w:themeColor="accent1"/>
                <w:lang w:val="en-GB"/>
              </w:rPr>
              <w:t>Relevance for the Terms of Reference</w:t>
            </w:r>
          </w:p>
        </w:tc>
      </w:tr>
      <w:tr w:rsidR="002B2ED6" w:rsidRPr="00F61F42" w14:paraId="70EED497" w14:textId="77777777" w:rsidTr="000307AE">
        <w:trPr>
          <w:trHeight w:val="285"/>
          <w:tblHeader/>
        </w:trPr>
        <w:tc>
          <w:tcPr>
            <w:tcW w:w="1975" w:type="dxa"/>
            <w:vMerge/>
            <w:shd w:val="clear" w:color="auto" w:fill="F07E31"/>
          </w:tcPr>
          <w:p w14:paraId="387FEE55" w14:textId="77777777" w:rsidR="002B2ED6" w:rsidRPr="00CB34A3" w:rsidRDefault="002B2ED6" w:rsidP="00AA71F1">
            <w:pPr>
              <w:rPr>
                <w:rFonts w:cs="Arial"/>
                <w:b/>
                <w:color w:val="FFFFFF" w:themeColor="accent1"/>
                <w:szCs w:val="18"/>
                <w:lang w:val="en-GB"/>
              </w:rPr>
            </w:pPr>
          </w:p>
        </w:tc>
        <w:tc>
          <w:tcPr>
            <w:tcW w:w="2160" w:type="dxa"/>
            <w:vMerge/>
            <w:shd w:val="clear" w:color="auto" w:fill="F07E31"/>
          </w:tcPr>
          <w:p w14:paraId="1EE6FE09" w14:textId="77777777" w:rsidR="002B2ED6" w:rsidRPr="00CB34A3" w:rsidRDefault="002B2ED6" w:rsidP="00AA71F1">
            <w:pPr>
              <w:rPr>
                <w:rFonts w:cs="Arial"/>
                <w:b/>
                <w:color w:val="FFFFFF" w:themeColor="accent1"/>
                <w:szCs w:val="18"/>
                <w:lang w:val="en-GB"/>
              </w:rPr>
            </w:pPr>
          </w:p>
        </w:tc>
        <w:tc>
          <w:tcPr>
            <w:tcW w:w="2905" w:type="dxa"/>
            <w:vMerge/>
            <w:shd w:val="clear" w:color="auto" w:fill="F07E31"/>
          </w:tcPr>
          <w:p w14:paraId="1EAC59DE" w14:textId="77777777" w:rsidR="002B2ED6" w:rsidRPr="00CB34A3" w:rsidRDefault="002B2ED6" w:rsidP="00AA71F1">
            <w:pPr>
              <w:rPr>
                <w:rFonts w:cs="Arial"/>
                <w:b/>
                <w:color w:val="FFFFFF" w:themeColor="accent1"/>
                <w:szCs w:val="18"/>
                <w:lang w:val="en-GB"/>
              </w:rPr>
            </w:pPr>
          </w:p>
        </w:tc>
        <w:tc>
          <w:tcPr>
            <w:tcW w:w="3317" w:type="dxa"/>
            <w:shd w:val="clear" w:color="auto" w:fill="F07E31"/>
          </w:tcPr>
          <w:p w14:paraId="55004EC6" w14:textId="77777777" w:rsidR="002B2ED6" w:rsidRPr="00CB34A3" w:rsidRDefault="002B2ED6" w:rsidP="00AA71F1">
            <w:pPr>
              <w:rPr>
                <w:rFonts w:cs="Arial"/>
                <w:b/>
                <w:color w:val="FFFFFF" w:themeColor="accent1"/>
                <w:szCs w:val="18"/>
                <w:lang w:val="en-GB"/>
              </w:rPr>
            </w:pPr>
            <w:r w:rsidRPr="00CB34A3">
              <w:rPr>
                <w:b/>
                <w:color w:val="FFFFFF" w:themeColor="accent1"/>
                <w:lang w:val="en-GB"/>
              </w:rPr>
              <w:t>When the step is not part of the ToR</w:t>
            </w:r>
          </w:p>
        </w:tc>
        <w:tc>
          <w:tcPr>
            <w:tcW w:w="3318" w:type="dxa"/>
            <w:shd w:val="clear" w:color="auto" w:fill="F07E31"/>
          </w:tcPr>
          <w:p w14:paraId="07DAD375" w14:textId="77777777" w:rsidR="002B2ED6" w:rsidRPr="00CB34A3" w:rsidRDefault="002B2ED6" w:rsidP="00AA71F1">
            <w:pPr>
              <w:rPr>
                <w:rFonts w:cs="Arial"/>
                <w:b/>
                <w:color w:val="FFFFFF" w:themeColor="accent1"/>
                <w:szCs w:val="18"/>
                <w:lang w:val="en-GB"/>
              </w:rPr>
            </w:pPr>
            <w:r w:rsidRPr="00CB34A3">
              <w:rPr>
                <w:b/>
                <w:color w:val="FFFFFF" w:themeColor="accent1"/>
                <w:lang w:val="en-GB"/>
              </w:rPr>
              <w:t>When the step is part of the ToR</w:t>
            </w:r>
          </w:p>
        </w:tc>
      </w:tr>
      <w:tr w:rsidR="002B2ED6" w:rsidRPr="00F61F42" w14:paraId="028B738F" w14:textId="77777777" w:rsidTr="000307AE">
        <w:trPr>
          <w:trHeight w:val="2888"/>
        </w:trPr>
        <w:tc>
          <w:tcPr>
            <w:tcW w:w="1975" w:type="dxa"/>
            <w:vMerge w:val="restart"/>
          </w:tcPr>
          <w:p w14:paraId="155EA1B0" w14:textId="77777777" w:rsidR="002B2ED6" w:rsidRPr="003726BE" w:rsidRDefault="002B2ED6" w:rsidP="004D01B0">
            <w:pPr>
              <w:jc w:val="left"/>
              <w:rPr>
                <w:rFonts w:cs="Arial"/>
                <w:color w:val="373737" w:themeColor="background1" w:themeShade="40"/>
                <w:szCs w:val="18"/>
              </w:rPr>
            </w:pPr>
            <w:r w:rsidRPr="003726BE">
              <w:rPr>
                <w:color w:val="373737" w:themeColor="background1" w:themeShade="40"/>
              </w:rPr>
              <w:t xml:space="preserve">Preparing the evaluation </w:t>
            </w:r>
          </w:p>
        </w:tc>
        <w:tc>
          <w:tcPr>
            <w:tcW w:w="2160" w:type="dxa"/>
          </w:tcPr>
          <w:p w14:paraId="6A6DA817" w14:textId="77777777" w:rsidR="002B2ED6" w:rsidRPr="00CB34A3" w:rsidRDefault="002B2ED6" w:rsidP="004D01B0">
            <w:pPr>
              <w:jc w:val="left"/>
              <w:rPr>
                <w:rFonts w:cs="Arial"/>
                <w:color w:val="373737" w:themeColor="background1" w:themeShade="40"/>
                <w:szCs w:val="18"/>
                <w:lang w:val="en-GB"/>
              </w:rPr>
            </w:pPr>
            <w:r w:rsidRPr="00CB34A3">
              <w:rPr>
                <w:color w:val="373737" w:themeColor="background1" w:themeShade="40"/>
                <w:lang w:val="en-GB"/>
              </w:rPr>
              <w:t xml:space="preserve">Revisit the RDP intervention logic </w:t>
            </w:r>
          </w:p>
        </w:tc>
        <w:tc>
          <w:tcPr>
            <w:tcW w:w="2905" w:type="dxa"/>
          </w:tcPr>
          <w:p w14:paraId="0BD65B51" w14:textId="77777777" w:rsidR="002B2ED6" w:rsidRPr="00CB34A3" w:rsidRDefault="002B2ED6" w:rsidP="00AA71F1">
            <w:pPr>
              <w:pStyle w:val="Hlistbullet2"/>
              <w:numPr>
                <w:ilvl w:val="0"/>
                <w:numId w:val="0"/>
              </w:numPr>
              <w:jc w:val="left"/>
              <w:rPr>
                <w:rFonts w:cs="Arial"/>
                <w:sz w:val="18"/>
                <w:szCs w:val="18"/>
                <w:lang w:val="en-GB"/>
              </w:rPr>
            </w:pPr>
            <w:r w:rsidRPr="00CB34A3">
              <w:rPr>
                <w:b/>
                <w:sz w:val="18"/>
                <w:lang w:val="en-GB"/>
              </w:rPr>
              <w:t>Evaluation experts</w:t>
            </w:r>
            <w:r w:rsidRPr="00CB34A3">
              <w:rPr>
                <w:sz w:val="18"/>
                <w:lang w:val="en-GB"/>
              </w:rPr>
              <w:t xml:space="preserve"> within the Ministry of Agriculture (e.g. Evaluation Unit) and/or evaluators.</w:t>
            </w:r>
          </w:p>
          <w:p w14:paraId="3979E78D" w14:textId="77777777" w:rsidR="002B2ED6" w:rsidRPr="00CB34A3" w:rsidRDefault="002B2ED6" w:rsidP="00AA71F1">
            <w:pPr>
              <w:rPr>
                <w:rFonts w:cs="Arial"/>
                <w:color w:val="373737" w:themeColor="background1" w:themeShade="40"/>
                <w:szCs w:val="18"/>
                <w:lang w:val="en-GB"/>
              </w:rPr>
            </w:pPr>
          </w:p>
        </w:tc>
        <w:tc>
          <w:tcPr>
            <w:tcW w:w="3317" w:type="dxa"/>
          </w:tcPr>
          <w:p w14:paraId="14B4DDBF" w14:textId="77777777" w:rsidR="002B2ED6" w:rsidRPr="00CB34A3" w:rsidRDefault="002B2ED6" w:rsidP="00AA71F1">
            <w:pPr>
              <w:pStyle w:val="Hlistbullet"/>
              <w:numPr>
                <w:ilvl w:val="0"/>
                <w:numId w:val="0"/>
              </w:numPr>
              <w:jc w:val="left"/>
              <w:rPr>
                <w:rFonts w:cs="Arial"/>
                <w:sz w:val="18"/>
                <w:szCs w:val="18"/>
                <w:lang w:val="en-GB"/>
              </w:rPr>
            </w:pPr>
            <w:r w:rsidRPr="00CB34A3">
              <w:rPr>
                <w:sz w:val="18"/>
                <w:lang w:val="en-GB"/>
              </w:rPr>
              <w:t>Revisiting the RDP intervention logic is not part of the Terms of Reference if the evaluation experts within the Ministry of Agriculture have the capacity to review the relevance and coherence of the intervention logic, e.g. with the help of a research institute, and, in cases were the NRN, the experts and/or the NSU have the capacity to formulate the NRN intervention logic.</w:t>
            </w:r>
          </w:p>
        </w:tc>
        <w:tc>
          <w:tcPr>
            <w:tcW w:w="3318" w:type="dxa"/>
          </w:tcPr>
          <w:p w14:paraId="79ABB3D6" w14:textId="77777777" w:rsidR="002B2ED6" w:rsidRPr="00CB34A3" w:rsidRDefault="002B2ED6" w:rsidP="00AA71F1">
            <w:pPr>
              <w:pStyle w:val="Hlistbullet2"/>
              <w:numPr>
                <w:ilvl w:val="0"/>
                <w:numId w:val="0"/>
              </w:numPr>
              <w:jc w:val="left"/>
              <w:rPr>
                <w:rFonts w:cs="Arial"/>
                <w:sz w:val="18"/>
                <w:szCs w:val="18"/>
                <w:lang w:val="en-GB"/>
              </w:rPr>
            </w:pPr>
            <w:r w:rsidRPr="00CB34A3">
              <w:rPr>
                <w:sz w:val="18"/>
                <w:lang w:val="en-GB"/>
              </w:rPr>
              <w:t>This step is part of the Terms of Reference if the “in house” evaluation experts/NSUs do not have internal capacity to conduct this step.</w:t>
            </w:r>
          </w:p>
          <w:p w14:paraId="4B1F1593" w14:textId="77777777" w:rsidR="002B2ED6" w:rsidRPr="00CB34A3" w:rsidRDefault="002B2ED6" w:rsidP="00AA71F1">
            <w:pPr>
              <w:pStyle w:val="Hlistbullet"/>
              <w:numPr>
                <w:ilvl w:val="0"/>
                <w:numId w:val="0"/>
              </w:numPr>
              <w:ind w:hanging="360"/>
              <w:jc w:val="left"/>
              <w:rPr>
                <w:rFonts w:cs="Arial"/>
                <w:sz w:val="18"/>
                <w:szCs w:val="18"/>
                <w:lang w:val="en-GB"/>
              </w:rPr>
            </w:pPr>
          </w:p>
        </w:tc>
      </w:tr>
      <w:tr w:rsidR="002B2ED6" w:rsidRPr="00F61F42" w14:paraId="7FA1EF63" w14:textId="77777777" w:rsidTr="000307AE">
        <w:tc>
          <w:tcPr>
            <w:tcW w:w="1975" w:type="dxa"/>
            <w:vMerge/>
          </w:tcPr>
          <w:p w14:paraId="3ADCEF8B" w14:textId="77777777" w:rsidR="002B2ED6" w:rsidRPr="00CB34A3" w:rsidRDefault="002B2ED6" w:rsidP="00AA71F1">
            <w:pPr>
              <w:rPr>
                <w:rFonts w:cs="Arial"/>
                <w:color w:val="373737" w:themeColor="background1" w:themeShade="40"/>
                <w:szCs w:val="18"/>
                <w:lang w:val="en-GB"/>
              </w:rPr>
            </w:pPr>
          </w:p>
        </w:tc>
        <w:tc>
          <w:tcPr>
            <w:tcW w:w="2160" w:type="dxa"/>
          </w:tcPr>
          <w:p w14:paraId="48DE82FC" w14:textId="77777777" w:rsidR="002B2ED6" w:rsidRPr="00CB34A3" w:rsidRDefault="002B2ED6" w:rsidP="004D01B0">
            <w:pPr>
              <w:jc w:val="left"/>
              <w:rPr>
                <w:rFonts w:cs="Arial"/>
                <w:color w:val="373737" w:themeColor="background1" w:themeShade="40"/>
                <w:szCs w:val="18"/>
                <w:lang w:val="en-GB"/>
              </w:rPr>
            </w:pPr>
            <w:r w:rsidRPr="00CB34A3">
              <w:rPr>
                <w:color w:val="373737" w:themeColor="background1" w:themeShade="40"/>
                <w:lang w:val="en-GB"/>
              </w:rPr>
              <w:t xml:space="preserve">Link intervention logic to the evaluation elements </w:t>
            </w:r>
          </w:p>
        </w:tc>
        <w:tc>
          <w:tcPr>
            <w:tcW w:w="2905" w:type="dxa"/>
          </w:tcPr>
          <w:p w14:paraId="1B53E613" w14:textId="77777777" w:rsidR="002B2ED6" w:rsidRPr="00CB34A3" w:rsidRDefault="002B2ED6" w:rsidP="004C2F08">
            <w:pPr>
              <w:pStyle w:val="Hlistbullet"/>
              <w:numPr>
                <w:ilvl w:val="0"/>
                <w:numId w:val="0"/>
              </w:numPr>
              <w:rPr>
                <w:rFonts w:cs="Arial"/>
                <w:sz w:val="18"/>
                <w:szCs w:val="18"/>
                <w:lang w:val="en-GB"/>
              </w:rPr>
            </w:pPr>
            <w:r w:rsidRPr="00CB34A3">
              <w:rPr>
                <w:b/>
                <w:sz w:val="18"/>
                <w:lang w:val="en-GB"/>
              </w:rPr>
              <w:t>Managing authorities</w:t>
            </w:r>
            <w:r w:rsidRPr="00CB34A3">
              <w:rPr>
                <w:sz w:val="18"/>
                <w:lang w:val="en-GB"/>
              </w:rPr>
              <w:t xml:space="preserve"> are responsible for defining all programme-specific elements mentioned in the RDP, its evaluation plan or in other internal evaluation planning documents. In the case of the CEQs and common indicators, the EU legal acts, EC working documents and guidelines must be taken into consideration when using the common evaluation elements. </w:t>
            </w:r>
          </w:p>
          <w:p w14:paraId="7CAE2949" w14:textId="77777777" w:rsidR="002B2ED6" w:rsidRPr="00CB34A3" w:rsidRDefault="002B2ED6" w:rsidP="00AA71F1">
            <w:pPr>
              <w:pStyle w:val="Hlistbullet"/>
              <w:numPr>
                <w:ilvl w:val="0"/>
                <w:numId w:val="0"/>
              </w:numPr>
              <w:rPr>
                <w:rFonts w:cs="Arial"/>
                <w:sz w:val="18"/>
                <w:szCs w:val="18"/>
                <w:lang w:val="en-GB"/>
              </w:rPr>
            </w:pPr>
            <w:r w:rsidRPr="00CB34A3">
              <w:rPr>
                <w:b/>
                <w:sz w:val="18"/>
                <w:lang w:val="en-GB"/>
              </w:rPr>
              <w:t>Evaluation experts/evaluators</w:t>
            </w:r>
            <w:r w:rsidRPr="00CB34A3">
              <w:rPr>
                <w:sz w:val="18"/>
                <w:lang w:val="en-GB"/>
              </w:rPr>
              <w:t xml:space="preserve"> can define the PSEQs and programme-specific indicators and discuss them with the Managing Authorities. New programme-specific evaluation </w:t>
            </w:r>
            <w:r w:rsidRPr="00CB34A3">
              <w:rPr>
                <w:sz w:val="18"/>
                <w:lang w:val="en-GB"/>
              </w:rPr>
              <w:lastRenderedPageBreak/>
              <w:t xml:space="preserve">elements are designed when those presented in the RDP are not sufficient to capture all programme effects or assess all evaluation topics.   </w:t>
            </w:r>
          </w:p>
        </w:tc>
        <w:tc>
          <w:tcPr>
            <w:tcW w:w="3317" w:type="dxa"/>
          </w:tcPr>
          <w:p w14:paraId="4072D32D" w14:textId="77777777" w:rsidR="002B2ED6" w:rsidRPr="00CB34A3" w:rsidRDefault="002B2ED6" w:rsidP="00AA71F1">
            <w:pPr>
              <w:pStyle w:val="Hlistbullet"/>
              <w:numPr>
                <w:ilvl w:val="0"/>
                <w:numId w:val="0"/>
              </w:numPr>
              <w:rPr>
                <w:rFonts w:cs="Arial"/>
                <w:sz w:val="18"/>
                <w:szCs w:val="18"/>
                <w:lang w:val="en-GB"/>
              </w:rPr>
            </w:pPr>
            <w:r w:rsidRPr="00CB34A3">
              <w:rPr>
                <w:sz w:val="18"/>
                <w:lang w:val="en-GB"/>
              </w:rPr>
              <w:lastRenderedPageBreak/>
              <w:t xml:space="preserve">The definition of the evaluation elements (EQ, judgment criteria and indicators) is not part of the Terms of Reference if programme authorities or “in house evaluation experts” fully understand all terms used in the working documents mentioned in “Further reading”, in the RDP´s evaluation plan, internal evaluation planning documents or other relevant documents.  </w:t>
            </w:r>
          </w:p>
          <w:p w14:paraId="101C305B" w14:textId="77777777" w:rsidR="002B2ED6" w:rsidRPr="00CB34A3" w:rsidRDefault="002B2ED6" w:rsidP="00AA71F1">
            <w:pPr>
              <w:rPr>
                <w:rFonts w:cs="Arial"/>
                <w:color w:val="373737" w:themeColor="background1" w:themeShade="40"/>
                <w:szCs w:val="18"/>
                <w:lang w:val="en-GB"/>
              </w:rPr>
            </w:pPr>
          </w:p>
        </w:tc>
        <w:tc>
          <w:tcPr>
            <w:tcW w:w="3318" w:type="dxa"/>
          </w:tcPr>
          <w:p w14:paraId="2477BFB8" w14:textId="77777777" w:rsidR="002B2ED6" w:rsidRPr="00CB34A3" w:rsidRDefault="002B2ED6" w:rsidP="00AA71F1">
            <w:pPr>
              <w:pStyle w:val="Hlistbullet2"/>
              <w:numPr>
                <w:ilvl w:val="0"/>
                <w:numId w:val="0"/>
              </w:numPr>
              <w:rPr>
                <w:rFonts w:cs="Arial"/>
                <w:sz w:val="18"/>
                <w:szCs w:val="18"/>
                <w:lang w:val="en-GB"/>
              </w:rPr>
            </w:pPr>
            <w:r w:rsidRPr="00CB34A3">
              <w:rPr>
                <w:sz w:val="18"/>
                <w:lang w:val="en-GB"/>
              </w:rPr>
              <w:t>This step is part of the Terms of Reference if the evaluation elements have to be completed and defined after the intervention logic appraisal (additional programme specific elements).</w:t>
            </w:r>
          </w:p>
          <w:p w14:paraId="2102B336" w14:textId="77777777" w:rsidR="002B2ED6" w:rsidRPr="00CB34A3" w:rsidRDefault="002B2ED6" w:rsidP="00AA71F1">
            <w:pPr>
              <w:rPr>
                <w:rFonts w:cs="Arial"/>
                <w:color w:val="373737" w:themeColor="background1" w:themeShade="40"/>
                <w:szCs w:val="18"/>
                <w:lang w:val="en-GB"/>
              </w:rPr>
            </w:pPr>
          </w:p>
        </w:tc>
      </w:tr>
      <w:tr w:rsidR="002B2ED6" w:rsidRPr="00F61F42" w14:paraId="07E75F78" w14:textId="77777777" w:rsidTr="000307AE">
        <w:tc>
          <w:tcPr>
            <w:tcW w:w="1975" w:type="dxa"/>
            <w:vMerge w:val="restart"/>
          </w:tcPr>
          <w:p w14:paraId="0269A1D4" w14:textId="77777777" w:rsidR="002B2ED6" w:rsidRPr="00CB34A3" w:rsidRDefault="002B2ED6" w:rsidP="00AA71F1">
            <w:pPr>
              <w:rPr>
                <w:rFonts w:cs="Arial"/>
                <w:szCs w:val="18"/>
                <w:lang w:val="en-GB"/>
              </w:rPr>
            </w:pPr>
          </w:p>
        </w:tc>
        <w:tc>
          <w:tcPr>
            <w:tcW w:w="2160" w:type="dxa"/>
          </w:tcPr>
          <w:p w14:paraId="2971F50B" w14:textId="77777777" w:rsidR="002B2ED6" w:rsidRPr="00CB34A3" w:rsidRDefault="002B2ED6" w:rsidP="004D01B0">
            <w:pPr>
              <w:jc w:val="left"/>
              <w:rPr>
                <w:rFonts w:cs="Arial"/>
                <w:color w:val="373737" w:themeColor="background1" w:themeShade="40"/>
                <w:szCs w:val="18"/>
                <w:lang w:val="en-GB"/>
              </w:rPr>
            </w:pPr>
            <w:r w:rsidRPr="00CB34A3">
              <w:rPr>
                <w:color w:val="373737" w:themeColor="background1" w:themeShade="40"/>
                <w:lang w:val="en-GB"/>
              </w:rPr>
              <w:t>Check the consistency of the evaluation questions and indicators with RDP intervention logic</w:t>
            </w:r>
          </w:p>
        </w:tc>
        <w:tc>
          <w:tcPr>
            <w:tcW w:w="2905" w:type="dxa"/>
          </w:tcPr>
          <w:p w14:paraId="13D2753A" w14:textId="77777777" w:rsidR="002B2ED6" w:rsidRPr="00CB34A3" w:rsidRDefault="002B2ED6" w:rsidP="00AA71F1">
            <w:pPr>
              <w:pStyle w:val="Hlistbullet"/>
              <w:numPr>
                <w:ilvl w:val="0"/>
                <w:numId w:val="0"/>
              </w:numPr>
              <w:rPr>
                <w:rFonts w:cs="Arial"/>
                <w:sz w:val="18"/>
                <w:szCs w:val="18"/>
                <w:lang w:val="en-GB"/>
              </w:rPr>
            </w:pPr>
            <w:r w:rsidRPr="00CB34A3">
              <w:rPr>
                <w:b/>
                <w:sz w:val="18"/>
                <w:lang w:val="en-GB"/>
              </w:rPr>
              <w:t>Evaluation experts</w:t>
            </w:r>
            <w:r w:rsidRPr="00CB34A3">
              <w:rPr>
                <w:sz w:val="18"/>
                <w:lang w:val="en-GB"/>
              </w:rPr>
              <w:t xml:space="preserve"> within the Ministry of Agriculture (e.g. Evaluation Unit) and/or</w:t>
            </w:r>
          </w:p>
          <w:p w14:paraId="0BE7EE77" w14:textId="77777777" w:rsidR="002B2ED6" w:rsidRPr="003726BE" w:rsidRDefault="002B2ED6" w:rsidP="00AA71F1">
            <w:pPr>
              <w:pStyle w:val="Hlistbullet2"/>
              <w:numPr>
                <w:ilvl w:val="0"/>
                <w:numId w:val="0"/>
              </w:numPr>
              <w:ind w:left="360" w:hanging="360"/>
              <w:rPr>
                <w:rFonts w:cs="Arial"/>
                <w:b/>
                <w:sz w:val="18"/>
                <w:szCs w:val="18"/>
              </w:rPr>
            </w:pPr>
            <w:r w:rsidRPr="003726BE">
              <w:rPr>
                <w:b/>
                <w:sz w:val="18"/>
              </w:rPr>
              <w:t xml:space="preserve">Evaluators </w:t>
            </w:r>
          </w:p>
        </w:tc>
        <w:tc>
          <w:tcPr>
            <w:tcW w:w="3317" w:type="dxa"/>
          </w:tcPr>
          <w:p w14:paraId="5BB40E24" w14:textId="77777777" w:rsidR="002B2ED6" w:rsidRPr="00CB34A3" w:rsidRDefault="002B2ED6" w:rsidP="00AA71F1">
            <w:pPr>
              <w:pStyle w:val="Hlistbullet"/>
              <w:numPr>
                <w:ilvl w:val="0"/>
                <w:numId w:val="0"/>
              </w:numPr>
              <w:rPr>
                <w:rFonts w:cs="Arial"/>
                <w:sz w:val="18"/>
                <w:szCs w:val="18"/>
                <w:lang w:val="en-GB"/>
              </w:rPr>
            </w:pPr>
            <w:r w:rsidRPr="00CB34A3">
              <w:rPr>
                <w:sz w:val="18"/>
                <w:lang w:val="en-GB"/>
              </w:rPr>
              <w:t xml:space="preserve">Checking consistency between evaluation elements and the RDP’s intervention logic is not part of the Terms of Reference if the evaluation experts within the Ministry of Agriculture have the necessary capacity to assess the consistency of the intervention logic with the CEQs and PSEQs and indicators and if all PSEQs and indicators are already developed and defined, </w:t>
            </w:r>
          </w:p>
        </w:tc>
        <w:tc>
          <w:tcPr>
            <w:tcW w:w="3318" w:type="dxa"/>
          </w:tcPr>
          <w:p w14:paraId="258F5CC9" w14:textId="77777777" w:rsidR="002B2ED6" w:rsidRPr="00CB34A3" w:rsidRDefault="002B2ED6" w:rsidP="00AA71F1">
            <w:pPr>
              <w:rPr>
                <w:rFonts w:cs="Arial"/>
                <w:color w:val="373737" w:themeColor="background1" w:themeShade="40"/>
                <w:szCs w:val="18"/>
                <w:lang w:val="en-GB"/>
              </w:rPr>
            </w:pPr>
            <w:r w:rsidRPr="00CB34A3">
              <w:rPr>
                <w:color w:val="373737" w:themeColor="background1" w:themeShade="40"/>
                <w:lang w:val="en-GB"/>
              </w:rPr>
              <w:t xml:space="preserve">This step is part of the Terms of Reference in case the programme-specific evaluation elements are not properly developed or defined, or if the “in house” evaluation experts do not have the necessary capacity to conduct this step and define programme specific elements if needed.  </w:t>
            </w:r>
          </w:p>
        </w:tc>
      </w:tr>
      <w:tr w:rsidR="002B2ED6" w:rsidRPr="00F61F42" w14:paraId="03D50C03" w14:textId="77777777" w:rsidTr="000307AE">
        <w:trPr>
          <w:trHeight w:val="3320"/>
        </w:trPr>
        <w:tc>
          <w:tcPr>
            <w:tcW w:w="1975" w:type="dxa"/>
            <w:vMerge/>
          </w:tcPr>
          <w:p w14:paraId="524626E8" w14:textId="77777777" w:rsidR="002B2ED6" w:rsidRPr="00CB34A3" w:rsidRDefault="002B2ED6" w:rsidP="00AA71F1">
            <w:pPr>
              <w:rPr>
                <w:rFonts w:cs="Arial"/>
                <w:szCs w:val="18"/>
                <w:lang w:val="en-GB"/>
              </w:rPr>
            </w:pPr>
          </w:p>
        </w:tc>
        <w:tc>
          <w:tcPr>
            <w:tcW w:w="2160" w:type="dxa"/>
          </w:tcPr>
          <w:p w14:paraId="684F617A" w14:textId="77777777" w:rsidR="002B2ED6" w:rsidRPr="00CB34A3" w:rsidRDefault="002B2ED6" w:rsidP="004D01B0">
            <w:pPr>
              <w:jc w:val="left"/>
              <w:rPr>
                <w:rFonts w:cs="Arial"/>
                <w:color w:val="373737" w:themeColor="background1" w:themeShade="40"/>
                <w:szCs w:val="18"/>
                <w:lang w:val="en-GB"/>
              </w:rPr>
            </w:pPr>
            <w:r w:rsidRPr="00CB34A3">
              <w:rPr>
                <w:color w:val="373737" w:themeColor="background1" w:themeShade="40"/>
                <w:lang w:val="en-GB"/>
              </w:rPr>
              <w:t xml:space="preserve">Develop RDP specific evaluation elements </w:t>
            </w:r>
          </w:p>
        </w:tc>
        <w:tc>
          <w:tcPr>
            <w:tcW w:w="2905" w:type="dxa"/>
          </w:tcPr>
          <w:p w14:paraId="485B854C" w14:textId="77777777" w:rsidR="002B2ED6" w:rsidRPr="00CB34A3" w:rsidRDefault="002B2ED6" w:rsidP="00AA71F1">
            <w:pPr>
              <w:pStyle w:val="Hlistbullet"/>
              <w:numPr>
                <w:ilvl w:val="0"/>
                <w:numId w:val="0"/>
              </w:numPr>
              <w:rPr>
                <w:rFonts w:cs="Arial"/>
                <w:sz w:val="18"/>
                <w:szCs w:val="18"/>
                <w:lang w:val="en-GB"/>
              </w:rPr>
            </w:pPr>
            <w:r w:rsidRPr="00CB34A3">
              <w:rPr>
                <w:b/>
                <w:sz w:val="18"/>
                <w:lang w:val="en-GB"/>
              </w:rPr>
              <w:t>Managing authorities with the support of “in house” evaluation experts</w:t>
            </w:r>
            <w:r w:rsidRPr="00CB34A3">
              <w:rPr>
                <w:sz w:val="18"/>
                <w:lang w:val="en-GB"/>
              </w:rPr>
              <w:t xml:space="preserve"> may define PSEQs and indicators in the RDP’s design stage and include them in the evaluation plan and Indicator Plan. They may also define programme-specific evaluation elements at later stages during the programme implementation, at the occasion of a newly identified evaluation need or topic, which cannot be covered by the common or existing PSEQs.</w:t>
            </w:r>
          </w:p>
          <w:p w14:paraId="7A1597BC" w14:textId="77777777" w:rsidR="002B2ED6" w:rsidRPr="00CB34A3" w:rsidRDefault="002B2ED6" w:rsidP="004D01B0">
            <w:pPr>
              <w:pStyle w:val="Hlistbullet"/>
              <w:tabs>
                <w:tab w:val="left" w:pos="567"/>
              </w:tabs>
              <w:ind w:left="0"/>
              <w:jc w:val="left"/>
              <w:rPr>
                <w:rFonts w:cs="Arial"/>
                <w:sz w:val="18"/>
                <w:szCs w:val="18"/>
                <w:lang w:val="en-GB"/>
              </w:rPr>
            </w:pPr>
            <w:r w:rsidRPr="00CB34A3">
              <w:rPr>
                <w:b/>
                <w:sz w:val="18"/>
                <w:lang w:val="en-GB"/>
              </w:rPr>
              <w:t>Evaluators</w:t>
            </w:r>
            <w:r w:rsidRPr="00CB34A3">
              <w:rPr>
                <w:sz w:val="18"/>
                <w:lang w:val="en-GB"/>
              </w:rPr>
              <w:t xml:space="preserve"> may define other </w:t>
            </w:r>
            <w:r w:rsidRPr="00CB34A3">
              <w:rPr>
                <w:sz w:val="18"/>
                <w:lang w:val="en-GB"/>
              </w:rPr>
              <w:lastRenderedPageBreak/>
              <w:t>PSEQs and indicators, if there is:</w:t>
            </w:r>
          </w:p>
          <w:p w14:paraId="296B136A" w14:textId="77777777" w:rsidR="004D01B0" w:rsidRPr="00CB34A3" w:rsidRDefault="002B2ED6" w:rsidP="001A31FB">
            <w:pPr>
              <w:pStyle w:val="Hlistbullet"/>
              <w:numPr>
                <w:ilvl w:val="0"/>
                <w:numId w:val="49"/>
              </w:numPr>
              <w:tabs>
                <w:tab w:val="left" w:pos="851"/>
              </w:tabs>
              <w:ind w:left="432" w:hanging="288"/>
              <w:jc w:val="left"/>
              <w:rPr>
                <w:rFonts w:cs="Arial"/>
                <w:sz w:val="18"/>
                <w:szCs w:val="18"/>
                <w:lang w:val="en-GB"/>
              </w:rPr>
            </w:pPr>
            <w:r w:rsidRPr="00CB34A3">
              <w:rPr>
                <w:sz w:val="18"/>
                <w:lang w:val="en-GB"/>
              </w:rPr>
              <w:t>Inconsistency between the RDP intervention logic and common and programme-specific elements, or</w:t>
            </w:r>
          </w:p>
          <w:p w14:paraId="0BD496C3" w14:textId="77777777" w:rsidR="004D01B0" w:rsidRPr="00CB34A3" w:rsidRDefault="004D01B0" w:rsidP="001A31FB">
            <w:pPr>
              <w:pStyle w:val="Hlistbullet"/>
              <w:numPr>
                <w:ilvl w:val="0"/>
                <w:numId w:val="49"/>
              </w:numPr>
              <w:tabs>
                <w:tab w:val="left" w:pos="851"/>
              </w:tabs>
              <w:ind w:left="432" w:hanging="288"/>
              <w:jc w:val="left"/>
              <w:rPr>
                <w:rFonts w:cs="Arial"/>
                <w:sz w:val="18"/>
                <w:szCs w:val="18"/>
                <w:lang w:val="en-GB"/>
              </w:rPr>
            </w:pPr>
            <w:r w:rsidRPr="00CB34A3">
              <w:rPr>
                <w:sz w:val="18"/>
                <w:lang w:val="en-GB"/>
              </w:rPr>
              <w:t xml:space="preserve">Inconsistency between the RDP intervention logic and the territorial and SWOT analysis, and the needs assessment, or </w:t>
            </w:r>
          </w:p>
          <w:p w14:paraId="75A874BA" w14:textId="77777777" w:rsidR="004D01B0" w:rsidRPr="00CB34A3" w:rsidRDefault="002B2ED6" w:rsidP="001A31FB">
            <w:pPr>
              <w:pStyle w:val="Hlistbullet"/>
              <w:numPr>
                <w:ilvl w:val="0"/>
                <w:numId w:val="49"/>
              </w:numPr>
              <w:tabs>
                <w:tab w:val="left" w:pos="851"/>
              </w:tabs>
              <w:ind w:left="432" w:hanging="288"/>
              <w:jc w:val="left"/>
              <w:rPr>
                <w:rFonts w:cs="Arial"/>
                <w:sz w:val="18"/>
                <w:szCs w:val="18"/>
                <w:lang w:val="en-GB"/>
              </w:rPr>
            </w:pPr>
            <w:r w:rsidRPr="00CB34A3">
              <w:rPr>
                <w:sz w:val="18"/>
                <w:lang w:val="en-GB"/>
              </w:rPr>
              <w:t xml:space="preserve">Failure by common and programme-specific evaluation elements to fully capture RDP-specific effects, or </w:t>
            </w:r>
          </w:p>
          <w:p w14:paraId="5A93051F" w14:textId="77777777" w:rsidR="002B2ED6" w:rsidRPr="00CB34A3" w:rsidRDefault="002B2ED6" w:rsidP="001A31FB">
            <w:pPr>
              <w:pStyle w:val="Hlistbullet"/>
              <w:numPr>
                <w:ilvl w:val="0"/>
                <w:numId w:val="49"/>
              </w:numPr>
              <w:tabs>
                <w:tab w:val="left" w:pos="851"/>
              </w:tabs>
              <w:ind w:left="432" w:hanging="288"/>
              <w:jc w:val="left"/>
              <w:rPr>
                <w:rFonts w:cs="Arial"/>
                <w:sz w:val="18"/>
                <w:szCs w:val="18"/>
                <w:lang w:val="en-GB"/>
              </w:rPr>
            </w:pPr>
            <w:r w:rsidRPr="00CB34A3">
              <w:rPr>
                <w:sz w:val="18"/>
                <w:lang w:val="en-GB"/>
              </w:rPr>
              <w:t>Identified significant unintended effects of intervention logic, which are not covered by existing PSEQs and indicators.</w:t>
            </w:r>
          </w:p>
        </w:tc>
        <w:tc>
          <w:tcPr>
            <w:tcW w:w="3317" w:type="dxa"/>
          </w:tcPr>
          <w:p w14:paraId="55385259" w14:textId="77777777" w:rsidR="002B2ED6" w:rsidRPr="00CB34A3" w:rsidRDefault="002B2ED6" w:rsidP="00AA71F1">
            <w:pPr>
              <w:rPr>
                <w:rFonts w:cs="Arial"/>
                <w:color w:val="373737" w:themeColor="background1" w:themeShade="40"/>
                <w:szCs w:val="18"/>
                <w:lang w:val="en-GB"/>
              </w:rPr>
            </w:pPr>
          </w:p>
        </w:tc>
        <w:tc>
          <w:tcPr>
            <w:tcW w:w="3318" w:type="dxa"/>
          </w:tcPr>
          <w:p w14:paraId="6CBC033C" w14:textId="77777777" w:rsidR="002B2ED6" w:rsidRPr="00CB34A3" w:rsidRDefault="002B2ED6" w:rsidP="00AA71F1">
            <w:pPr>
              <w:rPr>
                <w:rFonts w:cs="Arial"/>
                <w:color w:val="373737" w:themeColor="background1" w:themeShade="40"/>
                <w:szCs w:val="18"/>
                <w:lang w:val="en-GB"/>
              </w:rPr>
            </w:pPr>
            <w:r w:rsidRPr="00CB34A3">
              <w:rPr>
                <w:color w:val="373737" w:themeColor="background1" w:themeShade="40"/>
                <w:lang w:val="en-GB"/>
              </w:rPr>
              <w:t xml:space="preserve">This step is always part of the Terms of Reference </w:t>
            </w:r>
          </w:p>
        </w:tc>
      </w:tr>
      <w:tr w:rsidR="002B2ED6" w:rsidRPr="00F61F42" w14:paraId="4D48EE9C" w14:textId="77777777" w:rsidTr="000307AE">
        <w:trPr>
          <w:trHeight w:val="3113"/>
        </w:trPr>
        <w:tc>
          <w:tcPr>
            <w:tcW w:w="1975" w:type="dxa"/>
            <w:vMerge w:val="restart"/>
          </w:tcPr>
          <w:p w14:paraId="1F3A8245" w14:textId="77777777" w:rsidR="002B2ED6" w:rsidRPr="003726BE" w:rsidRDefault="002B2ED6" w:rsidP="004D01B0">
            <w:pPr>
              <w:jc w:val="left"/>
              <w:rPr>
                <w:rFonts w:cs="Arial"/>
                <w:color w:val="373737" w:themeColor="background1" w:themeShade="40"/>
                <w:szCs w:val="18"/>
              </w:rPr>
            </w:pPr>
            <w:r w:rsidRPr="003726BE">
              <w:rPr>
                <w:color w:val="373737" w:themeColor="background1" w:themeShade="40"/>
              </w:rPr>
              <w:lastRenderedPageBreak/>
              <w:t xml:space="preserve">Structuring the evaluation </w:t>
            </w:r>
          </w:p>
        </w:tc>
        <w:tc>
          <w:tcPr>
            <w:tcW w:w="2160" w:type="dxa"/>
          </w:tcPr>
          <w:p w14:paraId="22A446DE" w14:textId="77777777" w:rsidR="002B2ED6" w:rsidRPr="00CB34A3" w:rsidRDefault="002B2ED6" w:rsidP="004D01B0">
            <w:pPr>
              <w:jc w:val="left"/>
              <w:rPr>
                <w:rFonts w:cs="Arial"/>
                <w:color w:val="373737" w:themeColor="background1" w:themeShade="40"/>
                <w:szCs w:val="18"/>
                <w:lang w:val="en-GB"/>
              </w:rPr>
            </w:pPr>
            <w:r w:rsidRPr="00CB34A3">
              <w:rPr>
                <w:color w:val="373737" w:themeColor="background1" w:themeShade="40"/>
                <w:lang w:val="en-GB"/>
              </w:rPr>
              <w:t>Set up a consistent evaluation approach</w:t>
            </w:r>
          </w:p>
        </w:tc>
        <w:tc>
          <w:tcPr>
            <w:tcW w:w="2905" w:type="dxa"/>
          </w:tcPr>
          <w:p w14:paraId="133F7629" w14:textId="77777777" w:rsidR="002B2ED6" w:rsidRPr="00CB34A3" w:rsidRDefault="002B2ED6" w:rsidP="00AA71F1">
            <w:pPr>
              <w:pStyle w:val="Hlistbullet"/>
              <w:numPr>
                <w:ilvl w:val="0"/>
                <w:numId w:val="0"/>
              </w:numPr>
              <w:rPr>
                <w:rFonts w:cs="Arial"/>
                <w:sz w:val="18"/>
                <w:szCs w:val="18"/>
                <w:lang w:val="en-GB"/>
              </w:rPr>
            </w:pPr>
            <w:r w:rsidRPr="00CB34A3">
              <w:rPr>
                <w:b/>
                <w:sz w:val="18"/>
                <w:lang w:val="en-GB"/>
              </w:rPr>
              <w:t>Managing Authority</w:t>
            </w:r>
            <w:r w:rsidRPr="00CB34A3">
              <w:rPr>
                <w:sz w:val="18"/>
                <w:lang w:val="en-GB"/>
              </w:rPr>
              <w:t xml:space="preserve"> (e.g. in collaboration with the evaluation experts within the Ministry) will propose the evaluation approach for the assessment of the RDP. If programme authorities have relevant capacity, they can also propose evaluation methods.</w:t>
            </w:r>
          </w:p>
          <w:p w14:paraId="04A4CFA0" w14:textId="77777777" w:rsidR="002B2ED6" w:rsidRPr="00CB34A3" w:rsidRDefault="002B2ED6" w:rsidP="00AA71F1">
            <w:pPr>
              <w:pStyle w:val="Hlistbullet2"/>
              <w:numPr>
                <w:ilvl w:val="0"/>
                <w:numId w:val="0"/>
              </w:numPr>
              <w:rPr>
                <w:rFonts w:cs="Arial"/>
                <w:sz w:val="18"/>
                <w:szCs w:val="18"/>
                <w:lang w:val="en-GB"/>
              </w:rPr>
            </w:pPr>
            <w:r w:rsidRPr="00CB34A3">
              <w:rPr>
                <w:b/>
                <w:sz w:val="18"/>
                <w:lang w:val="en-GB"/>
              </w:rPr>
              <w:t>Evaluators</w:t>
            </w:r>
            <w:r w:rsidRPr="00CB34A3">
              <w:rPr>
                <w:sz w:val="18"/>
                <w:lang w:val="en-GB"/>
              </w:rPr>
              <w:t xml:space="preserve"> elaborate further on the evaluation approach and evaluation methods used to accomplish the evaluation tasks. </w:t>
            </w:r>
          </w:p>
        </w:tc>
        <w:tc>
          <w:tcPr>
            <w:tcW w:w="3317" w:type="dxa"/>
          </w:tcPr>
          <w:p w14:paraId="41BDE09A" w14:textId="77777777" w:rsidR="002B2ED6" w:rsidRPr="00CB34A3" w:rsidRDefault="002B2ED6" w:rsidP="00AA71F1">
            <w:pPr>
              <w:rPr>
                <w:rFonts w:cs="Arial"/>
                <w:color w:val="373737" w:themeColor="background1" w:themeShade="40"/>
                <w:szCs w:val="18"/>
                <w:lang w:val="en-GB"/>
              </w:rPr>
            </w:pPr>
          </w:p>
        </w:tc>
        <w:tc>
          <w:tcPr>
            <w:tcW w:w="3318" w:type="dxa"/>
          </w:tcPr>
          <w:p w14:paraId="2C5E459E" w14:textId="77777777" w:rsidR="002B2ED6" w:rsidRPr="00CB34A3" w:rsidRDefault="002B2ED6" w:rsidP="00AA71F1">
            <w:pPr>
              <w:pStyle w:val="Hlistbullet2"/>
              <w:numPr>
                <w:ilvl w:val="0"/>
                <w:numId w:val="0"/>
              </w:numPr>
              <w:rPr>
                <w:rFonts w:cs="Arial"/>
                <w:sz w:val="18"/>
                <w:szCs w:val="18"/>
                <w:lang w:val="en-GB"/>
              </w:rPr>
            </w:pPr>
            <w:r w:rsidRPr="00CB34A3">
              <w:rPr>
                <w:sz w:val="18"/>
                <w:lang w:val="en-GB"/>
              </w:rPr>
              <w:t xml:space="preserve">This step is always part of the Terms of Reference: evaluators must elaborate on the proposed evaluation approach, select and apply the most suitable evaluation methods. </w:t>
            </w:r>
          </w:p>
          <w:p w14:paraId="37A197CA" w14:textId="77777777" w:rsidR="002B2ED6" w:rsidRPr="00CB34A3" w:rsidRDefault="002B2ED6" w:rsidP="00AA71F1">
            <w:pPr>
              <w:rPr>
                <w:rFonts w:cs="Arial"/>
                <w:color w:val="373737" w:themeColor="background1" w:themeShade="40"/>
                <w:szCs w:val="18"/>
                <w:lang w:val="en-GB"/>
              </w:rPr>
            </w:pPr>
          </w:p>
        </w:tc>
      </w:tr>
      <w:tr w:rsidR="002B2ED6" w:rsidRPr="00F61F42" w14:paraId="75AAC63F" w14:textId="77777777" w:rsidTr="000307AE">
        <w:tc>
          <w:tcPr>
            <w:tcW w:w="1975" w:type="dxa"/>
            <w:vMerge/>
          </w:tcPr>
          <w:p w14:paraId="01F6A26E" w14:textId="77777777" w:rsidR="002B2ED6" w:rsidRPr="00CB34A3" w:rsidRDefault="002B2ED6" w:rsidP="004D01B0">
            <w:pPr>
              <w:jc w:val="left"/>
              <w:rPr>
                <w:rFonts w:cs="Arial"/>
                <w:color w:val="373737" w:themeColor="background1" w:themeShade="40"/>
                <w:szCs w:val="18"/>
                <w:lang w:val="en-GB"/>
              </w:rPr>
            </w:pPr>
          </w:p>
        </w:tc>
        <w:tc>
          <w:tcPr>
            <w:tcW w:w="2160" w:type="dxa"/>
          </w:tcPr>
          <w:p w14:paraId="6DC1FB93" w14:textId="77777777" w:rsidR="002B2ED6" w:rsidRPr="00CB34A3" w:rsidRDefault="002B2ED6" w:rsidP="004D01B0">
            <w:pPr>
              <w:jc w:val="left"/>
              <w:rPr>
                <w:rFonts w:cs="Arial"/>
                <w:color w:val="373737" w:themeColor="background1" w:themeShade="40"/>
                <w:szCs w:val="18"/>
                <w:lang w:val="en-GB"/>
              </w:rPr>
            </w:pPr>
            <w:r w:rsidRPr="00CB34A3">
              <w:rPr>
                <w:color w:val="373737" w:themeColor="background1" w:themeShade="40"/>
                <w:lang w:val="en-GB"/>
              </w:rPr>
              <w:t xml:space="preserve">Select evaluation methods and their combination </w:t>
            </w:r>
          </w:p>
        </w:tc>
        <w:tc>
          <w:tcPr>
            <w:tcW w:w="2905" w:type="dxa"/>
          </w:tcPr>
          <w:p w14:paraId="45DD1749" w14:textId="77777777" w:rsidR="002B2ED6" w:rsidRPr="00CB34A3" w:rsidRDefault="002B2ED6" w:rsidP="00AA71F1">
            <w:pPr>
              <w:pStyle w:val="Hlistbullet2"/>
              <w:numPr>
                <w:ilvl w:val="0"/>
                <w:numId w:val="0"/>
              </w:numPr>
              <w:rPr>
                <w:rFonts w:cs="Arial"/>
                <w:sz w:val="18"/>
                <w:szCs w:val="18"/>
                <w:lang w:val="en-GB"/>
              </w:rPr>
            </w:pPr>
            <w:r w:rsidRPr="00CB34A3">
              <w:rPr>
                <w:b/>
                <w:sz w:val="18"/>
                <w:lang w:val="en-GB"/>
              </w:rPr>
              <w:t>Managing authorities</w:t>
            </w:r>
            <w:r w:rsidRPr="00CB34A3">
              <w:rPr>
                <w:sz w:val="18"/>
                <w:lang w:val="en-GB"/>
              </w:rPr>
              <w:t xml:space="preserve"> with the help of evaluation experts within the Ministry of Agriculture may express their preference for certain evaluation methods, which they may specify in the Terms of Reference.</w:t>
            </w:r>
          </w:p>
          <w:p w14:paraId="4DD3370B" w14:textId="77777777" w:rsidR="002B2ED6" w:rsidRPr="00CB34A3" w:rsidRDefault="002B2ED6" w:rsidP="00AA71F1">
            <w:pPr>
              <w:rPr>
                <w:rFonts w:cs="Arial"/>
                <w:color w:val="373737" w:themeColor="background1" w:themeShade="40"/>
                <w:szCs w:val="18"/>
                <w:lang w:val="en-GB"/>
              </w:rPr>
            </w:pPr>
            <w:r w:rsidRPr="00CB34A3">
              <w:rPr>
                <w:b/>
                <w:color w:val="373737" w:themeColor="background1" w:themeShade="40"/>
                <w:lang w:val="en-GB"/>
              </w:rPr>
              <w:t>Evaluators</w:t>
            </w:r>
            <w:r w:rsidRPr="00CB34A3">
              <w:rPr>
                <w:color w:val="373737" w:themeColor="background1" w:themeShade="40"/>
                <w:lang w:val="en-GB"/>
              </w:rPr>
              <w:t xml:space="preserve"> select the evaluation methods </w:t>
            </w:r>
          </w:p>
        </w:tc>
        <w:tc>
          <w:tcPr>
            <w:tcW w:w="3317" w:type="dxa"/>
          </w:tcPr>
          <w:p w14:paraId="3AF36D93" w14:textId="77777777" w:rsidR="002B2ED6" w:rsidRPr="00CB34A3" w:rsidRDefault="002B2ED6" w:rsidP="00AA71F1">
            <w:pPr>
              <w:rPr>
                <w:rFonts w:cs="Arial"/>
                <w:color w:val="373737" w:themeColor="background1" w:themeShade="40"/>
                <w:szCs w:val="18"/>
                <w:lang w:val="en-GB"/>
              </w:rPr>
            </w:pPr>
          </w:p>
        </w:tc>
        <w:tc>
          <w:tcPr>
            <w:tcW w:w="3318" w:type="dxa"/>
          </w:tcPr>
          <w:p w14:paraId="27BF6C4E" w14:textId="77777777" w:rsidR="002B2ED6" w:rsidRPr="00CB34A3" w:rsidRDefault="002B2ED6" w:rsidP="00AA71F1">
            <w:pPr>
              <w:rPr>
                <w:rFonts w:cs="Arial"/>
                <w:color w:val="373737" w:themeColor="background1" w:themeShade="40"/>
                <w:szCs w:val="18"/>
                <w:lang w:val="en-GB"/>
              </w:rPr>
            </w:pPr>
            <w:r w:rsidRPr="00CB34A3">
              <w:rPr>
                <w:color w:val="373737" w:themeColor="background1" w:themeShade="40"/>
                <w:lang w:val="en-GB"/>
              </w:rPr>
              <w:t>This step is always part of the Terms of Reference</w:t>
            </w:r>
          </w:p>
        </w:tc>
      </w:tr>
      <w:tr w:rsidR="002B2ED6" w:rsidRPr="00F61F42" w14:paraId="1A285E19" w14:textId="77777777" w:rsidTr="000307AE">
        <w:trPr>
          <w:trHeight w:val="825"/>
        </w:trPr>
        <w:tc>
          <w:tcPr>
            <w:tcW w:w="1975" w:type="dxa"/>
            <w:vMerge/>
          </w:tcPr>
          <w:p w14:paraId="33845DE4" w14:textId="77777777" w:rsidR="002B2ED6" w:rsidRPr="00CB34A3" w:rsidRDefault="002B2ED6" w:rsidP="004D01B0">
            <w:pPr>
              <w:jc w:val="left"/>
              <w:rPr>
                <w:rFonts w:cs="Arial"/>
                <w:color w:val="373737" w:themeColor="background1" w:themeShade="40"/>
                <w:szCs w:val="18"/>
                <w:lang w:val="en-GB"/>
              </w:rPr>
            </w:pPr>
          </w:p>
        </w:tc>
        <w:tc>
          <w:tcPr>
            <w:tcW w:w="2160" w:type="dxa"/>
          </w:tcPr>
          <w:p w14:paraId="7812C92B" w14:textId="77777777" w:rsidR="002B2ED6" w:rsidRPr="00CB34A3" w:rsidRDefault="002B2ED6" w:rsidP="00FF0E20">
            <w:pPr>
              <w:jc w:val="left"/>
              <w:rPr>
                <w:rFonts w:cs="Arial"/>
                <w:color w:val="373737" w:themeColor="background1" w:themeShade="40"/>
                <w:szCs w:val="18"/>
                <w:lang w:val="en-GB"/>
              </w:rPr>
            </w:pPr>
            <w:r w:rsidRPr="00CB34A3">
              <w:rPr>
                <w:color w:val="373737" w:themeColor="background1" w:themeShade="40"/>
                <w:lang w:val="en-GB"/>
              </w:rPr>
              <w:t>Establish the evidence for evaluation</w:t>
            </w:r>
          </w:p>
        </w:tc>
        <w:tc>
          <w:tcPr>
            <w:tcW w:w="2905" w:type="dxa"/>
          </w:tcPr>
          <w:p w14:paraId="03BC728E" w14:textId="77777777" w:rsidR="002B2ED6" w:rsidRPr="00CB34A3" w:rsidRDefault="002B2ED6" w:rsidP="00F27316">
            <w:pPr>
              <w:rPr>
                <w:rFonts w:cs="Arial"/>
                <w:color w:val="373737" w:themeColor="background1" w:themeShade="40"/>
                <w:szCs w:val="18"/>
                <w:lang w:val="en-GB"/>
              </w:rPr>
            </w:pPr>
            <w:r w:rsidRPr="00CB34A3">
              <w:rPr>
                <w:color w:val="373737" w:themeColor="background1" w:themeShade="40"/>
                <w:lang w:val="en-GB"/>
              </w:rPr>
              <w:t>Responsibilities for establishing the evidence for evaluation are described in detail in Chapter 6.2.</w:t>
            </w:r>
          </w:p>
        </w:tc>
        <w:tc>
          <w:tcPr>
            <w:tcW w:w="3317" w:type="dxa"/>
          </w:tcPr>
          <w:p w14:paraId="6F8375D8" w14:textId="77777777" w:rsidR="002B2ED6" w:rsidRPr="00CB34A3" w:rsidRDefault="002B2ED6" w:rsidP="00AA71F1">
            <w:pPr>
              <w:rPr>
                <w:rFonts w:cs="Arial"/>
                <w:color w:val="373737" w:themeColor="background1" w:themeShade="40"/>
                <w:szCs w:val="18"/>
                <w:lang w:val="en-GB"/>
              </w:rPr>
            </w:pPr>
          </w:p>
        </w:tc>
        <w:tc>
          <w:tcPr>
            <w:tcW w:w="3318" w:type="dxa"/>
          </w:tcPr>
          <w:p w14:paraId="214CCB84" w14:textId="77777777" w:rsidR="002B2ED6" w:rsidRPr="00CB34A3" w:rsidRDefault="002B2ED6" w:rsidP="00AA71F1">
            <w:pPr>
              <w:pStyle w:val="Hlistbullet2"/>
              <w:numPr>
                <w:ilvl w:val="0"/>
                <w:numId w:val="0"/>
              </w:numPr>
              <w:jc w:val="left"/>
              <w:rPr>
                <w:rFonts w:cs="Arial"/>
                <w:sz w:val="18"/>
                <w:szCs w:val="18"/>
                <w:lang w:val="en-GB"/>
              </w:rPr>
            </w:pPr>
            <w:r w:rsidRPr="00CB34A3">
              <w:rPr>
                <w:sz w:val="18"/>
                <w:lang w:val="en-GB"/>
              </w:rPr>
              <w:t>This step is part of the Terms of Reference and reflects the responsibilities of evaluators in bridging the gaps in existing data sources and/or ensuring additional data &amp; information collection.</w:t>
            </w:r>
          </w:p>
        </w:tc>
      </w:tr>
      <w:tr w:rsidR="002B2ED6" w:rsidRPr="00F61F42" w14:paraId="46F56682" w14:textId="77777777" w:rsidTr="000307AE">
        <w:trPr>
          <w:trHeight w:val="105"/>
        </w:trPr>
        <w:tc>
          <w:tcPr>
            <w:tcW w:w="1975" w:type="dxa"/>
            <w:vMerge/>
          </w:tcPr>
          <w:p w14:paraId="19AEA214" w14:textId="77777777" w:rsidR="002B2ED6" w:rsidRPr="00CB34A3" w:rsidRDefault="002B2ED6" w:rsidP="00AA71F1">
            <w:pPr>
              <w:rPr>
                <w:rFonts w:cs="Arial"/>
                <w:szCs w:val="18"/>
                <w:lang w:val="en-GB"/>
              </w:rPr>
            </w:pPr>
          </w:p>
        </w:tc>
        <w:tc>
          <w:tcPr>
            <w:tcW w:w="2160" w:type="dxa"/>
          </w:tcPr>
          <w:p w14:paraId="5B8C8732" w14:textId="77777777" w:rsidR="002B2ED6" w:rsidRPr="00CB34A3" w:rsidRDefault="002B2ED6" w:rsidP="004D01B0">
            <w:pPr>
              <w:jc w:val="left"/>
              <w:rPr>
                <w:rFonts w:cs="Arial"/>
                <w:szCs w:val="18"/>
                <w:lang w:val="en-GB"/>
              </w:rPr>
            </w:pPr>
            <w:r w:rsidRPr="00CB34A3">
              <w:rPr>
                <w:lang w:val="en-GB"/>
              </w:rPr>
              <w:t xml:space="preserve">Manage and collect data for evaluation </w:t>
            </w:r>
          </w:p>
        </w:tc>
        <w:tc>
          <w:tcPr>
            <w:tcW w:w="2905" w:type="dxa"/>
          </w:tcPr>
          <w:p w14:paraId="392B7044" w14:textId="77777777" w:rsidR="002B2ED6" w:rsidRPr="00CB34A3" w:rsidRDefault="002B2ED6" w:rsidP="00F27316">
            <w:pPr>
              <w:rPr>
                <w:rFonts w:cs="Arial"/>
                <w:color w:val="373737" w:themeColor="background1" w:themeShade="40"/>
                <w:szCs w:val="18"/>
                <w:lang w:val="en-GB"/>
              </w:rPr>
            </w:pPr>
            <w:r w:rsidRPr="00CB34A3">
              <w:rPr>
                <w:color w:val="373737" w:themeColor="background1" w:themeShade="40"/>
                <w:lang w:val="en-GB"/>
              </w:rPr>
              <w:t>Responsibilities for establishing the evidence for evaluation are described in detail in Chapter 6.2.</w:t>
            </w:r>
          </w:p>
        </w:tc>
        <w:tc>
          <w:tcPr>
            <w:tcW w:w="3317" w:type="dxa"/>
          </w:tcPr>
          <w:p w14:paraId="527EB825" w14:textId="77777777" w:rsidR="002B2ED6" w:rsidRPr="00CB34A3" w:rsidRDefault="002B2ED6" w:rsidP="00AA71F1">
            <w:pPr>
              <w:rPr>
                <w:rFonts w:cs="Arial"/>
                <w:color w:val="373737" w:themeColor="background1" w:themeShade="40"/>
                <w:szCs w:val="18"/>
                <w:lang w:val="en-GB"/>
              </w:rPr>
            </w:pPr>
          </w:p>
        </w:tc>
        <w:tc>
          <w:tcPr>
            <w:tcW w:w="3318" w:type="dxa"/>
          </w:tcPr>
          <w:p w14:paraId="626B3C4E" w14:textId="77777777" w:rsidR="002B2ED6" w:rsidRPr="00CB34A3" w:rsidRDefault="002B2ED6" w:rsidP="00AA71F1">
            <w:pPr>
              <w:rPr>
                <w:rFonts w:cs="Arial"/>
                <w:color w:val="373737" w:themeColor="background1" w:themeShade="40"/>
                <w:szCs w:val="18"/>
                <w:lang w:val="en-GB"/>
              </w:rPr>
            </w:pPr>
            <w:r w:rsidRPr="00CB34A3">
              <w:rPr>
                <w:color w:val="373737" w:themeColor="background1" w:themeShade="40"/>
                <w:lang w:val="en-GB"/>
              </w:rPr>
              <w:t xml:space="preserve">This step is part of the Terms of Reference and reflects the responsibilities of evaluators in bridging the gaps in existing data </w:t>
            </w:r>
            <w:r w:rsidRPr="00CB34A3">
              <w:rPr>
                <w:color w:val="373737" w:themeColor="background1" w:themeShade="40"/>
                <w:lang w:val="en-GB"/>
              </w:rPr>
              <w:lastRenderedPageBreak/>
              <w:t>sources and/or ensuring additional data &amp; information collection.</w:t>
            </w:r>
          </w:p>
        </w:tc>
      </w:tr>
      <w:tr w:rsidR="002B2ED6" w:rsidRPr="00F61F42" w14:paraId="21DC0220" w14:textId="77777777" w:rsidTr="000307AE">
        <w:trPr>
          <w:trHeight w:val="150"/>
        </w:trPr>
        <w:tc>
          <w:tcPr>
            <w:tcW w:w="1975" w:type="dxa"/>
          </w:tcPr>
          <w:p w14:paraId="4F6A71D3" w14:textId="77777777" w:rsidR="002B2ED6" w:rsidRPr="003726BE" w:rsidRDefault="002B2ED6" w:rsidP="004D01B0">
            <w:pPr>
              <w:jc w:val="left"/>
              <w:rPr>
                <w:rFonts w:cs="Arial"/>
                <w:color w:val="373737" w:themeColor="background1" w:themeShade="40"/>
                <w:szCs w:val="18"/>
              </w:rPr>
            </w:pPr>
            <w:r w:rsidRPr="003726BE">
              <w:rPr>
                <w:color w:val="373737" w:themeColor="background1" w:themeShade="40"/>
              </w:rPr>
              <w:lastRenderedPageBreak/>
              <w:t>Conducting the evaluation</w:t>
            </w:r>
          </w:p>
        </w:tc>
        <w:tc>
          <w:tcPr>
            <w:tcW w:w="2160" w:type="dxa"/>
          </w:tcPr>
          <w:p w14:paraId="419D9B5F" w14:textId="77777777" w:rsidR="002B2ED6" w:rsidRPr="003726BE" w:rsidRDefault="002B2ED6" w:rsidP="004D01B0">
            <w:pPr>
              <w:jc w:val="left"/>
              <w:rPr>
                <w:rFonts w:cs="Arial"/>
                <w:color w:val="373737" w:themeColor="background1" w:themeShade="40"/>
                <w:szCs w:val="18"/>
              </w:rPr>
            </w:pPr>
            <w:r w:rsidRPr="003726BE">
              <w:rPr>
                <w:color w:val="373737" w:themeColor="background1" w:themeShade="40"/>
              </w:rPr>
              <w:t xml:space="preserve">Observing, analysing, judging </w:t>
            </w:r>
          </w:p>
        </w:tc>
        <w:tc>
          <w:tcPr>
            <w:tcW w:w="2905" w:type="dxa"/>
          </w:tcPr>
          <w:p w14:paraId="565E5EAE" w14:textId="77777777" w:rsidR="002B2ED6" w:rsidRPr="003726BE" w:rsidRDefault="002B2ED6" w:rsidP="00AA71F1">
            <w:pPr>
              <w:rPr>
                <w:rFonts w:cs="Arial"/>
                <w:b/>
                <w:color w:val="373737" w:themeColor="background1" w:themeShade="40"/>
                <w:szCs w:val="18"/>
              </w:rPr>
            </w:pPr>
            <w:r w:rsidRPr="003726BE">
              <w:rPr>
                <w:b/>
                <w:color w:val="373737" w:themeColor="background1" w:themeShade="40"/>
              </w:rPr>
              <w:t xml:space="preserve">Evaluators </w:t>
            </w:r>
          </w:p>
        </w:tc>
        <w:tc>
          <w:tcPr>
            <w:tcW w:w="3317" w:type="dxa"/>
          </w:tcPr>
          <w:p w14:paraId="7D632AE0" w14:textId="77777777" w:rsidR="002B2ED6" w:rsidRPr="003726BE" w:rsidRDefault="002B2ED6" w:rsidP="00AA71F1">
            <w:pPr>
              <w:rPr>
                <w:rFonts w:cs="Arial"/>
                <w:color w:val="373737" w:themeColor="background1" w:themeShade="40"/>
                <w:szCs w:val="18"/>
              </w:rPr>
            </w:pPr>
          </w:p>
        </w:tc>
        <w:tc>
          <w:tcPr>
            <w:tcW w:w="3318" w:type="dxa"/>
          </w:tcPr>
          <w:p w14:paraId="6070C244" w14:textId="77777777" w:rsidR="002B2ED6" w:rsidRPr="00CB34A3" w:rsidRDefault="002B2ED6" w:rsidP="00AA71F1">
            <w:pPr>
              <w:pStyle w:val="Hlistbullet"/>
              <w:numPr>
                <w:ilvl w:val="0"/>
                <w:numId w:val="0"/>
              </w:numPr>
              <w:ind w:left="360" w:hanging="360"/>
              <w:rPr>
                <w:rFonts w:cs="Arial"/>
                <w:sz w:val="18"/>
                <w:szCs w:val="18"/>
                <w:lang w:val="en-GB"/>
              </w:rPr>
            </w:pPr>
            <w:r w:rsidRPr="00CB34A3">
              <w:rPr>
                <w:sz w:val="18"/>
                <w:lang w:val="en-GB"/>
              </w:rPr>
              <w:t>This task is always part of the Terms of Reference, among others:</w:t>
            </w:r>
          </w:p>
          <w:p w14:paraId="60D9A44F" w14:textId="77777777" w:rsidR="002B2ED6" w:rsidRPr="00CB34A3" w:rsidRDefault="002B2ED6" w:rsidP="002B2ED6">
            <w:pPr>
              <w:pStyle w:val="Hlistline3"/>
              <w:tabs>
                <w:tab w:val="left" w:pos="851"/>
              </w:tabs>
              <w:ind w:left="432" w:hanging="288"/>
              <w:rPr>
                <w:rFonts w:cs="Arial"/>
                <w:sz w:val="18"/>
                <w:szCs w:val="18"/>
                <w:lang w:val="en-GB"/>
              </w:rPr>
            </w:pPr>
            <w:r w:rsidRPr="00CB34A3">
              <w:rPr>
                <w:sz w:val="18"/>
                <w:lang w:val="en-GB"/>
              </w:rPr>
              <w:t>Prepare the evaluation system for 2017 and beyond (e.g. resolve data gaps by modelling, extrapolations or other means),</w:t>
            </w:r>
          </w:p>
          <w:p w14:paraId="18816356" w14:textId="77777777" w:rsidR="002B2ED6" w:rsidRPr="00CB34A3" w:rsidRDefault="002B2ED6" w:rsidP="002B2ED6">
            <w:pPr>
              <w:pStyle w:val="Hlistline3"/>
              <w:tabs>
                <w:tab w:val="left" w:pos="851"/>
              </w:tabs>
              <w:ind w:left="432" w:hanging="288"/>
              <w:rPr>
                <w:rFonts w:cs="Arial"/>
                <w:sz w:val="18"/>
                <w:szCs w:val="18"/>
                <w:lang w:val="en-GB"/>
              </w:rPr>
            </w:pPr>
            <w:r w:rsidRPr="00CB34A3">
              <w:rPr>
                <w:sz w:val="18"/>
                <w:lang w:val="en-GB"/>
              </w:rPr>
              <w:t xml:space="preserve">Focus the work on quantification of common result indicators (ideally net values), including the programme-specific results, </w:t>
            </w:r>
          </w:p>
          <w:p w14:paraId="36CC9EA7" w14:textId="77777777" w:rsidR="002B2ED6" w:rsidRPr="00CB34A3" w:rsidRDefault="002B2ED6" w:rsidP="002B2ED6">
            <w:pPr>
              <w:pStyle w:val="Hlistline3"/>
              <w:tabs>
                <w:tab w:val="left" w:pos="851"/>
              </w:tabs>
              <w:ind w:left="432" w:hanging="288"/>
              <w:rPr>
                <w:rFonts w:cs="Arial"/>
                <w:sz w:val="18"/>
                <w:szCs w:val="18"/>
                <w:lang w:val="en-GB"/>
              </w:rPr>
            </w:pPr>
            <w:r w:rsidRPr="00CB34A3">
              <w:rPr>
                <w:sz w:val="18"/>
                <w:lang w:val="en-GB"/>
              </w:rPr>
              <w:t>Develop and use the additional result indicators if needed to answer CEQ,</w:t>
            </w:r>
          </w:p>
          <w:p w14:paraId="62EF4049" w14:textId="77777777" w:rsidR="002B2ED6" w:rsidRPr="00CB34A3" w:rsidRDefault="002B2ED6" w:rsidP="002B2ED6">
            <w:pPr>
              <w:pStyle w:val="Hlistline3"/>
              <w:tabs>
                <w:tab w:val="left" w:pos="851"/>
              </w:tabs>
              <w:ind w:left="432" w:hanging="288"/>
              <w:rPr>
                <w:rFonts w:cs="Arial"/>
                <w:sz w:val="18"/>
                <w:szCs w:val="18"/>
                <w:lang w:val="en-GB"/>
              </w:rPr>
            </w:pPr>
            <w:r w:rsidRPr="00CB34A3">
              <w:rPr>
                <w:sz w:val="18"/>
                <w:lang w:val="en-GB"/>
              </w:rPr>
              <w:t xml:space="preserve">Use specific methods, tools and techniques for quantifying and assessing the effectiveness and efficiency of the RDP, and for answering the EQ,  </w:t>
            </w:r>
          </w:p>
          <w:p w14:paraId="0F8225A3" w14:textId="77777777" w:rsidR="002B2ED6" w:rsidRPr="003726BE" w:rsidRDefault="002B2ED6" w:rsidP="002B2ED6">
            <w:pPr>
              <w:pStyle w:val="Hlistline3"/>
              <w:tabs>
                <w:tab w:val="left" w:pos="851"/>
              </w:tabs>
              <w:ind w:left="432" w:hanging="288"/>
              <w:rPr>
                <w:rFonts w:cs="Arial"/>
                <w:sz w:val="18"/>
                <w:szCs w:val="18"/>
              </w:rPr>
            </w:pPr>
            <w:r w:rsidRPr="003726BE">
              <w:rPr>
                <w:sz w:val="18"/>
              </w:rPr>
              <w:t xml:space="preserve">Validate values of target indicators </w:t>
            </w:r>
          </w:p>
          <w:p w14:paraId="0EEA8E06" w14:textId="77777777" w:rsidR="002B2ED6" w:rsidRPr="00CB34A3" w:rsidRDefault="002B2ED6" w:rsidP="002B2ED6">
            <w:pPr>
              <w:pStyle w:val="Hlistline3"/>
              <w:tabs>
                <w:tab w:val="left" w:pos="851"/>
              </w:tabs>
              <w:ind w:left="432" w:hanging="288"/>
              <w:rPr>
                <w:rFonts w:cs="Arial"/>
                <w:sz w:val="18"/>
                <w:szCs w:val="18"/>
                <w:lang w:val="en-GB"/>
              </w:rPr>
            </w:pPr>
            <w:r w:rsidRPr="00CB34A3">
              <w:rPr>
                <w:sz w:val="18"/>
                <w:lang w:val="en-GB"/>
              </w:rPr>
              <w:t xml:space="preserve">Reflect on the need to update the CCI, </w:t>
            </w:r>
          </w:p>
          <w:p w14:paraId="57572B4F" w14:textId="77777777" w:rsidR="002B2ED6" w:rsidRPr="003726BE" w:rsidRDefault="002B2ED6" w:rsidP="002B2ED6">
            <w:pPr>
              <w:pStyle w:val="Hlistline4"/>
              <w:tabs>
                <w:tab w:val="left" w:pos="851"/>
              </w:tabs>
              <w:ind w:left="432" w:hanging="288"/>
              <w:rPr>
                <w:rFonts w:cs="Arial"/>
                <w:sz w:val="18"/>
                <w:szCs w:val="18"/>
              </w:rPr>
            </w:pPr>
            <w:r w:rsidRPr="003726BE">
              <w:rPr>
                <w:sz w:val="18"/>
              </w:rPr>
              <w:t xml:space="preserve">Provide answers to evaluation questions </w:t>
            </w:r>
          </w:p>
          <w:p w14:paraId="46255934" w14:textId="77777777" w:rsidR="002B2ED6" w:rsidRPr="00CB34A3" w:rsidRDefault="002B2ED6" w:rsidP="002B2ED6">
            <w:pPr>
              <w:pStyle w:val="Hlistline4"/>
              <w:tabs>
                <w:tab w:val="left" w:pos="851"/>
              </w:tabs>
              <w:ind w:left="432" w:hanging="288"/>
              <w:rPr>
                <w:rFonts w:cs="Arial"/>
                <w:sz w:val="18"/>
                <w:szCs w:val="18"/>
                <w:lang w:val="en-GB"/>
              </w:rPr>
            </w:pPr>
            <w:r w:rsidRPr="00CB34A3">
              <w:rPr>
                <w:sz w:val="18"/>
                <w:lang w:val="en-GB"/>
              </w:rPr>
              <w:t xml:space="preserve">Draft conclusions and recommendations which are strictly based on evidence of the qualitative and quantitative assessment. </w:t>
            </w:r>
          </w:p>
        </w:tc>
      </w:tr>
    </w:tbl>
    <w:p w14:paraId="104A3E20" w14:textId="77777777" w:rsidR="002B2ED6" w:rsidRPr="00CB34A3" w:rsidRDefault="002B2ED6" w:rsidP="002B2ED6">
      <w:pPr>
        <w:pStyle w:val="H-Heading2"/>
        <w:ind w:left="792" w:firstLine="0"/>
        <w:jc w:val="both"/>
        <w:rPr>
          <w:rFonts w:ascii="Arial" w:hAnsi="Arial" w:cs="Arial"/>
          <w:color w:val="030303"/>
          <w:lang w:val="en-GB"/>
        </w:rPr>
        <w:sectPr w:rsidR="002B2ED6" w:rsidRPr="00CB34A3" w:rsidSect="00FE5DEE">
          <w:footerReference w:type="first" r:id="rId79"/>
          <w:pgSz w:w="16840" w:h="11907" w:orient="landscape" w:code="9"/>
          <w:pgMar w:top="1418" w:right="1418" w:bottom="1418" w:left="1418" w:header="737" w:footer="709" w:gutter="0"/>
          <w:cols w:space="708"/>
          <w:titlePg/>
          <w:docGrid w:linePitch="360"/>
        </w:sectPr>
      </w:pPr>
    </w:p>
    <w:p w14:paraId="0B3E0375" w14:textId="77777777" w:rsidR="002B2ED6" w:rsidRPr="003726BE" w:rsidRDefault="002B2ED6" w:rsidP="009750E9">
      <w:pPr>
        <w:pStyle w:val="HHeading1"/>
        <w:numPr>
          <w:ilvl w:val="0"/>
          <w:numId w:val="0"/>
        </w:numPr>
        <w:rPr>
          <w:caps w:val="0"/>
          <w:highlight w:val="yellow"/>
        </w:rPr>
      </w:pPr>
      <w:bookmarkStart w:id="147" w:name="_Toc456012911"/>
      <w:bookmarkStart w:id="148" w:name="_Toc460936130"/>
      <w:bookmarkStart w:id="149" w:name="_Toc474132170"/>
      <w:r w:rsidRPr="003726BE">
        <w:rPr>
          <w:caps w:val="0"/>
          <w:highlight w:val="yellow"/>
        </w:rPr>
        <w:lastRenderedPageBreak/>
        <w:t>Allegato 5 - Lista di controllo per la valutazione della qualità del relazione di valutazione</w:t>
      </w:r>
      <w:bookmarkEnd w:id="147"/>
      <w:bookmarkEnd w:id="148"/>
      <w:bookmarkEnd w:id="149"/>
    </w:p>
    <w:p w14:paraId="65174AF6" w14:textId="77777777" w:rsidR="002B2ED6" w:rsidRPr="003726BE" w:rsidRDefault="002B2ED6" w:rsidP="002B2ED6">
      <w:pPr>
        <w:pStyle w:val="HStandard"/>
        <w:rPr>
          <w:rFonts w:cs="Arial"/>
          <w:highlight w:val="yellow"/>
        </w:rPr>
      </w:pPr>
      <w:r w:rsidRPr="003726BE">
        <w:rPr>
          <w:highlight w:val="yellow"/>
        </w:rPr>
        <w:t xml:space="preserve">Il seguente esempio di lista di controllo può essere utilizzato dall'autorità di gestione per valutare la qualità della sua relazione di valutazione. </w:t>
      </w:r>
    </w:p>
    <w:tbl>
      <w:tblPr>
        <w:tblW w:w="9067" w:type="dxa"/>
        <w:jc w:val="center"/>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shd w:val="clear" w:color="auto" w:fill="DDDDDD"/>
        <w:tblLook w:val="04A0" w:firstRow="1" w:lastRow="0" w:firstColumn="1" w:lastColumn="0" w:noHBand="0" w:noVBand="1"/>
      </w:tblPr>
      <w:tblGrid>
        <w:gridCol w:w="9067"/>
      </w:tblGrid>
      <w:tr w:rsidR="002B2ED6" w:rsidRPr="003726BE" w14:paraId="263EC0A6" w14:textId="77777777" w:rsidTr="00AA71F1">
        <w:trPr>
          <w:jc w:val="center"/>
        </w:trPr>
        <w:tc>
          <w:tcPr>
            <w:tcW w:w="9067" w:type="dxa"/>
            <w:shd w:val="clear" w:color="auto" w:fill="F07E31"/>
          </w:tcPr>
          <w:p w14:paraId="49A3A6B1" w14:textId="77777777" w:rsidR="002B2ED6" w:rsidRPr="003726BE" w:rsidRDefault="002B2ED6" w:rsidP="00AA71F1">
            <w:pPr>
              <w:suppressAutoHyphens/>
              <w:spacing w:before="40" w:after="40" w:line="240" w:lineRule="auto"/>
              <w:rPr>
                <w:rFonts w:cs="Arial"/>
                <w:b/>
                <w:color w:val="FFFFFF"/>
                <w:szCs w:val="18"/>
                <w:highlight w:val="yellow"/>
              </w:rPr>
            </w:pPr>
            <w:r w:rsidRPr="003726BE">
              <w:rPr>
                <w:b/>
                <w:color w:val="FFFFFF"/>
                <w:highlight w:val="yellow"/>
              </w:rPr>
              <w:t>Titolo della valutazione:</w:t>
            </w:r>
          </w:p>
        </w:tc>
      </w:tr>
      <w:tr w:rsidR="002B2ED6" w:rsidRPr="003726BE" w14:paraId="2A680623" w14:textId="77777777" w:rsidTr="00AA71F1">
        <w:trPr>
          <w:jc w:val="center"/>
        </w:trPr>
        <w:tc>
          <w:tcPr>
            <w:tcW w:w="9067" w:type="dxa"/>
            <w:shd w:val="clear" w:color="auto" w:fill="auto"/>
          </w:tcPr>
          <w:p w14:paraId="50716CCE" w14:textId="77777777" w:rsidR="002B2ED6" w:rsidRPr="003726BE" w:rsidRDefault="002B2ED6" w:rsidP="00AA71F1">
            <w:pPr>
              <w:suppressAutoHyphens/>
              <w:spacing w:before="40" w:after="40" w:line="240" w:lineRule="auto"/>
              <w:rPr>
                <w:rFonts w:cs="Arial"/>
                <w:color w:val="373737" w:themeColor="background1" w:themeShade="40"/>
                <w:szCs w:val="18"/>
                <w:highlight w:val="yellow"/>
              </w:rPr>
            </w:pPr>
            <w:r w:rsidRPr="003726BE">
              <w:rPr>
                <w:color w:val="373737" w:themeColor="background1" w:themeShade="40"/>
                <w:highlight w:val="yellow"/>
              </w:rPr>
              <w:t>Responsabile dipartimento/unità:</w:t>
            </w:r>
          </w:p>
        </w:tc>
      </w:tr>
      <w:tr w:rsidR="002B2ED6" w:rsidRPr="003726BE" w14:paraId="2D40C23B" w14:textId="77777777" w:rsidTr="00AA71F1">
        <w:trPr>
          <w:jc w:val="center"/>
        </w:trPr>
        <w:tc>
          <w:tcPr>
            <w:tcW w:w="9067" w:type="dxa"/>
            <w:shd w:val="clear" w:color="auto" w:fill="auto"/>
          </w:tcPr>
          <w:p w14:paraId="73C02462" w14:textId="77777777" w:rsidR="002B2ED6" w:rsidRPr="003726BE" w:rsidRDefault="002B2ED6" w:rsidP="00AA71F1">
            <w:pPr>
              <w:suppressAutoHyphens/>
              <w:spacing w:before="40" w:after="40" w:line="240" w:lineRule="auto"/>
              <w:rPr>
                <w:rFonts w:cs="Arial"/>
                <w:color w:val="373737" w:themeColor="background1" w:themeShade="40"/>
                <w:szCs w:val="18"/>
                <w:highlight w:val="yellow"/>
              </w:rPr>
            </w:pPr>
            <w:r w:rsidRPr="003726BE">
              <w:rPr>
                <w:color w:val="373737" w:themeColor="background1" w:themeShade="40"/>
                <w:highlight w:val="yellow"/>
              </w:rPr>
              <w:t>Valutatore/contraente:</w:t>
            </w:r>
          </w:p>
        </w:tc>
      </w:tr>
      <w:tr w:rsidR="002B2ED6" w:rsidRPr="003726BE" w14:paraId="737E3E25" w14:textId="77777777" w:rsidTr="00AA71F1">
        <w:trPr>
          <w:jc w:val="center"/>
        </w:trPr>
        <w:tc>
          <w:tcPr>
            <w:tcW w:w="9067" w:type="dxa"/>
            <w:shd w:val="clear" w:color="auto" w:fill="auto"/>
          </w:tcPr>
          <w:p w14:paraId="28682A60" w14:textId="77777777" w:rsidR="002B2ED6" w:rsidRPr="003726BE" w:rsidRDefault="002B2ED6" w:rsidP="00AA71F1">
            <w:pPr>
              <w:suppressAutoHyphens/>
              <w:spacing w:before="40" w:after="40" w:line="240" w:lineRule="auto"/>
              <w:rPr>
                <w:rFonts w:cs="Arial"/>
                <w:color w:val="373737" w:themeColor="background1" w:themeShade="40"/>
                <w:szCs w:val="18"/>
                <w:highlight w:val="yellow"/>
              </w:rPr>
            </w:pPr>
            <w:r w:rsidRPr="003726BE">
              <w:rPr>
                <w:color w:val="373737" w:themeColor="background1" w:themeShade="40"/>
                <w:highlight w:val="yellow"/>
              </w:rPr>
              <w:t>Valutazione svolta da: (nome organizzazioni/unità coinvolte nella valutazione)</w:t>
            </w:r>
          </w:p>
          <w:p w14:paraId="3F2E6FA7" w14:textId="77777777" w:rsidR="002B2ED6" w:rsidRPr="003726BE" w:rsidRDefault="002B2ED6" w:rsidP="00AA71F1">
            <w:pPr>
              <w:suppressAutoHyphens/>
              <w:spacing w:before="40" w:after="40" w:line="240" w:lineRule="auto"/>
              <w:rPr>
                <w:rFonts w:cs="Arial"/>
                <w:color w:val="373737" w:themeColor="background1" w:themeShade="40"/>
                <w:szCs w:val="18"/>
                <w:highlight w:val="yellow"/>
              </w:rPr>
            </w:pPr>
            <w:r w:rsidRPr="003726BE">
              <w:rPr>
                <w:color w:val="373737" w:themeColor="background1" w:themeShade="40"/>
                <w:highlight w:val="yellow"/>
              </w:rPr>
              <w:t xml:space="preserve">Data della valutazione della qualità: </w:t>
            </w:r>
          </w:p>
        </w:tc>
      </w:tr>
      <w:tr w:rsidR="002B2ED6" w:rsidRPr="003726BE" w14:paraId="4EC17548" w14:textId="77777777" w:rsidTr="00AA71F1">
        <w:trPr>
          <w:jc w:val="center"/>
        </w:trPr>
        <w:tc>
          <w:tcPr>
            <w:tcW w:w="9067" w:type="dxa"/>
            <w:shd w:val="clear" w:color="auto" w:fill="auto"/>
          </w:tcPr>
          <w:p w14:paraId="4D230189" w14:textId="77777777" w:rsidR="002B2ED6" w:rsidRPr="003726BE" w:rsidRDefault="002B2ED6" w:rsidP="00AA71F1">
            <w:pPr>
              <w:tabs>
                <w:tab w:val="left" w:pos="142"/>
              </w:tabs>
              <w:suppressAutoHyphens/>
              <w:spacing w:before="40" w:after="40" w:line="240" w:lineRule="auto"/>
              <w:ind w:left="360" w:hanging="360"/>
              <w:rPr>
                <w:rFonts w:cs="Arial"/>
                <w:color w:val="373737" w:themeColor="background1" w:themeShade="40"/>
                <w:szCs w:val="18"/>
                <w:highlight w:val="yellow"/>
              </w:rPr>
            </w:pPr>
            <w:r w:rsidRPr="003726BE">
              <w:rPr>
                <w:color w:val="373737" w:themeColor="background1" w:themeShade="40"/>
                <w:highlight w:val="yellow"/>
              </w:rPr>
              <w:t>PERTINENZA</w:t>
            </w:r>
          </w:p>
          <w:p w14:paraId="52FEB46B" w14:textId="77777777" w:rsidR="002B2ED6" w:rsidRPr="003726BE" w:rsidRDefault="002B2ED6" w:rsidP="00AA71F1">
            <w:pPr>
              <w:suppressAutoHyphens/>
              <w:spacing w:before="40" w:after="40" w:line="240" w:lineRule="auto"/>
              <w:rPr>
                <w:rFonts w:cs="Arial"/>
                <w:color w:val="373737" w:themeColor="background1" w:themeShade="40"/>
                <w:szCs w:val="18"/>
                <w:highlight w:val="yellow"/>
              </w:rPr>
            </w:pPr>
            <w:r w:rsidRPr="003726BE">
              <w:rPr>
                <w:color w:val="373737" w:themeColor="background1" w:themeShade="40"/>
                <w:highlight w:val="yellow"/>
              </w:rPr>
              <w:t>La valutazione risponde alle esigenze di informazione del committente e risulta adeguato rispetto al capitolato d'oneri?</w:t>
            </w:r>
          </w:p>
          <w:p w14:paraId="105C49EF" w14:textId="77777777" w:rsidR="002B2ED6" w:rsidRPr="003726BE" w:rsidRDefault="002B2ED6" w:rsidP="00AA71F1">
            <w:pPr>
              <w:suppressAutoHyphens/>
              <w:spacing w:before="40" w:after="40" w:line="240" w:lineRule="auto"/>
              <w:rPr>
                <w:rFonts w:cs="Arial"/>
                <w:color w:val="373737" w:themeColor="background1" w:themeShade="40"/>
                <w:szCs w:val="18"/>
                <w:highlight w:val="yellow"/>
              </w:rPr>
            </w:pPr>
          </w:p>
          <w:tbl>
            <w:tblPr>
              <w:tblW w:w="0" w:type="auto"/>
              <w:jc w:val="center"/>
              <w:tblBorders>
                <w:top w:val="single" w:sz="4" w:space="0" w:color="F07E31"/>
                <w:left w:val="single" w:sz="4" w:space="0" w:color="F07E31"/>
                <w:bottom w:val="single" w:sz="4" w:space="0" w:color="F07E31"/>
                <w:right w:val="single" w:sz="4" w:space="0" w:color="F07E31"/>
                <w:insideH w:val="single" w:sz="4" w:space="0" w:color="F07E31"/>
                <w:insideV w:val="single" w:sz="4" w:space="0" w:color="F07E31"/>
              </w:tblBorders>
              <w:tblLook w:val="04A0" w:firstRow="1" w:lastRow="0" w:firstColumn="1" w:lastColumn="0" w:noHBand="0" w:noVBand="1"/>
            </w:tblPr>
            <w:tblGrid>
              <w:gridCol w:w="1414"/>
              <w:gridCol w:w="1628"/>
              <w:gridCol w:w="1442"/>
              <w:gridCol w:w="1442"/>
              <w:gridCol w:w="1548"/>
            </w:tblGrid>
            <w:tr w:rsidR="002B2ED6" w:rsidRPr="003726BE" w14:paraId="2F5416BD" w14:textId="77777777" w:rsidTr="00AA71F1">
              <w:trPr>
                <w:jc w:val="center"/>
              </w:trPr>
              <w:tc>
                <w:tcPr>
                  <w:tcW w:w="1414" w:type="dxa"/>
                  <w:shd w:val="clear" w:color="auto" w:fill="auto"/>
                </w:tcPr>
                <w:p w14:paraId="3F8D203A" w14:textId="77777777" w:rsidR="002B2ED6" w:rsidRPr="003726BE" w:rsidRDefault="002B2ED6" w:rsidP="00AA71F1">
                  <w:pPr>
                    <w:suppressAutoHyphens/>
                    <w:spacing w:before="40" w:after="40" w:line="240" w:lineRule="auto"/>
                    <w:rPr>
                      <w:rFonts w:cs="Arial"/>
                      <w:color w:val="373737" w:themeColor="background1" w:themeShade="40"/>
                      <w:szCs w:val="18"/>
                      <w:highlight w:val="yellow"/>
                    </w:rPr>
                  </w:pPr>
                  <w:r w:rsidRPr="003726BE">
                    <w:rPr>
                      <w:color w:val="373737" w:themeColor="background1" w:themeShade="40"/>
                      <w:highlight w:val="yellow"/>
                    </w:rPr>
                    <w:t>Mediocre</w:t>
                  </w:r>
                </w:p>
              </w:tc>
              <w:tc>
                <w:tcPr>
                  <w:tcW w:w="1628" w:type="dxa"/>
                  <w:shd w:val="clear" w:color="auto" w:fill="auto"/>
                </w:tcPr>
                <w:p w14:paraId="241A3913" w14:textId="77777777" w:rsidR="002B2ED6" w:rsidRPr="003726BE" w:rsidRDefault="002B2ED6" w:rsidP="00AA71F1">
                  <w:pPr>
                    <w:suppressAutoHyphens/>
                    <w:spacing w:before="40" w:after="40" w:line="240" w:lineRule="auto"/>
                    <w:rPr>
                      <w:rFonts w:cs="Arial"/>
                      <w:color w:val="373737" w:themeColor="background1" w:themeShade="40"/>
                      <w:szCs w:val="18"/>
                      <w:highlight w:val="yellow"/>
                    </w:rPr>
                  </w:pPr>
                  <w:r w:rsidRPr="003726BE">
                    <w:rPr>
                      <w:color w:val="373737" w:themeColor="background1" w:themeShade="40"/>
                      <w:highlight w:val="yellow"/>
                    </w:rPr>
                    <w:t>Soddisfacente</w:t>
                  </w:r>
                </w:p>
              </w:tc>
              <w:tc>
                <w:tcPr>
                  <w:tcW w:w="1442" w:type="dxa"/>
                  <w:shd w:val="clear" w:color="auto" w:fill="auto"/>
                </w:tcPr>
                <w:p w14:paraId="1D0C45E0" w14:textId="77777777" w:rsidR="002B2ED6" w:rsidRPr="003726BE" w:rsidRDefault="002B2ED6" w:rsidP="00AA71F1">
                  <w:pPr>
                    <w:suppressAutoHyphens/>
                    <w:spacing w:before="40" w:after="40" w:line="240" w:lineRule="auto"/>
                    <w:rPr>
                      <w:rFonts w:cs="Arial"/>
                      <w:color w:val="373737" w:themeColor="background1" w:themeShade="40"/>
                      <w:szCs w:val="18"/>
                      <w:highlight w:val="yellow"/>
                    </w:rPr>
                  </w:pPr>
                  <w:r w:rsidRPr="003726BE">
                    <w:rPr>
                      <w:color w:val="373737" w:themeColor="background1" w:themeShade="40"/>
                      <w:highlight w:val="yellow"/>
                    </w:rPr>
                    <w:t>Buono</w:t>
                  </w:r>
                </w:p>
              </w:tc>
              <w:tc>
                <w:tcPr>
                  <w:tcW w:w="1442" w:type="dxa"/>
                  <w:shd w:val="clear" w:color="auto" w:fill="auto"/>
                </w:tcPr>
                <w:p w14:paraId="7AE17026" w14:textId="77777777" w:rsidR="002B2ED6" w:rsidRPr="003726BE" w:rsidRDefault="002B2ED6" w:rsidP="00AA71F1">
                  <w:pPr>
                    <w:suppressAutoHyphens/>
                    <w:spacing w:before="40" w:after="40" w:line="240" w:lineRule="auto"/>
                    <w:rPr>
                      <w:rFonts w:cs="Arial"/>
                      <w:color w:val="373737" w:themeColor="background1" w:themeShade="40"/>
                      <w:szCs w:val="18"/>
                      <w:highlight w:val="yellow"/>
                    </w:rPr>
                  </w:pPr>
                  <w:r w:rsidRPr="003726BE">
                    <w:rPr>
                      <w:color w:val="373737" w:themeColor="background1" w:themeShade="40"/>
                      <w:highlight w:val="yellow"/>
                    </w:rPr>
                    <w:t>Molto buono</w:t>
                  </w:r>
                </w:p>
              </w:tc>
              <w:tc>
                <w:tcPr>
                  <w:tcW w:w="1548" w:type="dxa"/>
                  <w:shd w:val="clear" w:color="auto" w:fill="auto"/>
                </w:tcPr>
                <w:p w14:paraId="3598507A" w14:textId="77777777" w:rsidR="002B2ED6" w:rsidRPr="003726BE" w:rsidRDefault="002B2ED6" w:rsidP="00AA71F1">
                  <w:pPr>
                    <w:suppressAutoHyphens/>
                    <w:spacing w:before="40" w:after="40" w:line="240" w:lineRule="auto"/>
                    <w:rPr>
                      <w:rFonts w:cs="Arial"/>
                      <w:color w:val="373737" w:themeColor="background1" w:themeShade="40"/>
                      <w:szCs w:val="18"/>
                      <w:highlight w:val="yellow"/>
                    </w:rPr>
                  </w:pPr>
                  <w:r w:rsidRPr="003726BE">
                    <w:rPr>
                      <w:color w:val="373737" w:themeColor="background1" w:themeShade="40"/>
                      <w:highlight w:val="yellow"/>
                    </w:rPr>
                    <w:t>Eccellente</w:t>
                  </w:r>
                </w:p>
              </w:tc>
            </w:tr>
            <w:tr w:rsidR="002B2ED6" w:rsidRPr="003726BE" w14:paraId="776F85B7" w14:textId="77777777" w:rsidTr="00AA71F1">
              <w:trPr>
                <w:jc w:val="center"/>
              </w:trPr>
              <w:tc>
                <w:tcPr>
                  <w:tcW w:w="1414" w:type="dxa"/>
                  <w:shd w:val="clear" w:color="auto" w:fill="auto"/>
                </w:tcPr>
                <w:p w14:paraId="47F90FE6" w14:textId="77777777" w:rsidR="002B2ED6" w:rsidRPr="003726BE" w:rsidRDefault="002B2ED6" w:rsidP="00AA71F1">
                  <w:pPr>
                    <w:suppressAutoHyphens/>
                    <w:spacing w:before="40" w:after="40" w:line="240" w:lineRule="auto"/>
                    <w:rPr>
                      <w:rFonts w:cs="Arial"/>
                      <w:color w:val="373737" w:themeColor="background1" w:themeShade="40"/>
                      <w:szCs w:val="18"/>
                      <w:highlight w:val="yellow"/>
                    </w:rPr>
                  </w:pPr>
                </w:p>
              </w:tc>
              <w:tc>
                <w:tcPr>
                  <w:tcW w:w="1628" w:type="dxa"/>
                  <w:shd w:val="clear" w:color="auto" w:fill="auto"/>
                </w:tcPr>
                <w:p w14:paraId="38E3D015" w14:textId="77777777" w:rsidR="002B2ED6" w:rsidRPr="003726BE" w:rsidRDefault="002B2ED6" w:rsidP="00AA71F1">
                  <w:pPr>
                    <w:suppressAutoHyphens/>
                    <w:spacing w:before="40" w:after="40" w:line="240" w:lineRule="auto"/>
                    <w:rPr>
                      <w:rFonts w:cs="Arial"/>
                      <w:color w:val="373737" w:themeColor="background1" w:themeShade="40"/>
                      <w:szCs w:val="18"/>
                      <w:highlight w:val="yellow"/>
                    </w:rPr>
                  </w:pPr>
                </w:p>
              </w:tc>
              <w:tc>
                <w:tcPr>
                  <w:tcW w:w="1442" w:type="dxa"/>
                  <w:shd w:val="clear" w:color="auto" w:fill="auto"/>
                </w:tcPr>
                <w:p w14:paraId="16B29431" w14:textId="77777777" w:rsidR="002B2ED6" w:rsidRPr="003726BE" w:rsidRDefault="002B2ED6" w:rsidP="00AA71F1">
                  <w:pPr>
                    <w:suppressAutoHyphens/>
                    <w:spacing w:before="40" w:after="40" w:line="240" w:lineRule="auto"/>
                    <w:rPr>
                      <w:rFonts w:cs="Arial"/>
                      <w:color w:val="373737" w:themeColor="background1" w:themeShade="40"/>
                      <w:szCs w:val="18"/>
                      <w:highlight w:val="yellow"/>
                    </w:rPr>
                  </w:pPr>
                </w:p>
              </w:tc>
              <w:tc>
                <w:tcPr>
                  <w:tcW w:w="1442" w:type="dxa"/>
                  <w:shd w:val="clear" w:color="auto" w:fill="auto"/>
                </w:tcPr>
                <w:p w14:paraId="5BEBD81E" w14:textId="77777777" w:rsidR="002B2ED6" w:rsidRPr="003726BE" w:rsidRDefault="002B2ED6" w:rsidP="00AA71F1">
                  <w:pPr>
                    <w:suppressAutoHyphens/>
                    <w:spacing w:before="40" w:after="40" w:line="240" w:lineRule="auto"/>
                    <w:rPr>
                      <w:rFonts w:cs="Arial"/>
                      <w:color w:val="373737" w:themeColor="background1" w:themeShade="40"/>
                      <w:szCs w:val="18"/>
                      <w:highlight w:val="yellow"/>
                    </w:rPr>
                  </w:pPr>
                </w:p>
              </w:tc>
              <w:tc>
                <w:tcPr>
                  <w:tcW w:w="1548" w:type="dxa"/>
                  <w:shd w:val="clear" w:color="auto" w:fill="auto"/>
                </w:tcPr>
                <w:p w14:paraId="01CED935" w14:textId="77777777" w:rsidR="002B2ED6" w:rsidRPr="003726BE" w:rsidRDefault="002B2ED6" w:rsidP="00AA71F1">
                  <w:pPr>
                    <w:suppressAutoHyphens/>
                    <w:spacing w:before="40" w:after="40" w:line="240" w:lineRule="auto"/>
                    <w:rPr>
                      <w:rFonts w:cs="Arial"/>
                      <w:color w:val="373737" w:themeColor="background1" w:themeShade="40"/>
                      <w:szCs w:val="18"/>
                      <w:highlight w:val="yellow"/>
                    </w:rPr>
                  </w:pPr>
                </w:p>
              </w:tc>
            </w:tr>
          </w:tbl>
          <w:p w14:paraId="0C69B7EB" w14:textId="77777777" w:rsidR="002B2ED6" w:rsidRPr="003726BE" w:rsidRDefault="002B2ED6" w:rsidP="00AA71F1">
            <w:pPr>
              <w:suppressAutoHyphens/>
              <w:spacing w:before="40" w:after="40" w:line="240" w:lineRule="auto"/>
              <w:rPr>
                <w:rFonts w:cs="Arial"/>
                <w:color w:val="373737" w:themeColor="background1" w:themeShade="40"/>
                <w:szCs w:val="18"/>
                <w:highlight w:val="yellow"/>
              </w:rPr>
            </w:pPr>
            <w:r w:rsidRPr="003726BE">
              <w:rPr>
                <w:color w:val="373737" w:themeColor="background1" w:themeShade="40"/>
                <w:highlight w:val="yellow"/>
              </w:rPr>
              <w:t>Motivazione del punteggio:</w:t>
            </w:r>
          </w:p>
        </w:tc>
      </w:tr>
      <w:tr w:rsidR="002B2ED6" w:rsidRPr="003726BE" w14:paraId="071D5B7E" w14:textId="77777777" w:rsidTr="00AA71F1">
        <w:trPr>
          <w:jc w:val="center"/>
        </w:trPr>
        <w:tc>
          <w:tcPr>
            <w:tcW w:w="9067" w:type="dxa"/>
            <w:shd w:val="clear" w:color="auto" w:fill="auto"/>
          </w:tcPr>
          <w:p w14:paraId="6EBD2CDC" w14:textId="77777777" w:rsidR="002B2ED6" w:rsidRPr="003726BE" w:rsidRDefault="002B2ED6" w:rsidP="00AA71F1">
            <w:pPr>
              <w:tabs>
                <w:tab w:val="left" w:pos="142"/>
              </w:tabs>
              <w:suppressAutoHyphens/>
              <w:spacing w:before="40" w:after="40" w:line="240" w:lineRule="auto"/>
              <w:ind w:left="360" w:hanging="360"/>
              <w:rPr>
                <w:rFonts w:cs="Arial"/>
                <w:color w:val="373737" w:themeColor="background1" w:themeShade="40"/>
                <w:szCs w:val="18"/>
                <w:highlight w:val="yellow"/>
              </w:rPr>
            </w:pPr>
            <w:r w:rsidRPr="003726BE">
              <w:rPr>
                <w:color w:val="373737" w:themeColor="background1" w:themeShade="40"/>
                <w:highlight w:val="yellow"/>
              </w:rPr>
              <w:t>CAMPO DI APPLICAZIONE</w:t>
            </w:r>
          </w:p>
          <w:p w14:paraId="6A6EEEBA" w14:textId="77777777" w:rsidR="002B2ED6" w:rsidRPr="003726BE" w:rsidRDefault="002B2ED6" w:rsidP="00AA71F1">
            <w:pPr>
              <w:suppressAutoHyphens/>
              <w:spacing w:before="40" w:after="40" w:line="240" w:lineRule="auto"/>
              <w:rPr>
                <w:rFonts w:cs="Arial"/>
                <w:color w:val="373737" w:themeColor="background1" w:themeShade="40"/>
                <w:szCs w:val="18"/>
                <w:highlight w:val="yellow"/>
              </w:rPr>
            </w:pPr>
            <w:r w:rsidRPr="003726BE">
              <w:rPr>
                <w:color w:val="373737" w:themeColor="background1" w:themeShade="40"/>
                <w:highlight w:val="yellow"/>
              </w:rPr>
              <w:t>La logica del programma e la sua serie di prodotti, risultati e impatti sono state esaminate appieno, includendo tanto gli effetti intenzionali quanto quelli non intenzionali degli interventi della politica?</w:t>
            </w:r>
          </w:p>
          <w:p w14:paraId="3CC94AAF" w14:textId="77777777" w:rsidR="002B2ED6" w:rsidRPr="003726BE" w:rsidRDefault="002B2ED6" w:rsidP="00AA71F1">
            <w:pPr>
              <w:suppressAutoHyphens/>
              <w:spacing w:before="40" w:after="40" w:line="240" w:lineRule="auto"/>
              <w:rPr>
                <w:rFonts w:cs="Arial"/>
                <w:color w:val="373737" w:themeColor="background1" w:themeShade="40"/>
                <w:szCs w:val="18"/>
                <w:highlight w:val="yellow"/>
              </w:rPr>
            </w:pPr>
          </w:p>
          <w:tbl>
            <w:tblPr>
              <w:tblW w:w="0" w:type="auto"/>
              <w:jc w:val="center"/>
              <w:tblBorders>
                <w:top w:val="single" w:sz="4" w:space="0" w:color="F07E31"/>
                <w:left w:val="single" w:sz="4" w:space="0" w:color="F07E31"/>
                <w:bottom w:val="single" w:sz="4" w:space="0" w:color="F07E31"/>
                <w:right w:val="single" w:sz="4" w:space="0" w:color="F07E31"/>
                <w:insideH w:val="single" w:sz="4" w:space="0" w:color="F07E31"/>
                <w:insideV w:val="single" w:sz="4" w:space="0" w:color="F07E31"/>
              </w:tblBorders>
              <w:tblLook w:val="04A0" w:firstRow="1" w:lastRow="0" w:firstColumn="1" w:lastColumn="0" w:noHBand="0" w:noVBand="1"/>
            </w:tblPr>
            <w:tblGrid>
              <w:gridCol w:w="1414"/>
              <w:gridCol w:w="1628"/>
              <w:gridCol w:w="1442"/>
              <w:gridCol w:w="1442"/>
              <w:gridCol w:w="1548"/>
            </w:tblGrid>
            <w:tr w:rsidR="002B2ED6" w:rsidRPr="003726BE" w14:paraId="610C31B8" w14:textId="77777777" w:rsidTr="00AA71F1">
              <w:trPr>
                <w:jc w:val="center"/>
              </w:trPr>
              <w:tc>
                <w:tcPr>
                  <w:tcW w:w="1414" w:type="dxa"/>
                  <w:shd w:val="clear" w:color="auto" w:fill="auto"/>
                </w:tcPr>
                <w:p w14:paraId="1142F1BF" w14:textId="77777777" w:rsidR="002B2ED6" w:rsidRPr="003726BE" w:rsidRDefault="002B2ED6" w:rsidP="00AA71F1">
                  <w:pPr>
                    <w:suppressAutoHyphens/>
                    <w:spacing w:before="40" w:after="40" w:line="240" w:lineRule="auto"/>
                    <w:rPr>
                      <w:rFonts w:cs="Arial"/>
                      <w:color w:val="373737" w:themeColor="background1" w:themeShade="40"/>
                      <w:szCs w:val="18"/>
                      <w:highlight w:val="yellow"/>
                    </w:rPr>
                  </w:pPr>
                  <w:r w:rsidRPr="003726BE">
                    <w:rPr>
                      <w:color w:val="373737" w:themeColor="background1" w:themeShade="40"/>
                      <w:highlight w:val="yellow"/>
                    </w:rPr>
                    <w:t>Mediocre</w:t>
                  </w:r>
                </w:p>
              </w:tc>
              <w:tc>
                <w:tcPr>
                  <w:tcW w:w="1628" w:type="dxa"/>
                  <w:shd w:val="clear" w:color="auto" w:fill="auto"/>
                </w:tcPr>
                <w:p w14:paraId="5040DB84" w14:textId="77777777" w:rsidR="002B2ED6" w:rsidRPr="003726BE" w:rsidRDefault="002B2ED6" w:rsidP="00AA71F1">
                  <w:pPr>
                    <w:suppressAutoHyphens/>
                    <w:spacing w:before="40" w:after="40" w:line="240" w:lineRule="auto"/>
                    <w:rPr>
                      <w:rFonts w:cs="Arial"/>
                      <w:color w:val="373737" w:themeColor="background1" w:themeShade="40"/>
                      <w:szCs w:val="18"/>
                      <w:highlight w:val="yellow"/>
                    </w:rPr>
                  </w:pPr>
                  <w:r w:rsidRPr="003726BE">
                    <w:rPr>
                      <w:color w:val="373737" w:themeColor="background1" w:themeShade="40"/>
                      <w:highlight w:val="yellow"/>
                    </w:rPr>
                    <w:t>Soddisfacente</w:t>
                  </w:r>
                </w:p>
              </w:tc>
              <w:tc>
                <w:tcPr>
                  <w:tcW w:w="1442" w:type="dxa"/>
                  <w:shd w:val="clear" w:color="auto" w:fill="auto"/>
                </w:tcPr>
                <w:p w14:paraId="63323A75" w14:textId="77777777" w:rsidR="002B2ED6" w:rsidRPr="003726BE" w:rsidRDefault="002B2ED6" w:rsidP="00AA71F1">
                  <w:pPr>
                    <w:suppressAutoHyphens/>
                    <w:spacing w:before="40" w:after="40" w:line="240" w:lineRule="auto"/>
                    <w:rPr>
                      <w:rFonts w:cs="Arial"/>
                      <w:color w:val="373737" w:themeColor="background1" w:themeShade="40"/>
                      <w:szCs w:val="18"/>
                      <w:highlight w:val="yellow"/>
                    </w:rPr>
                  </w:pPr>
                  <w:r w:rsidRPr="003726BE">
                    <w:rPr>
                      <w:color w:val="373737" w:themeColor="background1" w:themeShade="40"/>
                      <w:highlight w:val="yellow"/>
                    </w:rPr>
                    <w:t>Buono</w:t>
                  </w:r>
                </w:p>
              </w:tc>
              <w:tc>
                <w:tcPr>
                  <w:tcW w:w="1442" w:type="dxa"/>
                  <w:shd w:val="clear" w:color="auto" w:fill="auto"/>
                </w:tcPr>
                <w:p w14:paraId="18F97CBD" w14:textId="77777777" w:rsidR="002B2ED6" w:rsidRPr="003726BE" w:rsidRDefault="002B2ED6" w:rsidP="00AA71F1">
                  <w:pPr>
                    <w:suppressAutoHyphens/>
                    <w:spacing w:before="40" w:after="40" w:line="240" w:lineRule="auto"/>
                    <w:rPr>
                      <w:rFonts w:cs="Arial"/>
                      <w:color w:val="373737" w:themeColor="background1" w:themeShade="40"/>
                      <w:szCs w:val="18"/>
                      <w:highlight w:val="yellow"/>
                    </w:rPr>
                  </w:pPr>
                  <w:r w:rsidRPr="003726BE">
                    <w:rPr>
                      <w:color w:val="373737" w:themeColor="background1" w:themeShade="40"/>
                      <w:highlight w:val="yellow"/>
                    </w:rPr>
                    <w:t>Molto buono</w:t>
                  </w:r>
                </w:p>
              </w:tc>
              <w:tc>
                <w:tcPr>
                  <w:tcW w:w="1548" w:type="dxa"/>
                  <w:shd w:val="clear" w:color="auto" w:fill="auto"/>
                </w:tcPr>
                <w:p w14:paraId="36331728" w14:textId="77777777" w:rsidR="002B2ED6" w:rsidRPr="003726BE" w:rsidRDefault="002B2ED6" w:rsidP="00AA71F1">
                  <w:pPr>
                    <w:suppressAutoHyphens/>
                    <w:spacing w:before="40" w:after="40" w:line="240" w:lineRule="auto"/>
                    <w:rPr>
                      <w:rFonts w:cs="Arial"/>
                      <w:color w:val="373737" w:themeColor="background1" w:themeShade="40"/>
                      <w:szCs w:val="18"/>
                      <w:highlight w:val="yellow"/>
                    </w:rPr>
                  </w:pPr>
                  <w:r w:rsidRPr="003726BE">
                    <w:rPr>
                      <w:color w:val="373737" w:themeColor="background1" w:themeShade="40"/>
                      <w:highlight w:val="yellow"/>
                    </w:rPr>
                    <w:t>Eccellente</w:t>
                  </w:r>
                </w:p>
              </w:tc>
            </w:tr>
            <w:tr w:rsidR="002B2ED6" w:rsidRPr="003726BE" w14:paraId="6053B920" w14:textId="77777777" w:rsidTr="00AA71F1">
              <w:trPr>
                <w:jc w:val="center"/>
              </w:trPr>
              <w:tc>
                <w:tcPr>
                  <w:tcW w:w="1414" w:type="dxa"/>
                  <w:shd w:val="clear" w:color="auto" w:fill="auto"/>
                </w:tcPr>
                <w:p w14:paraId="2BDC5808" w14:textId="77777777" w:rsidR="002B2ED6" w:rsidRPr="003726BE" w:rsidRDefault="002B2ED6" w:rsidP="00AA71F1">
                  <w:pPr>
                    <w:suppressAutoHyphens/>
                    <w:spacing w:before="40" w:after="40" w:line="240" w:lineRule="auto"/>
                    <w:rPr>
                      <w:rFonts w:cs="Arial"/>
                      <w:color w:val="373737" w:themeColor="background1" w:themeShade="40"/>
                      <w:szCs w:val="18"/>
                      <w:highlight w:val="yellow"/>
                    </w:rPr>
                  </w:pPr>
                </w:p>
              </w:tc>
              <w:tc>
                <w:tcPr>
                  <w:tcW w:w="1628" w:type="dxa"/>
                  <w:shd w:val="clear" w:color="auto" w:fill="auto"/>
                </w:tcPr>
                <w:p w14:paraId="3F29EBDF" w14:textId="77777777" w:rsidR="002B2ED6" w:rsidRPr="003726BE" w:rsidRDefault="002B2ED6" w:rsidP="00AA71F1">
                  <w:pPr>
                    <w:suppressAutoHyphens/>
                    <w:spacing w:before="40" w:after="40" w:line="240" w:lineRule="auto"/>
                    <w:rPr>
                      <w:rFonts w:cs="Arial"/>
                      <w:color w:val="373737" w:themeColor="background1" w:themeShade="40"/>
                      <w:szCs w:val="18"/>
                      <w:highlight w:val="yellow"/>
                    </w:rPr>
                  </w:pPr>
                </w:p>
              </w:tc>
              <w:tc>
                <w:tcPr>
                  <w:tcW w:w="1442" w:type="dxa"/>
                  <w:shd w:val="clear" w:color="auto" w:fill="auto"/>
                </w:tcPr>
                <w:p w14:paraId="464A8FFF" w14:textId="77777777" w:rsidR="002B2ED6" w:rsidRPr="003726BE" w:rsidRDefault="002B2ED6" w:rsidP="00AA71F1">
                  <w:pPr>
                    <w:suppressAutoHyphens/>
                    <w:spacing w:before="40" w:after="40" w:line="240" w:lineRule="auto"/>
                    <w:rPr>
                      <w:rFonts w:cs="Arial"/>
                      <w:color w:val="373737" w:themeColor="background1" w:themeShade="40"/>
                      <w:szCs w:val="18"/>
                      <w:highlight w:val="yellow"/>
                    </w:rPr>
                  </w:pPr>
                </w:p>
              </w:tc>
              <w:tc>
                <w:tcPr>
                  <w:tcW w:w="1442" w:type="dxa"/>
                  <w:shd w:val="clear" w:color="auto" w:fill="auto"/>
                </w:tcPr>
                <w:p w14:paraId="3582F624" w14:textId="77777777" w:rsidR="002B2ED6" w:rsidRPr="003726BE" w:rsidRDefault="002B2ED6" w:rsidP="00AA71F1">
                  <w:pPr>
                    <w:suppressAutoHyphens/>
                    <w:spacing w:before="40" w:after="40" w:line="240" w:lineRule="auto"/>
                    <w:rPr>
                      <w:rFonts w:cs="Arial"/>
                      <w:color w:val="373737" w:themeColor="background1" w:themeShade="40"/>
                      <w:szCs w:val="18"/>
                      <w:highlight w:val="yellow"/>
                    </w:rPr>
                  </w:pPr>
                </w:p>
              </w:tc>
              <w:tc>
                <w:tcPr>
                  <w:tcW w:w="1548" w:type="dxa"/>
                  <w:shd w:val="clear" w:color="auto" w:fill="auto"/>
                </w:tcPr>
                <w:p w14:paraId="7C298802" w14:textId="77777777" w:rsidR="002B2ED6" w:rsidRPr="003726BE" w:rsidRDefault="002B2ED6" w:rsidP="00AA71F1">
                  <w:pPr>
                    <w:suppressAutoHyphens/>
                    <w:spacing w:before="40" w:after="40" w:line="240" w:lineRule="auto"/>
                    <w:rPr>
                      <w:rFonts w:cs="Arial"/>
                      <w:color w:val="373737" w:themeColor="background1" w:themeShade="40"/>
                      <w:szCs w:val="18"/>
                      <w:highlight w:val="yellow"/>
                    </w:rPr>
                  </w:pPr>
                </w:p>
              </w:tc>
            </w:tr>
          </w:tbl>
          <w:p w14:paraId="06F1D8F8" w14:textId="77777777" w:rsidR="002B2ED6" w:rsidRPr="003726BE" w:rsidRDefault="002B2ED6" w:rsidP="00AA71F1">
            <w:pPr>
              <w:suppressAutoHyphens/>
              <w:spacing w:before="40" w:after="40" w:line="240" w:lineRule="auto"/>
              <w:rPr>
                <w:rFonts w:cs="Arial"/>
                <w:color w:val="373737" w:themeColor="background1" w:themeShade="40"/>
                <w:szCs w:val="18"/>
                <w:highlight w:val="yellow"/>
              </w:rPr>
            </w:pPr>
            <w:r w:rsidRPr="003726BE">
              <w:rPr>
                <w:color w:val="373737" w:themeColor="background1" w:themeShade="40"/>
                <w:highlight w:val="yellow"/>
              </w:rPr>
              <w:t>Motivazione del punteggio:</w:t>
            </w:r>
          </w:p>
        </w:tc>
      </w:tr>
      <w:tr w:rsidR="002B2ED6" w:rsidRPr="003726BE" w14:paraId="3D2057CC" w14:textId="77777777" w:rsidTr="00AA71F1">
        <w:trPr>
          <w:jc w:val="center"/>
        </w:trPr>
        <w:tc>
          <w:tcPr>
            <w:tcW w:w="9067" w:type="dxa"/>
            <w:shd w:val="clear" w:color="auto" w:fill="auto"/>
          </w:tcPr>
          <w:p w14:paraId="0C4BA97F" w14:textId="77777777" w:rsidR="002B2ED6" w:rsidRPr="003726BE" w:rsidRDefault="002B2ED6" w:rsidP="00AA71F1">
            <w:pPr>
              <w:tabs>
                <w:tab w:val="left" w:pos="142"/>
              </w:tabs>
              <w:suppressAutoHyphens/>
              <w:spacing w:before="40" w:after="40" w:line="240" w:lineRule="auto"/>
              <w:ind w:left="360" w:hanging="360"/>
              <w:rPr>
                <w:rFonts w:cs="Arial"/>
                <w:color w:val="373737" w:themeColor="background1" w:themeShade="40"/>
                <w:szCs w:val="18"/>
                <w:highlight w:val="yellow"/>
              </w:rPr>
            </w:pPr>
            <w:r w:rsidRPr="003726BE">
              <w:rPr>
                <w:color w:val="373737" w:themeColor="background1" w:themeShade="40"/>
                <w:highlight w:val="yellow"/>
              </w:rPr>
              <w:t>ADEGUATEZZA DELLA PROGETTAZIONE DELLA VALUTAZIONE</w:t>
            </w:r>
          </w:p>
          <w:p w14:paraId="4DB233DE" w14:textId="77777777" w:rsidR="002B2ED6" w:rsidRPr="003726BE" w:rsidRDefault="002B2ED6" w:rsidP="00AA71F1">
            <w:pPr>
              <w:suppressAutoHyphens/>
              <w:spacing w:before="40" w:after="40" w:line="240" w:lineRule="auto"/>
              <w:rPr>
                <w:rFonts w:cs="Arial"/>
                <w:color w:val="373737" w:themeColor="background1" w:themeShade="40"/>
                <w:szCs w:val="18"/>
                <w:highlight w:val="yellow"/>
              </w:rPr>
            </w:pPr>
            <w:r w:rsidRPr="003726BE">
              <w:rPr>
                <w:color w:val="373737" w:themeColor="background1" w:themeShade="40"/>
                <w:highlight w:val="yellow"/>
              </w:rPr>
              <w:t>L'approccio metodologico è concepito in modo adeguato per ottenere i risultati necessari al fine di rispondere alle domande di valutazione?</w:t>
            </w:r>
          </w:p>
          <w:p w14:paraId="487CB778" w14:textId="77777777" w:rsidR="002B2ED6" w:rsidRPr="003726BE" w:rsidRDefault="002B2ED6" w:rsidP="00AA71F1">
            <w:pPr>
              <w:suppressAutoHyphens/>
              <w:spacing w:before="40" w:after="40" w:line="240" w:lineRule="auto"/>
              <w:rPr>
                <w:rFonts w:cs="Arial"/>
                <w:color w:val="373737" w:themeColor="background1" w:themeShade="40"/>
                <w:szCs w:val="18"/>
                <w:highlight w:val="yellow"/>
              </w:rPr>
            </w:pPr>
          </w:p>
          <w:tbl>
            <w:tblPr>
              <w:tblW w:w="0" w:type="auto"/>
              <w:jc w:val="center"/>
              <w:tblBorders>
                <w:top w:val="single" w:sz="4" w:space="0" w:color="F07E31"/>
                <w:left w:val="single" w:sz="4" w:space="0" w:color="F07E31"/>
                <w:bottom w:val="single" w:sz="4" w:space="0" w:color="F07E31"/>
                <w:right w:val="single" w:sz="4" w:space="0" w:color="F07E31"/>
                <w:insideH w:val="single" w:sz="4" w:space="0" w:color="F07E31"/>
                <w:insideV w:val="single" w:sz="4" w:space="0" w:color="F07E31"/>
              </w:tblBorders>
              <w:tblLook w:val="04A0" w:firstRow="1" w:lastRow="0" w:firstColumn="1" w:lastColumn="0" w:noHBand="0" w:noVBand="1"/>
            </w:tblPr>
            <w:tblGrid>
              <w:gridCol w:w="1703"/>
              <w:gridCol w:w="1793"/>
              <w:gridCol w:w="1713"/>
              <w:gridCol w:w="1714"/>
              <w:gridCol w:w="1759"/>
            </w:tblGrid>
            <w:tr w:rsidR="002B2ED6" w:rsidRPr="003726BE" w14:paraId="032636BB" w14:textId="77777777" w:rsidTr="00AA71F1">
              <w:trPr>
                <w:jc w:val="center"/>
              </w:trPr>
              <w:tc>
                <w:tcPr>
                  <w:tcW w:w="1703" w:type="dxa"/>
                  <w:shd w:val="clear" w:color="auto" w:fill="auto"/>
                </w:tcPr>
                <w:p w14:paraId="73975F0A" w14:textId="77777777" w:rsidR="002B2ED6" w:rsidRPr="003726BE" w:rsidRDefault="002B2ED6" w:rsidP="00AA71F1">
                  <w:pPr>
                    <w:suppressAutoHyphens/>
                    <w:spacing w:before="40" w:after="40" w:line="240" w:lineRule="auto"/>
                    <w:rPr>
                      <w:rFonts w:cs="Arial"/>
                      <w:color w:val="373737" w:themeColor="background1" w:themeShade="40"/>
                      <w:szCs w:val="18"/>
                      <w:highlight w:val="yellow"/>
                    </w:rPr>
                  </w:pPr>
                  <w:r w:rsidRPr="003726BE">
                    <w:rPr>
                      <w:color w:val="373737" w:themeColor="background1" w:themeShade="40"/>
                      <w:highlight w:val="yellow"/>
                    </w:rPr>
                    <w:t>Mediocre</w:t>
                  </w:r>
                </w:p>
              </w:tc>
              <w:tc>
                <w:tcPr>
                  <w:tcW w:w="1793" w:type="dxa"/>
                  <w:shd w:val="clear" w:color="auto" w:fill="auto"/>
                </w:tcPr>
                <w:p w14:paraId="11260AC8" w14:textId="77777777" w:rsidR="002B2ED6" w:rsidRPr="003726BE" w:rsidRDefault="002B2ED6" w:rsidP="00AA71F1">
                  <w:pPr>
                    <w:suppressAutoHyphens/>
                    <w:spacing w:before="40" w:after="40" w:line="240" w:lineRule="auto"/>
                    <w:rPr>
                      <w:rFonts w:cs="Arial"/>
                      <w:color w:val="373737" w:themeColor="background1" w:themeShade="40"/>
                      <w:szCs w:val="18"/>
                      <w:highlight w:val="yellow"/>
                    </w:rPr>
                  </w:pPr>
                  <w:r w:rsidRPr="003726BE">
                    <w:rPr>
                      <w:color w:val="373737" w:themeColor="background1" w:themeShade="40"/>
                      <w:highlight w:val="yellow"/>
                    </w:rPr>
                    <w:t>Soddisfacente</w:t>
                  </w:r>
                </w:p>
              </w:tc>
              <w:tc>
                <w:tcPr>
                  <w:tcW w:w="1713" w:type="dxa"/>
                  <w:shd w:val="clear" w:color="auto" w:fill="auto"/>
                </w:tcPr>
                <w:p w14:paraId="7B784FC7" w14:textId="77777777" w:rsidR="002B2ED6" w:rsidRPr="003726BE" w:rsidRDefault="002B2ED6" w:rsidP="00AA71F1">
                  <w:pPr>
                    <w:suppressAutoHyphens/>
                    <w:spacing w:before="40" w:after="40" w:line="240" w:lineRule="auto"/>
                    <w:rPr>
                      <w:rFonts w:cs="Arial"/>
                      <w:color w:val="373737" w:themeColor="background1" w:themeShade="40"/>
                      <w:szCs w:val="18"/>
                      <w:highlight w:val="yellow"/>
                    </w:rPr>
                  </w:pPr>
                  <w:r w:rsidRPr="003726BE">
                    <w:rPr>
                      <w:color w:val="373737" w:themeColor="background1" w:themeShade="40"/>
                      <w:highlight w:val="yellow"/>
                    </w:rPr>
                    <w:t>Buono</w:t>
                  </w:r>
                </w:p>
              </w:tc>
              <w:tc>
                <w:tcPr>
                  <w:tcW w:w="1714" w:type="dxa"/>
                  <w:shd w:val="clear" w:color="auto" w:fill="auto"/>
                </w:tcPr>
                <w:p w14:paraId="51997D2D" w14:textId="77777777" w:rsidR="002B2ED6" w:rsidRPr="003726BE" w:rsidRDefault="002B2ED6" w:rsidP="00AA71F1">
                  <w:pPr>
                    <w:suppressAutoHyphens/>
                    <w:spacing w:before="40" w:after="40" w:line="240" w:lineRule="auto"/>
                    <w:rPr>
                      <w:rFonts w:cs="Arial"/>
                      <w:color w:val="373737" w:themeColor="background1" w:themeShade="40"/>
                      <w:szCs w:val="18"/>
                      <w:highlight w:val="yellow"/>
                    </w:rPr>
                  </w:pPr>
                  <w:r w:rsidRPr="003726BE">
                    <w:rPr>
                      <w:color w:val="373737" w:themeColor="background1" w:themeShade="40"/>
                      <w:highlight w:val="yellow"/>
                    </w:rPr>
                    <w:t>Molto buono</w:t>
                  </w:r>
                </w:p>
              </w:tc>
              <w:tc>
                <w:tcPr>
                  <w:tcW w:w="1759" w:type="dxa"/>
                  <w:shd w:val="clear" w:color="auto" w:fill="auto"/>
                </w:tcPr>
                <w:p w14:paraId="0864192B" w14:textId="77777777" w:rsidR="002B2ED6" w:rsidRPr="003726BE" w:rsidRDefault="002B2ED6" w:rsidP="00AA71F1">
                  <w:pPr>
                    <w:suppressAutoHyphens/>
                    <w:spacing w:before="40" w:after="40" w:line="240" w:lineRule="auto"/>
                    <w:rPr>
                      <w:rFonts w:cs="Arial"/>
                      <w:color w:val="373737" w:themeColor="background1" w:themeShade="40"/>
                      <w:szCs w:val="18"/>
                      <w:highlight w:val="yellow"/>
                    </w:rPr>
                  </w:pPr>
                  <w:r w:rsidRPr="003726BE">
                    <w:rPr>
                      <w:color w:val="373737" w:themeColor="background1" w:themeShade="40"/>
                      <w:highlight w:val="yellow"/>
                    </w:rPr>
                    <w:t>Eccellente</w:t>
                  </w:r>
                </w:p>
              </w:tc>
            </w:tr>
            <w:tr w:rsidR="002B2ED6" w:rsidRPr="003726BE" w14:paraId="68312614" w14:textId="77777777" w:rsidTr="00AA71F1">
              <w:trPr>
                <w:jc w:val="center"/>
              </w:trPr>
              <w:tc>
                <w:tcPr>
                  <w:tcW w:w="1703" w:type="dxa"/>
                  <w:shd w:val="clear" w:color="auto" w:fill="auto"/>
                </w:tcPr>
                <w:p w14:paraId="6C0E4892" w14:textId="77777777" w:rsidR="002B2ED6" w:rsidRPr="003726BE" w:rsidRDefault="002B2ED6" w:rsidP="00AA71F1">
                  <w:pPr>
                    <w:suppressAutoHyphens/>
                    <w:spacing w:before="40" w:after="40" w:line="240" w:lineRule="auto"/>
                    <w:rPr>
                      <w:rFonts w:cs="Arial"/>
                      <w:color w:val="373737" w:themeColor="background1" w:themeShade="40"/>
                      <w:szCs w:val="18"/>
                      <w:highlight w:val="yellow"/>
                    </w:rPr>
                  </w:pPr>
                </w:p>
              </w:tc>
              <w:tc>
                <w:tcPr>
                  <w:tcW w:w="1793" w:type="dxa"/>
                  <w:shd w:val="clear" w:color="auto" w:fill="auto"/>
                </w:tcPr>
                <w:p w14:paraId="7B03026C" w14:textId="77777777" w:rsidR="002B2ED6" w:rsidRPr="003726BE" w:rsidRDefault="002B2ED6" w:rsidP="00AA71F1">
                  <w:pPr>
                    <w:suppressAutoHyphens/>
                    <w:spacing w:before="40" w:after="40" w:line="240" w:lineRule="auto"/>
                    <w:rPr>
                      <w:rFonts w:cs="Arial"/>
                      <w:color w:val="373737" w:themeColor="background1" w:themeShade="40"/>
                      <w:szCs w:val="18"/>
                      <w:highlight w:val="yellow"/>
                    </w:rPr>
                  </w:pPr>
                </w:p>
              </w:tc>
              <w:tc>
                <w:tcPr>
                  <w:tcW w:w="1713" w:type="dxa"/>
                  <w:shd w:val="clear" w:color="auto" w:fill="auto"/>
                </w:tcPr>
                <w:p w14:paraId="3D80E40B" w14:textId="77777777" w:rsidR="002B2ED6" w:rsidRPr="003726BE" w:rsidRDefault="002B2ED6" w:rsidP="00AA71F1">
                  <w:pPr>
                    <w:suppressAutoHyphens/>
                    <w:spacing w:before="40" w:after="40" w:line="240" w:lineRule="auto"/>
                    <w:rPr>
                      <w:rFonts w:cs="Arial"/>
                      <w:color w:val="373737" w:themeColor="background1" w:themeShade="40"/>
                      <w:szCs w:val="18"/>
                      <w:highlight w:val="yellow"/>
                    </w:rPr>
                  </w:pPr>
                </w:p>
              </w:tc>
              <w:tc>
                <w:tcPr>
                  <w:tcW w:w="1714" w:type="dxa"/>
                  <w:shd w:val="clear" w:color="auto" w:fill="auto"/>
                </w:tcPr>
                <w:p w14:paraId="14B948C0" w14:textId="77777777" w:rsidR="002B2ED6" w:rsidRPr="003726BE" w:rsidRDefault="002B2ED6" w:rsidP="00AA71F1">
                  <w:pPr>
                    <w:suppressAutoHyphens/>
                    <w:spacing w:before="40" w:after="40" w:line="240" w:lineRule="auto"/>
                    <w:rPr>
                      <w:rFonts w:cs="Arial"/>
                      <w:color w:val="373737" w:themeColor="background1" w:themeShade="40"/>
                      <w:szCs w:val="18"/>
                      <w:highlight w:val="yellow"/>
                    </w:rPr>
                  </w:pPr>
                </w:p>
              </w:tc>
              <w:tc>
                <w:tcPr>
                  <w:tcW w:w="1759" w:type="dxa"/>
                  <w:shd w:val="clear" w:color="auto" w:fill="auto"/>
                </w:tcPr>
                <w:p w14:paraId="23289D8E" w14:textId="77777777" w:rsidR="002B2ED6" w:rsidRPr="003726BE" w:rsidRDefault="002B2ED6" w:rsidP="00AA71F1">
                  <w:pPr>
                    <w:suppressAutoHyphens/>
                    <w:spacing w:before="40" w:after="40" w:line="240" w:lineRule="auto"/>
                    <w:rPr>
                      <w:rFonts w:cs="Arial"/>
                      <w:color w:val="373737" w:themeColor="background1" w:themeShade="40"/>
                      <w:szCs w:val="18"/>
                      <w:highlight w:val="yellow"/>
                    </w:rPr>
                  </w:pPr>
                </w:p>
              </w:tc>
            </w:tr>
          </w:tbl>
          <w:p w14:paraId="408EB0C5" w14:textId="77777777" w:rsidR="002B2ED6" w:rsidRPr="003726BE" w:rsidRDefault="002B2ED6" w:rsidP="00AA71F1">
            <w:pPr>
              <w:suppressAutoHyphens/>
              <w:spacing w:before="40" w:after="40" w:line="240" w:lineRule="auto"/>
              <w:rPr>
                <w:rFonts w:cs="Arial"/>
                <w:color w:val="373737" w:themeColor="background1" w:themeShade="40"/>
                <w:szCs w:val="18"/>
                <w:highlight w:val="yellow"/>
              </w:rPr>
            </w:pPr>
            <w:r w:rsidRPr="003726BE">
              <w:rPr>
                <w:color w:val="373737" w:themeColor="background1" w:themeShade="40"/>
                <w:highlight w:val="yellow"/>
              </w:rPr>
              <w:t>Motivazione del punteggio:</w:t>
            </w:r>
          </w:p>
        </w:tc>
      </w:tr>
      <w:tr w:rsidR="002B2ED6" w:rsidRPr="003726BE" w14:paraId="5F1A71D0" w14:textId="77777777" w:rsidTr="00AA71F1">
        <w:trPr>
          <w:jc w:val="center"/>
        </w:trPr>
        <w:tc>
          <w:tcPr>
            <w:tcW w:w="9067" w:type="dxa"/>
            <w:shd w:val="clear" w:color="auto" w:fill="auto"/>
          </w:tcPr>
          <w:p w14:paraId="1CD50BF9" w14:textId="77777777" w:rsidR="002B2ED6" w:rsidRPr="003726BE" w:rsidRDefault="00C2310A" w:rsidP="00AA71F1">
            <w:pPr>
              <w:tabs>
                <w:tab w:val="left" w:pos="142"/>
              </w:tabs>
              <w:suppressAutoHyphens/>
              <w:spacing w:before="40" w:after="40" w:line="240" w:lineRule="auto"/>
              <w:ind w:left="360" w:hanging="360"/>
              <w:rPr>
                <w:rFonts w:cs="Arial"/>
                <w:color w:val="373737" w:themeColor="background1" w:themeShade="40"/>
                <w:szCs w:val="18"/>
                <w:highlight w:val="yellow"/>
              </w:rPr>
            </w:pPr>
            <w:r w:rsidRPr="003726BE">
              <w:rPr>
                <w:color w:val="373737" w:themeColor="background1" w:themeShade="40"/>
                <w:highlight w:val="yellow"/>
              </w:rPr>
              <w:t>AFFIDABILITÀ DEI DATI</w:t>
            </w:r>
          </w:p>
          <w:p w14:paraId="34390149" w14:textId="77777777" w:rsidR="002B2ED6" w:rsidRPr="003726BE" w:rsidRDefault="00491F9B" w:rsidP="00AA71F1">
            <w:pPr>
              <w:suppressAutoHyphens/>
              <w:spacing w:before="40" w:after="40" w:line="240" w:lineRule="auto"/>
              <w:rPr>
                <w:rFonts w:cs="Arial"/>
                <w:color w:val="373737" w:themeColor="background1" w:themeShade="40"/>
                <w:szCs w:val="18"/>
                <w:highlight w:val="yellow"/>
              </w:rPr>
            </w:pPr>
            <w:r w:rsidRPr="003726BE">
              <w:rPr>
                <w:color w:val="373737" w:themeColor="background1" w:themeShade="40"/>
                <w:highlight w:val="yellow"/>
              </w:rPr>
              <w:t xml:space="preserve">I dati utilizzati nel contesto della valutazione sono adeguati ai fini e la loro affidabilità è stata accertata? Eventuali debolezze e limitazioni nei dati sono state spiegate? </w:t>
            </w:r>
          </w:p>
          <w:p w14:paraId="09F31F58" w14:textId="77777777" w:rsidR="002B2ED6" w:rsidRPr="003726BE" w:rsidRDefault="002B2ED6" w:rsidP="00AA71F1">
            <w:pPr>
              <w:suppressAutoHyphens/>
              <w:spacing w:before="40" w:after="40" w:line="240" w:lineRule="auto"/>
              <w:rPr>
                <w:rFonts w:cs="Arial"/>
                <w:color w:val="373737" w:themeColor="background1" w:themeShade="40"/>
                <w:szCs w:val="18"/>
                <w:highlight w:val="yellow"/>
              </w:rPr>
            </w:pPr>
          </w:p>
          <w:tbl>
            <w:tblPr>
              <w:tblW w:w="0" w:type="auto"/>
              <w:jc w:val="center"/>
              <w:tblBorders>
                <w:top w:val="single" w:sz="4" w:space="0" w:color="F07E31"/>
                <w:left w:val="single" w:sz="4" w:space="0" w:color="F07E31"/>
                <w:bottom w:val="single" w:sz="4" w:space="0" w:color="F07E31"/>
                <w:right w:val="single" w:sz="4" w:space="0" w:color="F07E31"/>
                <w:insideH w:val="single" w:sz="4" w:space="0" w:color="F07E31"/>
                <w:insideV w:val="single" w:sz="4" w:space="0" w:color="F07E31"/>
              </w:tblBorders>
              <w:tblLook w:val="04A0" w:firstRow="1" w:lastRow="0" w:firstColumn="1" w:lastColumn="0" w:noHBand="0" w:noVBand="1"/>
            </w:tblPr>
            <w:tblGrid>
              <w:gridCol w:w="1414"/>
              <w:gridCol w:w="1628"/>
              <w:gridCol w:w="1442"/>
              <w:gridCol w:w="1442"/>
              <w:gridCol w:w="1548"/>
            </w:tblGrid>
            <w:tr w:rsidR="002B2ED6" w:rsidRPr="003726BE" w14:paraId="05AC4FB5" w14:textId="77777777" w:rsidTr="00AA71F1">
              <w:trPr>
                <w:jc w:val="center"/>
              </w:trPr>
              <w:tc>
                <w:tcPr>
                  <w:tcW w:w="1414" w:type="dxa"/>
                  <w:shd w:val="clear" w:color="auto" w:fill="auto"/>
                </w:tcPr>
                <w:p w14:paraId="4F0633EE" w14:textId="77777777" w:rsidR="002B2ED6" w:rsidRPr="003726BE" w:rsidRDefault="002B2ED6" w:rsidP="00AA71F1">
                  <w:pPr>
                    <w:suppressAutoHyphens/>
                    <w:spacing w:before="40" w:after="40" w:line="240" w:lineRule="auto"/>
                    <w:rPr>
                      <w:rFonts w:cs="Arial"/>
                      <w:color w:val="373737" w:themeColor="background1" w:themeShade="40"/>
                      <w:szCs w:val="18"/>
                      <w:highlight w:val="yellow"/>
                    </w:rPr>
                  </w:pPr>
                  <w:r w:rsidRPr="003726BE">
                    <w:rPr>
                      <w:color w:val="373737" w:themeColor="background1" w:themeShade="40"/>
                      <w:highlight w:val="yellow"/>
                    </w:rPr>
                    <w:t>Mediocre</w:t>
                  </w:r>
                </w:p>
              </w:tc>
              <w:tc>
                <w:tcPr>
                  <w:tcW w:w="1628" w:type="dxa"/>
                  <w:shd w:val="clear" w:color="auto" w:fill="auto"/>
                </w:tcPr>
                <w:p w14:paraId="3C031DCF" w14:textId="77777777" w:rsidR="002B2ED6" w:rsidRPr="003726BE" w:rsidRDefault="002B2ED6" w:rsidP="00AA71F1">
                  <w:pPr>
                    <w:suppressAutoHyphens/>
                    <w:spacing w:before="40" w:after="40" w:line="240" w:lineRule="auto"/>
                    <w:rPr>
                      <w:rFonts w:cs="Arial"/>
                      <w:color w:val="373737" w:themeColor="background1" w:themeShade="40"/>
                      <w:szCs w:val="18"/>
                      <w:highlight w:val="yellow"/>
                    </w:rPr>
                  </w:pPr>
                  <w:r w:rsidRPr="003726BE">
                    <w:rPr>
                      <w:color w:val="373737" w:themeColor="background1" w:themeShade="40"/>
                      <w:highlight w:val="yellow"/>
                    </w:rPr>
                    <w:t>Soddisfacente</w:t>
                  </w:r>
                </w:p>
              </w:tc>
              <w:tc>
                <w:tcPr>
                  <w:tcW w:w="1442" w:type="dxa"/>
                  <w:shd w:val="clear" w:color="auto" w:fill="auto"/>
                </w:tcPr>
                <w:p w14:paraId="5E9B5AB3" w14:textId="77777777" w:rsidR="002B2ED6" w:rsidRPr="003726BE" w:rsidRDefault="002B2ED6" w:rsidP="00AA71F1">
                  <w:pPr>
                    <w:suppressAutoHyphens/>
                    <w:spacing w:before="40" w:after="40" w:line="240" w:lineRule="auto"/>
                    <w:rPr>
                      <w:rFonts w:cs="Arial"/>
                      <w:color w:val="373737" w:themeColor="background1" w:themeShade="40"/>
                      <w:szCs w:val="18"/>
                      <w:highlight w:val="yellow"/>
                    </w:rPr>
                  </w:pPr>
                  <w:r w:rsidRPr="003726BE">
                    <w:rPr>
                      <w:color w:val="373737" w:themeColor="background1" w:themeShade="40"/>
                      <w:highlight w:val="yellow"/>
                    </w:rPr>
                    <w:t>Buono</w:t>
                  </w:r>
                </w:p>
              </w:tc>
              <w:tc>
                <w:tcPr>
                  <w:tcW w:w="1442" w:type="dxa"/>
                  <w:shd w:val="clear" w:color="auto" w:fill="auto"/>
                </w:tcPr>
                <w:p w14:paraId="08F37054" w14:textId="77777777" w:rsidR="002B2ED6" w:rsidRPr="003726BE" w:rsidRDefault="002B2ED6" w:rsidP="00AA71F1">
                  <w:pPr>
                    <w:suppressAutoHyphens/>
                    <w:spacing w:before="40" w:after="40" w:line="240" w:lineRule="auto"/>
                    <w:rPr>
                      <w:rFonts w:cs="Arial"/>
                      <w:color w:val="373737" w:themeColor="background1" w:themeShade="40"/>
                      <w:szCs w:val="18"/>
                      <w:highlight w:val="yellow"/>
                    </w:rPr>
                  </w:pPr>
                  <w:r w:rsidRPr="003726BE">
                    <w:rPr>
                      <w:color w:val="373737" w:themeColor="background1" w:themeShade="40"/>
                      <w:highlight w:val="yellow"/>
                    </w:rPr>
                    <w:t>Molto buono</w:t>
                  </w:r>
                </w:p>
              </w:tc>
              <w:tc>
                <w:tcPr>
                  <w:tcW w:w="1548" w:type="dxa"/>
                  <w:shd w:val="clear" w:color="auto" w:fill="auto"/>
                </w:tcPr>
                <w:p w14:paraId="7E28FE2F" w14:textId="77777777" w:rsidR="002B2ED6" w:rsidRPr="003726BE" w:rsidRDefault="002B2ED6" w:rsidP="00AA71F1">
                  <w:pPr>
                    <w:suppressAutoHyphens/>
                    <w:spacing w:before="40" w:after="40" w:line="240" w:lineRule="auto"/>
                    <w:rPr>
                      <w:rFonts w:cs="Arial"/>
                      <w:color w:val="373737" w:themeColor="background1" w:themeShade="40"/>
                      <w:szCs w:val="18"/>
                      <w:highlight w:val="yellow"/>
                    </w:rPr>
                  </w:pPr>
                  <w:r w:rsidRPr="003726BE">
                    <w:rPr>
                      <w:color w:val="373737" w:themeColor="background1" w:themeShade="40"/>
                      <w:highlight w:val="yellow"/>
                    </w:rPr>
                    <w:t>Eccellente</w:t>
                  </w:r>
                </w:p>
              </w:tc>
            </w:tr>
            <w:tr w:rsidR="002B2ED6" w:rsidRPr="003726BE" w14:paraId="6FF5B482" w14:textId="77777777" w:rsidTr="00AA71F1">
              <w:trPr>
                <w:jc w:val="center"/>
              </w:trPr>
              <w:tc>
                <w:tcPr>
                  <w:tcW w:w="1414" w:type="dxa"/>
                  <w:shd w:val="clear" w:color="auto" w:fill="auto"/>
                </w:tcPr>
                <w:p w14:paraId="3E7A8555" w14:textId="77777777" w:rsidR="002B2ED6" w:rsidRPr="003726BE" w:rsidRDefault="002B2ED6" w:rsidP="00AA71F1">
                  <w:pPr>
                    <w:suppressAutoHyphens/>
                    <w:spacing w:before="40" w:after="40" w:line="240" w:lineRule="auto"/>
                    <w:rPr>
                      <w:rFonts w:cs="Arial"/>
                      <w:color w:val="373737" w:themeColor="background1" w:themeShade="40"/>
                      <w:szCs w:val="18"/>
                      <w:highlight w:val="yellow"/>
                    </w:rPr>
                  </w:pPr>
                </w:p>
              </w:tc>
              <w:tc>
                <w:tcPr>
                  <w:tcW w:w="1628" w:type="dxa"/>
                  <w:shd w:val="clear" w:color="auto" w:fill="auto"/>
                </w:tcPr>
                <w:p w14:paraId="7D59D8A7" w14:textId="77777777" w:rsidR="002B2ED6" w:rsidRPr="003726BE" w:rsidRDefault="002B2ED6" w:rsidP="00AA71F1">
                  <w:pPr>
                    <w:suppressAutoHyphens/>
                    <w:spacing w:before="40" w:after="40" w:line="240" w:lineRule="auto"/>
                    <w:rPr>
                      <w:rFonts w:cs="Arial"/>
                      <w:color w:val="373737" w:themeColor="background1" w:themeShade="40"/>
                      <w:szCs w:val="18"/>
                      <w:highlight w:val="yellow"/>
                    </w:rPr>
                  </w:pPr>
                </w:p>
              </w:tc>
              <w:tc>
                <w:tcPr>
                  <w:tcW w:w="1442" w:type="dxa"/>
                  <w:shd w:val="clear" w:color="auto" w:fill="auto"/>
                </w:tcPr>
                <w:p w14:paraId="7AD98982" w14:textId="77777777" w:rsidR="002B2ED6" w:rsidRPr="003726BE" w:rsidRDefault="002B2ED6" w:rsidP="00AA71F1">
                  <w:pPr>
                    <w:suppressAutoHyphens/>
                    <w:spacing w:before="40" w:after="40" w:line="240" w:lineRule="auto"/>
                    <w:rPr>
                      <w:rFonts w:cs="Arial"/>
                      <w:color w:val="373737" w:themeColor="background1" w:themeShade="40"/>
                      <w:szCs w:val="18"/>
                      <w:highlight w:val="yellow"/>
                    </w:rPr>
                  </w:pPr>
                </w:p>
              </w:tc>
              <w:tc>
                <w:tcPr>
                  <w:tcW w:w="1442" w:type="dxa"/>
                  <w:shd w:val="clear" w:color="auto" w:fill="auto"/>
                </w:tcPr>
                <w:p w14:paraId="067D3066" w14:textId="77777777" w:rsidR="002B2ED6" w:rsidRPr="003726BE" w:rsidRDefault="002B2ED6" w:rsidP="00AA71F1">
                  <w:pPr>
                    <w:suppressAutoHyphens/>
                    <w:spacing w:before="40" w:after="40" w:line="240" w:lineRule="auto"/>
                    <w:rPr>
                      <w:rFonts w:cs="Arial"/>
                      <w:color w:val="373737" w:themeColor="background1" w:themeShade="40"/>
                      <w:szCs w:val="18"/>
                      <w:highlight w:val="yellow"/>
                    </w:rPr>
                  </w:pPr>
                </w:p>
              </w:tc>
              <w:tc>
                <w:tcPr>
                  <w:tcW w:w="1548" w:type="dxa"/>
                  <w:shd w:val="clear" w:color="auto" w:fill="auto"/>
                </w:tcPr>
                <w:p w14:paraId="0BB66963" w14:textId="77777777" w:rsidR="002B2ED6" w:rsidRPr="003726BE" w:rsidRDefault="002B2ED6" w:rsidP="00AA71F1">
                  <w:pPr>
                    <w:suppressAutoHyphens/>
                    <w:spacing w:before="40" w:after="40" w:line="240" w:lineRule="auto"/>
                    <w:rPr>
                      <w:rFonts w:cs="Arial"/>
                      <w:color w:val="373737" w:themeColor="background1" w:themeShade="40"/>
                      <w:szCs w:val="18"/>
                      <w:highlight w:val="yellow"/>
                    </w:rPr>
                  </w:pPr>
                </w:p>
              </w:tc>
            </w:tr>
          </w:tbl>
          <w:p w14:paraId="401ACC3F" w14:textId="77777777" w:rsidR="002B2ED6" w:rsidRPr="003726BE" w:rsidRDefault="002B2ED6" w:rsidP="00AA71F1">
            <w:pPr>
              <w:suppressAutoHyphens/>
              <w:spacing w:before="40" w:after="40" w:line="240" w:lineRule="auto"/>
              <w:rPr>
                <w:rFonts w:cs="Arial"/>
                <w:color w:val="373737" w:themeColor="background1" w:themeShade="40"/>
                <w:szCs w:val="18"/>
                <w:highlight w:val="yellow"/>
              </w:rPr>
            </w:pPr>
            <w:r w:rsidRPr="003726BE">
              <w:rPr>
                <w:color w:val="373737" w:themeColor="background1" w:themeShade="40"/>
                <w:highlight w:val="yellow"/>
              </w:rPr>
              <w:t>Motivazione del punteggio:</w:t>
            </w:r>
          </w:p>
        </w:tc>
      </w:tr>
      <w:tr w:rsidR="002B2ED6" w:rsidRPr="003726BE" w14:paraId="1387A9DB" w14:textId="77777777" w:rsidTr="00AA71F1">
        <w:trPr>
          <w:jc w:val="center"/>
        </w:trPr>
        <w:tc>
          <w:tcPr>
            <w:tcW w:w="9067" w:type="dxa"/>
            <w:shd w:val="clear" w:color="auto" w:fill="auto"/>
          </w:tcPr>
          <w:p w14:paraId="148D2C1B" w14:textId="77777777" w:rsidR="002B2ED6" w:rsidRPr="003726BE" w:rsidRDefault="00C2310A" w:rsidP="00AA71F1">
            <w:pPr>
              <w:tabs>
                <w:tab w:val="left" w:pos="142"/>
              </w:tabs>
              <w:suppressAutoHyphens/>
              <w:spacing w:before="40" w:after="40" w:line="240" w:lineRule="auto"/>
              <w:ind w:left="360" w:hanging="360"/>
              <w:rPr>
                <w:rFonts w:cs="Arial"/>
                <w:color w:val="373737" w:themeColor="background1" w:themeShade="40"/>
                <w:szCs w:val="18"/>
                <w:highlight w:val="yellow"/>
              </w:rPr>
            </w:pPr>
            <w:r w:rsidRPr="003726BE">
              <w:rPr>
                <w:color w:val="373737" w:themeColor="background1" w:themeShade="40"/>
                <w:highlight w:val="yellow"/>
              </w:rPr>
              <w:t>AFFIDABILITÀ DELL'ANALISI</w:t>
            </w:r>
          </w:p>
          <w:p w14:paraId="06E1BEBC" w14:textId="77777777" w:rsidR="002B2ED6" w:rsidRPr="003726BE" w:rsidRDefault="00491F9B" w:rsidP="00AA71F1">
            <w:pPr>
              <w:suppressAutoHyphens/>
              <w:spacing w:before="40" w:after="40" w:line="240" w:lineRule="auto"/>
              <w:rPr>
                <w:rFonts w:cs="Arial"/>
                <w:color w:val="373737" w:themeColor="background1" w:themeShade="40"/>
                <w:szCs w:val="18"/>
                <w:highlight w:val="yellow"/>
              </w:rPr>
            </w:pPr>
            <w:r w:rsidRPr="003726BE">
              <w:rPr>
                <w:color w:val="373737" w:themeColor="background1" w:themeShade="40"/>
                <w:highlight w:val="yellow"/>
              </w:rPr>
              <w:t>I dati qualitativi e quantitativi vengono opportunamente e sistematicamente analizzati per rispondere alle domande di valutazione e coprire altre esigenze informative in maniera valida? Sono spiegati i nessi causa-effetto tra l'intervento e i suoi risultati? I fattori esterni sono presi in considerazione correttamente?</w:t>
            </w:r>
          </w:p>
          <w:p w14:paraId="1D5EEB3F" w14:textId="77777777" w:rsidR="002B2ED6" w:rsidRPr="003726BE" w:rsidRDefault="002B2ED6" w:rsidP="00AA71F1">
            <w:pPr>
              <w:suppressAutoHyphens/>
              <w:spacing w:before="40" w:after="40" w:line="240" w:lineRule="auto"/>
              <w:rPr>
                <w:rFonts w:cs="Arial"/>
                <w:color w:val="373737" w:themeColor="background1" w:themeShade="40"/>
                <w:szCs w:val="18"/>
                <w:highlight w:val="yellow"/>
              </w:rPr>
            </w:pPr>
            <w:r w:rsidRPr="003726BE">
              <w:tab/>
            </w:r>
          </w:p>
          <w:tbl>
            <w:tblPr>
              <w:tblW w:w="0" w:type="auto"/>
              <w:jc w:val="center"/>
              <w:tblBorders>
                <w:top w:val="single" w:sz="4" w:space="0" w:color="F07E31"/>
                <w:left w:val="single" w:sz="4" w:space="0" w:color="F07E31"/>
                <w:bottom w:val="single" w:sz="4" w:space="0" w:color="F07E31"/>
                <w:right w:val="single" w:sz="4" w:space="0" w:color="F07E31"/>
                <w:insideH w:val="single" w:sz="4" w:space="0" w:color="F07E31"/>
                <w:insideV w:val="single" w:sz="4" w:space="0" w:color="F07E31"/>
              </w:tblBorders>
              <w:tblLook w:val="04A0" w:firstRow="1" w:lastRow="0" w:firstColumn="1" w:lastColumn="0" w:noHBand="0" w:noVBand="1"/>
            </w:tblPr>
            <w:tblGrid>
              <w:gridCol w:w="1414"/>
              <w:gridCol w:w="1628"/>
              <w:gridCol w:w="1442"/>
              <w:gridCol w:w="1442"/>
              <w:gridCol w:w="1548"/>
            </w:tblGrid>
            <w:tr w:rsidR="002B2ED6" w:rsidRPr="003726BE" w14:paraId="659123DB" w14:textId="77777777" w:rsidTr="00AA71F1">
              <w:trPr>
                <w:jc w:val="center"/>
              </w:trPr>
              <w:tc>
                <w:tcPr>
                  <w:tcW w:w="1414" w:type="dxa"/>
                  <w:shd w:val="clear" w:color="auto" w:fill="auto"/>
                </w:tcPr>
                <w:p w14:paraId="5D738529" w14:textId="77777777" w:rsidR="002B2ED6" w:rsidRPr="003726BE" w:rsidRDefault="002B2ED6" w:rsidP="00AA71F1">
                  <w:pPr>
                    <w:suppressAutoHyphens/>
                    <w:spacing w:before="40" w:after="40" w:line="240" w:lineRule="auto"/>
                    <w:rPr>
                      <w:rFonts w:cs="Arial"/>
                      <w:color w:val="373737" w:themeColor="background1" w:themeShade="40"/>
                      <w:szCs w:val="18"/>
                      <w:highlight w:val="yellow"/>
                    </w:rPr>
                  </w:pPr>
                  <w:r w:rsidRPr="003726BE">
                    <w:rPr>
                      <w:color w:val="373737" w:themeColor="background1" w:themeShade="40"/>
                      <w:highlight w:val="yellow"/>
                    </w:rPr>
                    <w:t>Mediocre</w:t>
                  </w:r>
                </w:p>
              </w:tc>
              <w:tc>
                <w:tcPr>
                  <w:tcW w:w="1628" w:type="dxa"/>
                  <w:shd w:val="clear" w:color="auto" w:fill="auto"/>
                </w:tcPr>
                <w:p w14:paraId="33C8555B" w14:textId="77777777" w:rsidR="002B2ED6" w:rsidRPr="003726BE" w:rsidRDefault="002B2ED6" w:rsidP="00AA71F1">
                  <w:pPr>
                    <w:suppressAutoHyphens/>
                    <w:spacing w:before="40" w:after="40" w:line="240" w:lineRule="auto"/>
                    <w:rPr>
                      <w:rFonts w:cs="Arial"/>
                      <w:color w:val="373737" w:themeColor="background1" w:themeShade="40"/>
                      <w:szCs w:val="18"/>
                      <w:highlight w:val="yellow"/>
                    </w:rPr>
                  </w:pPr>
                  <w:r w:rsidRPr="003726BE">
                    <w:rPr>
                      <w:color w:val="373737" w:themeColor="background1" w:themeShade="40"/>
                      <w:highlight w:val="yellow"/>
                    </w:rPr>
                    <w:t>Soddisfacente</w:t>
                  </w:r>
                </w:p>
              </w:tc>
              <w:tc>
                <w:tcPr>
                  <w:tcW w:w="1442" w:type="dxa"/>
                  <w:shd w:val="clear" w:color="auto" w:fill="auto"/>
                </w:tcPr>
                <w:p w14:paraId="277F4745" w14:textId="77777777" w:rsidR="002B2ED6" w:rsidRPr="003726BE" w:rsidRDefault="002B2ED6" w:rsidP="00AA71F1">
                  <w:pPr>
                    <w:suppressAutoHyphens/>
                    <w:spacing w:before="40" w:after="40" w:line="240" w:lineRule="auto"/>
                    <w:rPr>
                      <w:rFonts w:cs="Arial"/>
                      <w:color w:val="373737" w:themeColor="background1" w:themeShade="40"/>
                      <w:szCs w:val="18"/>
                      <w:highlight w:val="yellow"/>
                    </w:rPr>
                  </w:pPr>
                  <w:r w:rsidRPr="003726BE">
                    <w:rPr>
                      <w:color w:val="373737" w:themeColor="background1" w:themeShade="40"/>
                      <w:highlight w:val="yellow"/>
                    </w:rPr>
                    <w:t>Buono</w:t>
                  </w:r>
                </w:p>
              </w:tc>
              <w:tc>
                <w:tcPr>
                  <w:tcW w:w="1442" w:type="dxa"/>
                  <w:shd w:val="clear" w:color="auto" w:fill="auto"/>
                </w:tcPr>
                <w:p w14:paraId="58DDF948" w14:textId="77777777" w:rsidR="002B2ED6" w:rsidRPr="003726BE" w:rsidRDefault="002B2ED6" w:rsidP="00AA71F1">
                  <w:pPr>
                    <w:suppressAutoHyphens/>
                    <w:spacing w:before="40" w:after="40" w:line="240" w:lineRule="auto"/>
                    <w:rPr>
                      <w:rFonts w:cs="Arial"/>
                      <w:color w:val="373737" w:themeColor="background1" w:themeShade="40"/>
                      <w:szCs w:val="18"/>
                      <w:highlight w:val="yellow"/>
                    </w:rPr>
                  </w:pPr>
                  <w:r w:rsidRPr="003726BE">
                    <w:rPr>
                      <w:color w:val="373737" w:themeColor="background1" w:themeShade="40"/>
                      <w:highlight w:val="yellow"/>
                    </w:rPr>
                    <w:t>Molto buono</w:t>
                  </w:r>
                </w:p>
              </w:tc>
              <w:tc>
                <w:tcPr>
                  <w:tcW w:w="1548" w:type="dxa"/>
                  <w:shd w:val="clear" w:color="auto" w:fill="auto"/>
                </w:tcPr>
                <w:p w14:paraId="56B1297A" w14:textId="77777777" w:rsidR="002B2ED6" w:rsidRPr="003726BE" w:rsidRDefault="002B2ED6" w:rsidP="00AA71F1">
                  <w:pPr>
                    <w:suppressAutoHyphens/>
                    <w:spacing w:before="40" w:after="40" w:line="240" w:lineRule="auto"/>
                    <w:rPr>
                      <w:rFonts w:cs="Arial"/>
                      <w:color w:val="373737" w:themeColor="background1" w:themeShade="40"/>
                      <w:szCs w:val="18"/>
                      <w:highlight w:val="yellow"/>
                    </w:rPr>
                  </w:pPr>
                  <w:r w:rsidRPr="003726BE">
                    <w:rPr>
                      <w:color w:val="373737" w:themeColor="background1" w:themeShade="40"/>
                      <w:highlight w:val="yellow"/>
                    </w:rPr>
                    <w:t>Eccellente</w:t>
                  </w:r>
                </w:p>
              </w:tc>
            </w:tr>
            <w:tr w:rsidR="002B2ED6" w:rsidRPr="003726BE" w14:paraId="75268667" w14:textId="77777777" w:rsidTr="00AA71F1">
              <w:trPr>
                <w:jc w:val="center"/>
              </w:trPr>
              <w:tc>
                <w:tcPr>
                  <w:tcW w:w="1414" w:type="dxa"/>
                  <w:shd w:val="clear" w:color="auto" w:fill="auto"/>
                </w:tcPr>
                <w:p w14:paraId="0C19700A" w14:textId="77777777" w:rsidR="002B2ED6" w:rsidRPr="003726BE" w:rsidRDefault="002B2ED6" w:rsidP="00AA71F1">
                  <w:pPr>
                    <w:suppressAutoHyphens/>
                    <w:spacing w:before="40" w:after="40" w:line="240" w:lineRule="auto"/>
                    <w:rPr>
                      <w:rFonts w:cs="Arial"/>
                      <w:color w:val="373737" w:themeColor="background1" w:themeShade="40"/>
                      <w:szCs w:val="18"/>
                      <w:highlight w:val="yellow"/>
                    </w:rPr>
                  </w:pPr>
                </w:p>
              </w:tc>
              <w:tc>
                <w:tcPr>
                  <w:tcW w:w="1628" w:type="dxa"/>
                  <w:shd w:val="clear" w:color="auto" w:fill="auto"/>
                </w:tcPr>
                <w:p w14:paraId="46EBDD30" w14:textId="77777777" w:rsidR="002B2ED6" w:rsidRPr="003726BE" w:rsidRDefault="002B2ED6" w:rsidP="00AA71F1">
                  <w:pPr>
                    <w:suppressAutoHyphens/>
                    <w:spacing w:before="40" w:after="40" w:line="240" w:lineRule="auto"/>
                    <w:rPr>
                      <w:rFonts w:cs="Arial"/>
                      <w:color w:val="373737" w:themeColor="background1" w:themeShade="40"/>
                      <w:szCs w:val="18"/>
                      <w:highlight w:val="yellow"/>
                    </w:rPr>
                  </w:pPr>
                </w:p>
              </w:tc>
              <w:tc>
                <w:tcPr>
                  <w:tcW w:w="1442" w:type="dxa"/>
                  <w:shd w:val="clear" w:color="auto" w:fill="auto"/>
                </w:tcPr>
                <w:p w14:paraId="6191650F" w14:textId="77777777" w:rsidR="002B2ED6" w:rsidRPr="003726BE" w:rsidRDefault="002B2ED6" w:rsidP="00AA71F1">
                  <w:pPr>
                    <w:suppressAutoHyphens/>
                    <w:spacing w:before="40" w:after="40" w:line="240" w:lineRule="auto"/>
                    <w:rPr>
                      <w:rFonts w:cs="Arial"/>
                      <w:color w:val="373737" w:themeColor="background1" w:themeShade="40"/>
                      <w:szCs w:val="18"/>
                      <w:highlight w:val="yellow"/>
                    </w:rPr>
                  </w:pPr>
                </w:p>
              </w:tc>
              <w:tc>
                <w:tcPr>
                  <w:tcW w:w="1442" w:type="dxa"/>
                  <w:shd w:val="clear" w:color="auto" w:fill="auto"/>
                </w:tcPr>
                <w:p w14:paraId="21DEDC7F" w14:textId="77777777" w:rsidR="002B2ED6" w:rsidRPr="003726BE" w:rsidRDefault="002B2ED6" w:rsidP="00AA71F1">
                  <w:pPr>
                    <w:suppressAutoHyphens/>
                    <w:spacing w:before="40" w:after="40" w:line="240" w:lineRule="auto"/>
                    <w:rPr>
                      <w:rFonts w:cs="Arial"/>
                      <w:color w:val="373737" w:themeColor="background1" w:themeShade="40"/>
                      <w:szCs w:val="18"/>
                      <w:highlight w:val="yellow"/>
                    </w:rPr>
                  </w:pPr>
                </w:p>
              </w:tc>
              <w:tc>
                <w:tcPr>
                  <w:tcW w:w="1548" w:type="dxa"/>
                  <w:shd w:val="clear" w:color="auto" w:fill="auto"/>
                </w:tcPr>
                <w:p w14:paraId="7DBDCB20" w14:textId="77777777" w:rsidR="002B2ED6" w:rsidRPr="003726BE" w:rsidRDefault="002B2ED6" w:rsidP="00AA71F1">
                  <w:pPr>
                    <w:suppressAutoHyphens/>
                    <w:spacing w:before="40" w:after="40" w:line="240" w:lineRule="auto"/>
                    <w:rPr>
                      <w:rFonts w:cs="Arial"/>
                      <w:color w:val="373737" w:themeColor="background1" w:themeShade="40"/>
                      <w:szCs w:val="18"/>
                      <w:highlight w:val="yellow"/>
                    </w:rPr>
                  </w:pPr>
                </w:p>
              </w:tc>
            </w:tr>
          </w:tbl>
          <w:p w14:paraId="61FF2051" w14:textId="77777777" w:rsidR="002B2ED6" w:rsidRPr="003726BE" w:rsidRDefault="002B2ED6" w:rsidP="00AA71F1">
            <w:pPr>
              <w:suppressAutoHyphens/>
              <w:spacing w:before="40" w:after="40" w:line="240" w:lineRule="auto"/>
              <w:rPr>
                <w:rFonts w:cs="Arial"/>
                <w:color w:val="373737" w:themeColor="background1" w:themeShade="40"/>
                <w:szCs w:val="18"/>
                <w:highlight w:val="yellow"/>
              </w:rPr>
            </w:pPr>
            <w:r w:rsidRPr="003726BE">
              <w:rPr>
                <w:color w:val="373737" w:themeColor="background1" w:themeShade="40"/>
                <w:highlight w:val="yellow"/>
              </w:rPr>
              <w:t>Motivazione del punteggio:</w:t>
            </w:r>
          </w:p>
        </w:tc>
      </w:tr>
      <w:tr w:rsidR="002B2ED6" w:rsidRPr="003726BE" w14:paraId="2D77ED10" w14:textId="77777777" w:rsidTr="00AA71F1">
        <w:trPr>
          <w:jc w:val="center"/>
        </w:trPr>
        <w:tc>
          <w:tcPr>
            <w:tcW w:w="9067" w:type="dxa"/>
            <w:shd w:val="clear" w:color="auto" w:fill="auto"/>
          </w:tcPr>
          <w:p w14:paraId="568BF5A6" w14:textId="77777777" w:rsidR="002B2ED6" w:rsidRPr="003726BE" w:rsidRDefault="002B2ED6" w:rsidP="00AA71F1">
            <w:pPr>
              <w:tabs>
                <w:tab w:val="left" w:pos="142"/>
              </w:tabs>
              <w:suppressAutoHyphens/>
              <w:spacing w:before="40" w:after="40" w:line="240" w:lineRule="auto"/>
              <w:ind w:left="360" w:hanging="360"/>
              <w:rPr>
                <w:rFonts w:cs="Arial"/>
                <w:color w:val="373737" w:themeColor="background1" w:themeShade="40"/>
                <w:szCs w:val="18"/>
                <w:highlight w:val="yellow"/>
              </w:rPr>
            </w:pPr>
            <w:r w:rsidRPr="003726BE">
              <w:rPr>
                <w:color w:val="373737" w:themeColor="background1" w:themeShade="40"/>
                <w:highlight w:val="yellow"/>
              </w:rPr>
              <w:t>CREDIBILITÀ DEI RISULTATI</w:t>
            </w:r>
          </w:p>
          <w:p w14:paraId="525BB8E5" w14:textId="77777777" w:rsidR="002B2ED6" w:rsidRPr="003726BE" w:rsidRDefault="002B2ED6" w:rsidP="00AA71F1">
            <w:pPr>
              <w:suppressAutoHyphens/>
              <w:spacing w:before="40" w:after="40" w:line="240" w:lineRule="auto"/>
              <w:rPr>
                <w:rFonts w:cs="Arial"/>
                <w:color w:val="373737" w:themeColor="background1" w:themeShade="40"/>
                <w:szCs w:val="18"/>
                <w:highlight w:val="yellow"/>
              </w:rPr>
            </w:pPr>
            <w:r w:rsidRPr="003726BE">
              <w:rPr>
                <w:color w:val="373737" w:themeColor="background1" w:themeShade="40"/>
                <w:highlight w:val="yellow"/>
              </w:rPr>
              <w:t>Le risultanze discendono logicamente dall'analisi e interpretazione, basate su criteri prefissati, di dati/informazioni e sono giustificate da esse? I risultati si basano su ipotesi e motivazioni accuratamente spiegate?</w:t>
            </w:r>
          </w:p>
          <w:p w14:paraId="23D10FFF" w14:textId="77777777" w:rsidR="002B2ED6" w:rsidRPr="003726BE" w:rsidRDefault="002B2ED6" w:rsidP="00AA71F1">
            <w:pPr>
              <w:suppressAutoHyphens/>
              <w:spacing w:before="40" w:after="40" w:line="240" w:lineRule="auto"/>
              <w:rPr>
                <w:rFonts w:cs="Arial"/>
                <w:color w:val="373737" w:themeColor="background1" w:themeShade="40"/>
                <w:szCs w:val="18"/>
                <w:highlight w:val="yellow"/>
              </w:rPr>
            </w:pPr>
          </w:p>
          <w:tbl>
            <w:tblPr>
              <w:tblW w:w="0" w:type="auto"/>
              <w:jc w:val="center"/>
              <w:tblBorders>
                <w:top w:val="single" w:sz="4" w:space="0" w:color="F07E31"/>
                <w:left w:val="single" w:sz="4" w:space="0" w:color="F07E31"/>
                <w:bottom w:val="single" w:sz="4" w:space="0" w:color="F07E31"/>
                <w:right w:val="single" w:sz="4" w:space="0" w:color="F07E31"/>
                <w:insideH w:val="single" w:sz="4" w:space="0" w:color="F07E31"/>
                <w:insideV w:val="single" w:sz="4" w:space="0" w:color="F07E31"/>
              </w:tblBorders>
              <w:tblLook w:val="04A0" w:firstRow="1" w:lastRow="0" w:firstColumn="1" w:lastColumn="0" w:noHBand="0" w:noVBand="1"/>
            </w:tblPr>
            <w:tblGrid>
              <w:gridCol w:w="1414"/>
              <w:gridCol w:w="1628"/>
              <w:gridCol w:w="1442"/>
              <w:gridCol w:w="1442"/>
              <w:gridCol w:w="1548"/>
            </w:tblGrid>
            <w:tr w:rsidR="002B2ED6" w:rsidRPr="003726BE" w14:paraId="1DE0AEC0" w14:textId="77777777" w:rsidTr="00AA71F1">
              <w:trPr>
                <w:jc w:val="center"/>
              </w:trPr>
              <w:tc>
                <w:tcPr>
                  <w:tcW w:w="1414" w:type="dxa"/>
                  <w:shd w:val="clear" w:color="auto" w:fill="auto"/>
                </w:tcPr>
                <w:p w14:paraId="265F6535" w14:textId="77777777" w:rsidR="002B2ED6" w:rsidRPr="003726BE" w:rsidRDefault="002B2ED6" w:rsidP="00AA71F1">
                  <w:pPr>
                    <w:suppressAutoHyphens/>
                    <w:spacing w:before="40" w:after="40" w:line="240" w:lineRule="auto"/>
                    <w:rPr>
                      <w:rFonts w:cs="Arial"/>
                      <w:color w:val="373737" w:themeColor="background1" w:themeShade="40"/>
                      <w:szCs w:val="18"/>
                      <w:highlight w:val="yellow"/>
                    </w:rPr>
                  </w:pPr>
                  <w:r w:rsidRPr="003726BE">
                    <w:rPr>
                      <w:color w:val="373737" w:themeColor="background1" w:themeShade="40"/>
                      <w:highlight w:val="yellow"/>
                    </w:rPr>
                    <w:lastRenderedPageBreak/>
                    <w:t>Mediocre</w:t>
                  </w:r>
                </w:p>
              </w:tc>
              <w:tc>
                <w:tcPr>
                  <w:tcW w:w="1628" w:type="dxa"/>
                  <w:shd w:val="clear" w:color="auto" w:fill="auto"/>
                </w:tcPr>
                <w:p w14:paraId="34BA653E" w14:textId="77777777" w:rsidR="002B2ED6" w:rsidRPr="003726BE" w:rsidRDefault="002B2ED6" w:rsidP="00AA71F1">
                  <w:pPr>
                    <w:suppressAutoHyphens/>
                    <w:spacing w:before="40" w:after="40" w:line="240" w:lineRule="auto"/>
                    <w:rPr>
                      <w:rFonts w:cs="Arial"/>
                      <w:color w:val="373737" w:themeColor="background1" w:themeShade="40"/>
                      <w:szCs w:val="18"/>
                      <w:highlight w:val="yellow"/>
                    </w:rPr>
                  </w:pPr>
                  <w:r w:rsidRPr="003726BE">
                    <w:rPr>
                      <w:color w:val="373737" w:themeColor="background1" w:themeShade="40"/>
                      <w:highlight w:val="yellow"/>
                    </w:rPr>
                    <w:t>Soddisfacente</w:t>
                  </w:r>
                </w:p>
              </w:tc>
              <w:tc>
                <w:tcPr>
                  <w:tcW w:w="1442" w:type="dxa"/>
                  <w:shd w:val="clear" w:color="auto" w:fill="auto"/>
                </w:tcPr>
                <w:p w14:paraId="6DCABDD5" w14:textId="77777777" w:rsidR="002B2ED6" w:rsidRPr="003726BE" w:rsidRDefault="002B2ED6" w:rsidP="00AA71F1">
                  <w:pPr>
                    <w:suppressAutoHyphens/>
                    <w:spacing w:before="40" w:after="40" w:line="240" w:lineRule="auto"/>
                    <w:rPr>
                      <w:rFonts w:cs="Arial"/>
                      <w:color w:val="373737" w:themeColor="background1" w:themeShade="40"/>
                      <w:szCs w:val="18"/>
                      <w:highlight w:val="yellow"/>
                    </w:rPr>
                  </w:pPr>
                  <w:r w:rsidRPr="003726BE">
                    <w:rPr>
                      <w:color w:val="373737" w:themeColor="background1" w:themeShade="40"/>
                      <w:highlight w:val="yellow"/>
                    </w:rPr>
                    <w:t>Buono</w:t>
                  </w:r>
                </w:p>
              </w:tc>
              <w:tc>
                <w:tcPr>
                  <w:tcW w:w="1442" w:type="dxa"/>
                  <w:shd w:val="clear" w:color="auto" w:fill="auto"/>
                </w:tcPr>
                <w:p w14:paraId="15E18B11" w14:textId="77777777" w:rsidR="002B2ED6" w:rsidRPr="003726BE" w:rsidRDefault="002B2ED6" w:rsidP="00AA71F1">
                  <w:pPr>
                    <w:suppressAutoHyphens/>
                    <w:spacing w:before="40" w:after="40" w:line="240" w:lineRule="auto"/>
                    <w:rPr>
                      <w:rFonts w:cs="Arial"/>
                      <w:color w:val="373737" w:themeColor="background1" w:themeShade="40"/>
                      <w:szCs w:val="18"/>
                      <w:highlight w:val="yellow"/>
                    </w:rPr>
                  </w:pPr>
                  <w:r w:rsidRPr="003726BE">
                    <w:rPr>
                      <w:color w:val="373737" w:themeColor="background1" w:themeShade="40"/>
                      <w:highlight w:val="yellow"/>
                    </w:rPr>
                    <w:t>Molto buono</w:t>
                  </w:r>
                </w:p>
              </w:tc>
              <w:tc>
                <w:tcPr>
                  <w:tcW w:w="1548" w:type="dxa"/>
                  <w:shd w:val="clear" w:color="auto" w:fill="auto"/>
                </w:tcPr>
                <w:p w14:paraId="08A0DA3B" w14:textId="77777777" w:rsidR="002B2ED6" w:rsidRPr="003726BE" w:rsidRDefault="002B2ED6" w:rsidP="00AA71F1">
                  <w:pPr>
                    <w:suppressAutoHyphens/>
                    <w:spacing w:before="40" w:after="40" w:line="240" w:lineRule="auto"/>
                    <w:rPr>
                      <w:rFonts w:cs="Arial"/>
                      <w:color w:val="373737" w:themeColor="background1" w:themeShade="40"/>
                      <w:szCs w:val="18"/>
                      <w:highlight w:val="yellow"/>
                    </w:rPr>
                  </w:pPr>
                  <w:r w:rsidRPr="003726BE">
                    <w:rPr>
                      <w:color w:val="373737" w:themeColor="background1" w:themeShade="40"/>
                      <w:highlight w:val="yellow"/>
                    </w:rPr>
                    <w:t>Eccellente</w:t>
                  </w:r>
                </w:p>
              </w:tc>
            </w:tr>
            <w:tr w:rsidR="002B2ED6" w:rsidRPr="003726BE" w14:paraId="22FDEDE2" w14:textId="77777777" w:rsidTr="00AA71F1">
              <w:trPr>
                <w:jc w:val="center"/>
              </w:trPr>
              <w:tc>
                <w:tcPr>
                  <w:tcW w:w="1414" w:type="dxa"/>
                  <w:shd w:val="clear" w:color="auto" w:fill="auto"/>
                </w:tcPr>
                <w:p w14:paraId="4F9CC0C2" w14:textId="77777777" w:rsidR="002B2ED6" w:rsidRPr="003726BE" w:rsidRDefault="002B2ED6" w:rsidP="00AA71F1">
                  <w:pPr>
                    <w:suppressAutoHyphens/>
                    <w:spacing w:before="40" w:after="40" w:line="240" w:lineRule="auto"/>
                    <w:rPr>
                      <w:rFonts w:cs="Arial"/>
                      <w:color w:val="373737" w:themeColor="background1" w:themeShade="40"/>
                      <w:szCs w:val="18"/>
                      <w:highlight w:val="yellow"/>
                    </w:rPr>
                  </w:pPr>
                </w:p>
              </w:tc>
              <w:tc>
                <w:tcPr>
                  <w:tcW w:w="1628" w:type="dxa"/>
                  <w:shd w:val="clear" w:color="auto" w:fill="auto"/>
                </w:tcPr>
                <w:p w14:paraId="4B9BB77B" w14:textId="77777777" w:rsidR="002B2ED6" w:rsidRPr="003726BE" w:rsidRDefault="002B2ED6" w:rsidP="00AA71F1">
                  <w:pPr>
                    <w:suppressAutoHyphens/>
                    <w:spacing w:before="40" w:after="40" w:line="240" w:lineRule="auto"/>
                    <w:rPr>
                      <w:rFonts w:cs="Arial"/>
                      <w:color w:val="373737" w:themeColor="background1" w:themeShade="40"/>
                      <w:szCs w:val="18"/>
                      <w:highlight w:val="yellow"/>
                    </w:rPr>
                  </w:pPr>
                </w:p>
              </w:tc>
              <w:tc>
                <w:tcPr>
                  <w:tcW w:w="1442" w:type="dxa"/>
                  <w:shd w:val="clear" w:color="auto" w:fill="auto"/>
                </w:tcPr>
                <w:p w14:paraId="2FDABDD4" w14:textId="77777777" w:rsidR="002B2ED6" w:rsidRPr="003726BE" w:rsidRDefault="002B2ED6" w:rsidP="00AA71F1">
                  <w:pPr>
                    <w:suppressAutoHyphens/>
                    <w:spacing w:before="40" w:after="40" w:line="240" w:lineRule="auto"/>
                    <w:rPr>
                      <w:rFonts w:cs="Arial"/>
                      <w:color w:val="373737" w:themeColor="background1" w:themeShade="40"/>
                      <w:szCs w:val="18"/>
                      <w:highlight w:val="yellow"/>
                    </w:rPr>
                  </w:pPr>
                </w:p>
              </w:tc>
              <w:tc>
                <w:tcPr>
                  <w:tcW w:w="1442" w:type="dxa"/>
                  <w:shd w:val="clear" w:color="auto" w:fill="auto"/>
                </w:tcPr>
                <w:p w14:paraId="75B1472D" w14:textId="77777777" w:rsidR="002B2ED6" w:rsidRPr="003726BE" w:rsidRDefault="002B2ED6" w:rsidP="00AA71F1">
                  <w:pPr>
                    <w:suppressAutoHyphens/>
                    <w:spacing w:before="40" w:after="40" w:line="240" w:lineRule="auto"/>
                    <w:rPr>
                      <w:rFonts w:cs="Arial"/>
                      <w:color w:val="373737" w:themeColor="background1" w:themeShade="40"/>
                      <w:szCs w:val="18"/>
                      <w:highlight w:val="yellow"/>
                    </w:rPr>
                  </w:pPr>
                </w:p>
              </w:tc>
              <w:tc>
                <w:tcPr>
                  <w:tcW w:w="1548" w:type="dxa"/>
                  <w:shd w:val="clear" w:color="auto" w:fill="auto"/>
                </w:tcPr>
                <w:p w14:paraId="2D048F65" w14:textId="77777777" w:rsidR="002B2ED6" w:rsidRPr="003726BE" w:rsidRDefault="002B2ED6" w:rsidP="00AA71F1">
                  <w:pPr>
                    <w:suppressAutoHyphens/>
                    <w:spacing w:before="40" w:after="40" w:line="240" w:lineRule="auto"/>
                    <w:rPr>
                      <w:rFonts w:cs="Arial"/>
                      <w:color w:val="373737" w:themeColor="background1" w:themeShade="40"/>
                      <w:szCs w:val="18"/>
                      <w:highlight w:val="yellow"/>
                    </w:rPr>
                  </w:pPr>
                </w:p>
              </w:tc>
            </w:tr>
          </w:tbl>
          <w:p w14:paraId="029BC8ED" w14:textId="77777777" w:rsidR="002B2ED6" w:rsidRPr="003726BE" w:rsidRDefault="002B2ED6" w:rsidP="00AA71F1">
            <w:pPr>
              <w:suppressAutoHyphens/>
              <w:spacing w:before="40" w:after="40" w:line="240" w:lineRule="auto"/>
              <w:rPr>
                <w:rFonts w:cs="Arial"/>
                <w:color w:val="373737" w:themeColor="background1" w:themeShade="40"/>
                <w:szCs w:val="18"/>
                <w:highlight w:val="yellow"/>
              </w:rPr>
            </w:pPr>
            <w:r w:rsidRPr="003726BE">
              <w:rPr>
                <w:color w:val="373737" w:themeColor="background1" w:themeShade="40"/>
                <w:highlight w:val="yellow"/>
              </w:rPr>
              <w:t>Motivazione del punteggio:</w:t>
            </w:r>
          </w:p>
        </w:tc>
      </w:tr>
      <w:tr w:rsidR="002B2ED6" w:rsidRPr="003726BE" w14:paraId="03C97294" w14:textId="77777777" w:rsidTr="00AA71F1">
        <w:trPr>
          <w:jc w:val="center"/>
        </w:trPr>
        <w:tc>
          <w:tcPr>
            <w:tcW w:w="9067" w:type="dxa"/>
            <w:shd w:val="clear" w:color="auto" w:fill="auto"/>
          </w:tcPr>
          <w:p w14:paraId="6CCE44CC" w14:textId="77777777" w:rsidR="002B2ED6" w:rsidRPr="003726BE" w:rsidRDefault="002B2ED6" w:rsidP="00AA71F1">
            <w:pPr>
              <w:tabs>
                <w:tab w:val="left" w:pos="142"/>
              </w:tabs>
              <w:suppressAutoHyphens/>
              <w:spacing w:before="40" w:after="40" w:line="240" w:lineRule="auto"/>
              <w:ind w:left="360" w:hanging="360"/>
              <w:rPr>
                <w:rFonts w:cs="Arial"/>
                <w:color w:val="373737" w:themeColor="background1" w:themeShade="40"/>
                <w:szCs w:val="18"/>
                <w:highlight w:val="yellow"/>
              </w:rPr>
            </w:pPr>
            <w:r w:rsidRPr="003726BE">
              <w:rPr>
                <w:color w:val="373737" w:themeColor="background1" w:themeShade="40"/>
                <w:highlight w:val="yellow"/>
              </w:rPr>
              <w:lastRenderedPageBreak/>
              <w:t>VALIDITÀ DELLE CONCLUSIONI</w:t>
            </w:r>
          </w:p>
          <w:p w14:paraId="4032299D" w14:textId="77777777" w:rsidR="002B2ED6" w:rsidRPr="003726BE" w:rsidRDefault="002B2ED6" w:rsidP="00AA71F1">
            <w:pPr>
              <w:suppressAutoHyphens/>
              <w:spacing w:before="40" w:after="40" w:line="240" w:lineRule="auto"/>
              <w:rPr>
                <w:rFonts w:cs="Arial"/>
                <w:color w:val="373737" w:themeColor="background1" w:themeShade="40"/>
                <w:szCs w:val="18"/>
                <w:highlight w:val="yellow"/>
              </w:rPr>
            </w:pPr>
            <w:r w:rsidRPr="003726BE">
              <w:rPr>
                <w:color w:val="373737" w:themeColor="background1" w:themeShade="40"/>
                <w:highlight w:val="yellow"/>
              </w:rPr>
              <w:t>Le conclusioni si fondano completamente sui risultati e non sono distorte? Le conclusioni sono chiare, raggruppate logicamente e ordinate per priorità?</w:t>
            </w:r>
          </w:p>
          <w:p w14:paraId="5F734E44" w14:textId="77777777" w:rsidR="002B2ED6" w:rsidRPr="003726BE" w:rsidRDefault="002B2ED6" w:rsidP="00AA71F1">
            <w:pPr>
              <w:suppressAutoHyphens/>
              <w:spacing w:before="40" w:after="40" w:line="240" w:lineRule="auto"/>
              <w:rPr>
                <w:rFonts w:cs="Arial"/>
                <w:color w:val="373737" w:themeColor="background1" w:themeShade="40"/>
                <w:szCs w:val="18"/>
                <w:highlight w:val="yellow"/>
              </w:rPr>
            </w:pPr>
          </w:p>
          <w:tbl>
            <w:tblPr>
              <w:tblW w:w="0" w:type="auto"/>
              <w:jc w:val="center"/>
              <w:tblBorders>
                <w:top w:val="single" w:sz="4" w:space="0" w:color="F07E31"/>
                <w:left w:val="single" w:sz="4" w:space="0" w:color="F07E31"/>
                <w:bottom w:val="single" w:sz="4" w:space="0" w:color="F07E31"/>
                <w:right w:val="single" w:sz="4" w:space="0" w:color="F07E31"/>
                <w:insideH w:val="single" w:sz="4" w:space="0" w:color="F07E31"/>
                <w:insideV w:val="single" w:sz="4" w:space="0" w:color="F07E31"/>
              </w:tblBorders>
              <w:tblLook w:val="04A0" w:firstRow="1" w:lastRow="0" w:firstColumn="1" w:lastColumn="0" w:noHBand="0" w:noVBand="1"/>
            </w:tblPr>
            <w:tblGrid>
              <w:gridCol w:w="1414"/>
              <w:gridCol w:w="1628"/>
              <w:gridCol w:w="1442"/>
              <w:gridCol w:w="1442"/>
              <w:gridCol w:w="1548"/>
            </w:tblGrid>
            <w:tr w:rsidR="002B2ED6" w:rsidRPr="003726BE" w14:paraId="4D4EEC6C" w14:textId="77777777" w:rsidTr="00AA71F1">
              <w:trPr>
                <w:jc w:val="center"/>
              </w:trPr>
              <w:tc>
                <w:tcPr>
                  <w:tcW w:w="1414" w:type="dxa"/>
                  <w:shd w:val="clear" w:color="auto" w:fill="auto"/>
                </w:tcPr>
                <w:p w14:paraId="658E658F" w14:textId="77777777" w:rsidR="002B2ED6" w:rsidRPr="003726BE" w:rsidRDefault="002B2ED6" w:rsidP="00AA71F1">
                  <w:pPr>
                    <w:suppressAutoHyphens/>
                    <w:spacing w:before="40" w:after="40" w:line="240" w:lineRule="auto"/>
                    <w:rPr>
                      <w:rFonts w:cs="Arial"/>
                      <w:color w:val="373737" w:themeColor="background1" w:themeShade="40"/>
                      <w:szCs w:val="18"/>
                      <w:highlight w:val="yellow"/>
                    </w:rPr>
                  </w:pPr>
                  <w:r w:rsidRPr="003726BE">
                    <w:rPr>
                      <w:color w:val="373737" w:themeColor="background1" w:themeShade="40"/>
                      <w:highlight w:val="yellow"/>
                    </w:rPr>
                    <w:t>Mediocre</w:t>
                  </w:r>
                </w:p>
              </w:tc>
              <w:tc>
                <w:tcPr>
                  <w:tcW w:w="1628" w:type="dxa"/>
                  <w:shd w:val="clear" w:color="auto" w:fill="auto"/>
                </w:tcPr>
                <w:p w14:paraId="22DB1D81" w14:textId="77777777" w:rsidR="002B2ED6" w:rsidRPr="003726BE" w:rsidRDefault="002B2ED6" w:rsidP="00AA71F1">
                  <w:pPr>
                    <w:suppressAutoHyphens/>
                    <w:spacing w:before="40" w:after="40" w:line="240" w:lineRule="auto"/>
                    <w:rPr>
                      <w:rFonts w:cs="Arial"/>
                      <w:color w:val="373737" w:themeColor="background1" w:themeShade="40"/>
                      <w:szCs w:val="18"/>
                      <w:highlight w:val="yellow"/>
                    </w:rPr>
                  </w:pPr>
                  <w:r w:rsidRPr="003726BE">
                    <w:rPr>
                      <w:color w:val="373737" w:themeColor="background1" w:themeShade="40"/>
                      <w:highlight w:val="yellow"/>
                    </w:rPr>
                    <w:t>Soddisfacente</w:t>
                  </w:r>
                </w:p>
              </w:tc>
              <w:tc>
                <w:tcPr>
                  <w:tcW w:w="1442" w:type="dxa"/>
                  <w:shd w:val="clear" w:color="auto" w:fill="auto"/>
                </w:tcPr>
                <w:p w14:paraId="4B07AFAF" w14:textId="77777777" w:rsidR="002B2ED6" w:rsidRPr="003726BE" w:rsidRDefault="002B2ED6" w:rsidP="00AA71F1">
                  <w:pPr>
                    <w:suppressAutoHyphens/>
                    <w:spacing w:before="40" w:after="40" w:line="240" w:lineRule="auto"/>
                    <w:rPr>
                      <w:rFonts w:cs="Arial"/>
                      <w:color w:val="373737" w:themeColor="background1" w:themeShade="40"/>
                      <w:szCs w:val="18"/>
                      <w:highlight w:val="yellow"/>
                    </w:rPr>
                  </w:pPr>
                  <w:r w:rsidRPr="003726BE">
                    <w:rPr>
                      <w:color w:val="373737" w:themeColor="background1" w:themeShade="40"/>
                      <w:highlight w:val="yellow"/>
                    </w:rPr>
                    <w:t>Buono</w:t>
                  </w:r>
                </w:p>
              </w:tc>
              <w:tc>
                <w:tcPr>
                  <w:tcW w:w="1442" w:type="dxa"/>
                  <w:shd w:val="clear" w:color="auto" w:fill="auto"/>
                </w:tcPr>
                <w:p w14:paraId="00EBB3E8" w14:textId="77777777" w:rsidR="002B2ED6" w:rsidRPr="003726BE" w:rsidRDefault="002B2ED6" w:rsidP="00AA71F1">
                  <w:pPr>
                    <w:suppressAutoHyphens/>
                    <w:spacing w:before="40" w:after="40" w:line="240" w:lineRule="auto"/>
                    <w:rPr>
                      <w:rFonts w:cs="Arial"/>
                      <w:color w:val="373737" w:themeColor="background1" w:themeShade="40"/>
                      <w:szCs w:val="18"/>
                      <w:highlight w:val="yellow"/>
                    </w:rPr>
                  </w:pPr>
                  <w:r w:rsidRPr="003726BE">
                    <w:rPr>
                      <w:color w:val="373737" w:themeColor="background1" w:themeShade="40"/>
                      <w:highlight w:val="yellow"/>
                    </w:rPr>
                    <w:t>Molto buono</w:t>
                  </w:r>
                </w:p>
              </w:tc>
              <w:tc>
                <w:tcPr>
                  <w:tcW w:w="1548" w:type="dxa"/>
                  <w:shd w:val="clear" w:color="auto" w:fill="auto"/>
                </w:tcPr>
                <w:p w14:paraId="6D616AE6" w14:textId="77777777" w:rsidR="002B2ED6" w:rsidRPr="003726BE" w:rsidRDefault="002B2ED6" w:rsidP="00AA71F1">
                  <w:pPr>
                    <w:suppressAutoHyphens/>
                    <w:spacing w:before="40" w:after="40" w:line="240" w:lineRule="auto"/>
                    <w:rPr>
                      <w:rFonts w:cs="Arial"/>
                      <w:color w:val="373737" w:themeColor="background1" w:themeShade="40"/>
                      <w:szCs w:val="18"/>
                      <w:highlight w:val="yellow"/>
                    </w:rPr>
                  </w:pPr>
                  <w:r w:rsidRPr="003726BE">
                    <w:rPr>
                      <w:color w:val="373737" w:themeColor="background1" w:themeShade="40"/>
                      <w:highlight w:val="yellow"/>
                    </w:rPr>
                    <w:t>Eccellente</w:t>
                  </w:r>
                </w:p>
              </w:tc>
            </w:tr>
            <w:tr w:rsidR="002B2ED6" w:rsidRPr="003726BE" w14:paraId="7EBDF331" w14:textId="77777777" w:rsidTr="00AA71F1">
              <w:trPr>
                <w:jc w:val="center"/>
              </w:trPr>
              <w:tc>
                <w:tcPr>
                  <w:tcW w:w="1414" w:type="dxa"/>
                  <w:shd w:val="clear" w:color="auto" w:fill="auto"/>
                </w:tcPr>
                <w:p w14:paraId="67D0BBC8" w14:textId="77777777" w:rsidR="002B2ED6" w:rsidRPr="003726BE" w:rsidRDefault="002B2ED6" w:rsidP="00AA71F1">
                  <w:pPr>
                    <w:suppressAutoHyphens/>
                    <w:spacing w:before="40" w:after="40" w:line="240" w:lineRule="auto"/>
                    <w:rPr>
                      <w:rFonts w:cs="Arial"/>
                      <w:color w:val="373737" w:themeColor="background1" w:themeShade="40"/>
                      <w:szCs w:val="18"/>
                      <w:highlight w:val="yellow"/>
                    </w:rPr>
                  </w:pPr>
                </w:p>
              </w:tc>
              <w:tc>
                <w:tcPr>
                  <w:tcW w:w="1628" w:type="dxa"/>
                  <w:shd w:val="clear" w:color="auto" w:fill="auto"/>
                </w:tcPr>
                <w:p w14:paraId="4DC0CB9C" w14:textId="77777777" w:rsidR="002B2ED6" w:rsidRPr="003726BE" w:rsidRDefault="002B2ED6" w:rsidP="00AA71F1">
                  <w:pPr>
                    <w:suppressAutoHyphens/>
                    <w:spacing w:before="40" w:after="40" w:line="240" w:lineRule="auto"/>
                    <w:rPr>
                      <w:rFonts w:cs="Arial"/>
                      <w:color w:val="373737" w:themeColor="background1" w:themeShade="40"/>
                      <w:szCs w:val="18"/>
                      <w:highlight w:val="yellow"/>
                    </w:rPr>
                  </w:pPr>
                </w:p>
              </w:tc>
              <w:tc>
                <w:tcPr>
                  <w:tcW w:w="1442" w:type="dxa"/>
                  <w:shd w:val="clear" w:color="auto" w:fill="auto"/>
                </w:tcPr>
                <w:p w14:paraId="78500559" w14:textId="77777777" w:rsidR="002B2ED6" w:rsidRPr="003726BE" w:rsidRDefault="002B2ED6" w:rsidP="00AA71F1">
                  <w:pPr>
                    <w:suppressAutoHyphens/>
                    <w:spacing w:before="40" w:after="40" w:line="240" w:lineRule="auto"/>
                    <w:rPr>
                      <w:rFonts w:cs="Arial"/>
                      <w:color w:val="373737" w:themeColor="background1" w:themeShade="40"/>
                      <w:szCs w:val="18"/>
                      <w:highlight w:val="yellow"/>
                    </w:rPr>
                  </w:pPr>
                </w:p>
              </w:tc>
              <w:tc>
                <w:tcPr>
                  <w:tcW w:w="1442" w:type="dxa"/>
                  <w:shd w:val="clear" w:color="auto" w:fill="auto"/>
                </w:tcPr>
                <w:p w14:paraId="30EA13D4" w14:textId="77777777" w:rsidR="002B2ED6" w:rsidRPr="003726BE" w:rsidRDefault="002B2ED6" w:rsidP="00AA71F1">
                  <w:pPr>
                    <w:suppressAutoHyphens/>
                    <w:spacing w:before="40" w:after="40" w:line="240" w:lineRule="auto"/>
                    <w:rPr>
                      <w:rFonts w:cs="Arial"/>
                      <w:color w:val="373737" w:themeColor="background1" w:themeShade="40"/>
                      <w:szCs w:val="18"/>
                      <w:highlight w:val="yellow"/>
                    </w:rPr>
                  </w:pPr>
                </w:p>
              </w:tc>
              <w:tc>
                <w:tcPr>
                  <w:tcW w:w="1548" w:type="dxa"/>
                  <w:shd w:val="clear" w:color="auto" w:fill="auto"/>
                </w:tcPr>
                <w:p w14:paraId="1F078675" w14:textId="77777777" w:rsidR="002B2ED6" w:rsidRPr="003726BE" w:rsidRDefault="002B2ED6" w:rsidP="00AA71F1">
                  <w:pPr>
                    <w:suppressAutoHyphens/>
                    <w:spacing w:before="40" w:after="40" w:line="240" w:lineRule="auto"/>
                    <w:rPr>
                      <w:rFonts w:cs="Arial"/>
                      <w:color w:val="373737" w:themeColor="background1" w:themeShade="40"/>
                      <w:szCs w:val="18"/>
                      <w:highlight w:val="yellow"/>
                    </w:rPr>
                  </w:pPr>
                </w:p>
              </w:tc>
            </w:tr>
          </w:tbl>
          <w:p w14:paraId="5827A3F2" w14:textId="77777777" w:rsidR="002B2ED6" w:rsidRPr="003726BE" w:rsidRDefault="002B2ED6" w:rsidP="00AA71F1">
            <w:pPr>
              <w:suppressAutoHyphens/>
              <w:spacing w:before="40" w:after="40" w:line="240" w:lineRule="auto"/>
              <w:rPr>
                <w:rFonts w:cs="Arial"/>
                <w:color w:val="373737" w:themeColor="background1" w:themeShade="40"/>
                <w:szCs w:val="18"/>
                <w:highlight w:val="yellow"/>
              </w:rPr>
            </w:pPr>
            <w:r w:rsidRPr="003726BE">
              <w:rPr>
                <w:color w:val="373737" w:themeColor="background1" w:themeShade="40"/>
                <w:highlight w:val="yellow"/>
              </w:rPr>
              <w:t>Motivazione del punteggio:</w:t>
            </w:r>
          </w:p>
        </w:tc>
      </w:tr>
      <w:tr w:rsidR="002B2ED6" w:rsidRPr="003726BE" w14:paraId="3E6214B7" w14:textId="77777777" w:rsidTr="00AA71F1">
        <w:trPr>
          <w:jc w:val="center"/>
        </w:trPr>
        <w:tc>
          <w:tcPr>
            <w:tcW w:w="9067" w:type="dxa"/>
            <w:shd w:val="clear" w:color="auto" w:fill="auto"/>
          </w:tcPr>
          <w:p w14:paraId="623D4E50" w14:textId="77777777" w:rsidR="002B2ED6" w:rsidRPr="003726BE" w:rsidRDefault="002B2ED6" w:rsidP="00AA71F1">
            <w:pPr>
              <w:tabs>
                <w:tab w:val="left" w:pos="142"/>
              </w:tabs>
              <w:suppressAutoHyphens/>
              <w:spacing w:before="40" w:after="40" w:line="240" w:lineRule="auto"/>
              <w:ind w:left="360" w:hanging="360"/>
              <w:rPr>
                <w:rFonts w:cs="Arial"/>
                <w:color w:val="373737" w:themeColor="background1" w:themeShade="40"/>
                <w:szCs w:val="18"/>
                <w:highlight w:val="yellow"/>
              </w:rPr>
            </w:pPr>
            <w:r w:rsidRPr="003726BE">
              <w:rPr>
                <w:color w:val="373737" w:themeColor="background1" w:themeShade="40"/>
                <w:highlight w:val="yellow"/>
              </w:rPr>
              <w:t>UTILITÀ DELLE RACCOMANDAZIONI</w:t>
            </w:r>
          </w:p>
          <w:p w14:paraId="64F235E4" w14:textId="77777777" w:rsidR="002B2ED6" w:rsidRPr="003726BE" w:rsidRDefault="002B2ED6" w:rsidP="00AA71F1">
            <w:pPr>
              <w:suppressAutoHyphens/>
              <w:spacing w:before="40" w:after="40" w:line="240" w:lineRule="auto"/>
              <w:rPr>
                <w:rFonts w:cs="Arial"/>
                <w:color w:val="373737" w:themeColor="background1" w:themeShade="40"/>
                <w:szCs w:val="18"/>
                <w:highlight w:val="yellow"/>
              </w:rPr>
            </w:pPr>
            <w:r w:rsidRPr="003726BE">
              <w:rPr>
                <w:color w:val="373737" w:themeColor="background1" w:themeShade="40"/>
                <w:highlight w:val="yellow"/>
              </w:rPr>
              <w:t>Si sono riscontrati settori in cui sono necessari miglioramenti in linea con le conclusioni? Le opzioni suggerite sono realistiche, imparziali e sufficientemente dettagliate per essere operativamente applicabili?</w:t>
            </w:r>
          </w:p>
          <w:p w14:paraId="3B0A5C12" w14:textId="77777777" w:rsidR="002B2ED6" w:rsidRPr="003726BE" w:rsidRDefault="002B2ED6" w:rsidP="00AA71F1">
            <w:pPr>
              <w:suppressAutoHyphens/>
              <w:spacing w:before="40" w:after="40" w:line="240" w:lineRule="auto"/>
              <w:rPr>
                <w:rFonts w:cs="Arial"/>
                <w:color w:val="373737" w:themeColor="background1" w:themeShade="40"/>
                <w:szCs w:val="18"/>
                <w:highlight w:val="yellow"/>
              </w:rPr>
            </w:pPr>
          </w:p>
          <w:tbl>
            <w:tblPr>
              <w:tblW w:w="0" w:type="auto"/>
              <w:jc w:val="center"/>
              <w:tblBorders>
                <w:top w:val="single" w:sz="4" w:space="0" w:color="F07E31"/>
                <w:left w:val="single" w:sz="4" w:space="0" w:color="F07E31"/>
                <w:bottom w:val="single" w:sz="4" w:space="0" w:color="F07E31"/>
                <w:right w:val="single" w:sz="4" w:space="0" w:color="F07E31"/>
                <w:insideH w:val="single" w:sz="4" w:space="0" w:color="F07E31"/>
                <w:insideV w:val="single" w:sz="4" w:space="0" w:color="F07E31"/>
              </w:tblBorders>
              <w:tblLook w:val="04A0" w:firstRow="1" w:lastRow="0" w:firstColumn="1" w:lastColumn="0" w:noHBand="0" w:noVBand="1"/>
            </w:tblPr>
            <w:tblGrid>
              <w:gridCol w:w="1703"/>
              <w:gridCol w:w="1793"/>
              <w:gridCol w:w="1713"/>
              <w:gridCol w:w="1714"/>
              <w:gridCol w:w="1759"/>
            </w:tblGrid>
            <w:tr w:rsidR="002B2ED6" w:rsidRPr="003726BE" w14:paraId="7F823420" w14:textId="77777777" w:rsidTr="00AA71F1">
              <w:trPr>
                <w:jc w:val="center"/>
              </w:trPr>
              <w:tc>
                <w:tcPr>
                  <w:tcW w:w="1703" w:type="dxa"/>
                  <w:shd w:val="clear" w:color="auto" w:fill="auto"/>
                </w:tcPr>
                <w:p w14:paraId="177AFC21" w14:textId="77777777" w:rsidR="002B2ED6" w:rsidRPr="003726BE" w:rsidRDefault="002B2ED6" w:rsidP="00AA71F1">
                  <w:pPr>
                    <w:suppressAutoHyphens/>
                    <w:spacing w:before="40" w:after="40" w:line="240" w:lineRule="auto"/>
                    <w:rPr>
                      <w:rFonts w:cs="Arial"/>
                      <w:color w:val="373737" w:themeColor="background1" w:themeShade="40"/>
                      <w:szCs w:val="18"/>
                      <w:highlight w:val="yellow"/>
                    </w:rPr>
                  </w:pPr>
                  <w:r w:rsidRPr="003726BE">
                    <w:rPr>
                      <w:color w:val="373737" w:themeColor="background1" w:themeShade="40"/>
                      <w:highlight w:val="yellow"/>
                    </w:rPr>
                    <w:t>Mediocre</w:t>
                  </w:r>
                </w:p>
              </w:tc>
              <w:tc>
                <w:tcPr>
                  <w:tcW w:w="1793" w:type="dxa"/>
                  <w:shd w:val="clear" w:color="auto" w:fill="auto"/>
                </w:tcPr>
                <w:p w14:paraId="64272C71" w14:textId="77777777" w:rsidR="002B2ED6" w:rsidRPr="003726BE" w:rsidRDefault="002B2ED6" w:rsidP="00AA71F1">
                  <w:pPr>
                    <w:suppressAutoHyphens/>
                    <w:spacing w:before="40" w:after="40" w:line="240" w:lineRule="auto"/>
                    <w:rPr>
                      <w:rFonts w:cs="Arial"/>
                      <w:color w:val="373737" w:themeColor="background1" w:themeShade="40"/>
                      <w:szCs w:val="18"/>
                      <w:highlight w:val="yellow"/>
                    </w:rPr>
                  </w:pPr>
                  <w:r w:rsidRPr="003726BE">
                    <w:rPr>
                      <w:color w:val="373737" w:themeColor="background1" w:themeShade="40"/>
                      <w:highlight w:val="yellow"/>
                    </w:rPr>
                    <w:t>Soddisfacente</w:t>
                  </w:r>
                </w:p>
              </w:tc>
              <w:tc>
                <w:tcPr>
                  <w:tcW w:w="1713" w:type="dxa"/>
                  <w:shd w:val="clear" w:color="auto" w:fill="auto"/>
                </w:tcPr>
                <w:p w14:paraId="4DE0DC91" w14:textId="77777777" w:rsidR="002B2ED6" w:rsidRPr="003726BE" w:rsidRDefault="002B2ED6" w:rsidP="00AA71F1">
                  <w:pPr>
                    <w:suppressAutoHyphens/>
                    <w:spacing w:before="40" w:after="40" w:line="240" w:lineRule="auto"/>
                    <w:rPr>
                      <w:rFonts w:cs="Arial"/>
                      <w:color w:val="373737" w:themeColor="background1" w:themeShade="40"/>
                      <w:szCs w:val="18"/>
                      <w:highlight w:val="yellow"/>
                    </w:rPr>
                  </w:pPr>
                  <w:r w:rsidRPr="003726BE">
                    <w:rPr>
                      <w:color w:val="373737" w:themeColor="background1" w:themeShade="40"/>
                      <w:highlight w:val="yellow"/>
                    </w:rPr>
                    <w:t>Buono</w:t>
                  </w:r>
                </w:p>
              </w:tc>
              <w:tc>
                <w:tcPr>
                  <w:tcW w:w="1714" w:type="dxa"/>
                  <w:shd w:val="clear" w:color="auto" w:fill="auto"/>
                </w:tcPr>
                <w:p w14:paraId="467A87A2" w14:textId="77777777" w:rsidR="002B2ED6" w:rsidRPr="003726BE" w:rsidRDefault="002B2ED6" w:rsidP="00AA71F1">
                  <w:pPr>
                    <w:suppressAutoHyphens/>
                    <w:spacing w:before="40" w:after="40" w:line="240" w:lineRule="auto"/>
                    <w:rPr>
                      <w:rFonts w:cs="Arial"/>
                      <w:color w:val="373737" w:themeColor="background1" w:themeShade="40"/>
                      <w:szCs w:val="18"/>
                      <w:highlight w:val="yellow"/>
                    </w:rPr>
                  </w:pPr>
                  <w:r w:rsidRPr="003726BE">
                    <w:rPr>
                      <w:color w:val="373737" w:themeColor="background1" w:themeShade="40"/>
                      <w:highlight w:val="yellow"/>
                    </w:rPr>
                    <w:t>Molto buono</w:t>
                  </w:r>
                </w:p>
              </w:tc>
              <w:tc>
                <w:tcPr>
                  <w:tcW w:w="1759" w:type="dxa"/>
                  <w:shd w:val="clear" w:color="auto" w:fill="auto"/>
                </w:tcPr>
                <w:p w14:paraId="65B22D56" w14:textId="77777777" w:rsidR="002B2ED6" w:rsidRPr="003726BE" w:rsidRDefault="002B2ED6" w:rsidP="00AA71F1">
                  <w:pPr>
                    <w:suppressAutoHyphens/>
                    <w:spacing w:before="40" w:after="40" w:line="240" w:lineRule="auto"/>
                    <w:rPr>
                      <w:rFonts w:cs="Arial"/>
                      <w:color w:val="373737" w:themeColor="background1" w:themeShade="40"/>
                      <w:szCs w:val="18"/>
                      <w:highlight w:val="yellow"/>
                    </w:rPr>
                  </w:pPr>
                  <w:r w:rsidRPr="003726BE">
                    <w:rPr>
                      <w:color w:val="373737" w:themeColor="background1" w:themeShade="40"/>
                      <w:highlight w:val="yellow"/>
                    </w:rPr>
                    <w:t>Eccellente</w:t>
                  </w:r>
                </w:p>
              </w:tc>
            </w:tr>
            <w:tr w:rsidR="002B2ED6" w:rsidRPr="003726BE" w14:paraId="5883159A" w14:textId="77777777" w:rsidTr="00AA71F1">
              <w:trPr>
                <w:jc w:val="center"/>
              </w:trPr>
              <w:tc>
                <w:tcPr>
                  <w:tcW w:w="1703" w:type="dxa"/>
                  <w:shd w:val="clear" w:color="auto" w:fill="auto"/>
                </w:tcPr>
                <w:p w14:paraId="4116A171" w14:textId="77777777" w:rsidR="002B2ED6" w:rsidRPr="003726BE" w:rsidRDefault="002B2ED6" w:rsidP="00AA71F1">
                  <w:pPr>
                    <w:suppressAutoHyphens/>
                    <w:spacing w:before="40" w:after="40" w:line="240" w:lineRule="auto"/>
                    <w:rPr>
                      <w:rFonts w:cs="Arial"/>
                      <w:color w:val="373737" w:themeColor="background1" w:themeShade="40"/>
                      <w:szCs w:val="18"/>
                      <w:highlight w:val="yellow"/>
                    </w:rPr>
                  </w:pPr>
                </w:p>
              </w:tc>
              <w:tc>
                <w:tcPr>
                  <w:tcW w:w="1793" w:type="dxa"/>
                  <w:shd w:val="clear" w:color="auto" w:fill="auto"/>
                </w:tcPr>
                <w:p w14:paraId="1C3C4298" w14:textId="77777777" w:rsidR="002B2ED6" w:rsidRPr="003726BE" w:rsidRDefault="002B2ED6" w:rsidP="00AA71F1">
                  <w:pPr>
                    <w:suppressAutoHyphens/>
                    <w:spacing w:before="40" w:after="40" w:line="240" w:lineRule="auto"/>
                    <w:rPr>
                      <w:rFonts w:cs="Arial"/>
                      <w:color w:val="373737" w:themeColor="background1" w:themeShade="40"/>
                      <w:szCs w:val="18"/>
                      <w:highlight w:val="yellow"/>
                    </w:rPr>
                  </w:pPr>
                </w:p>
              </w:tc>
              <w:tc>
                <w:tcPr>
                  <w:tcW w:w="1713" w:type="dxa"/>
                  <w:shd w:val="clear" w:color="auto" w:fill="auto"/>
                </w:tcPr>
                <w:p w14:paraId="4ED39331" w14:textId="77777777" w:rsidR="002B2ED6" w:rsidRPr="003726BE" w:rsidRDefault="002B2ED6" w:rsidP="00AA71F1">
                  <w:pPr>
                    <w:suppressAutoHyphens/>
                    <w:spacing w:before="40" w:after="40" w:line="240" w:lineRule="auto"/>
                    <w:rPr>
                      <w:rFonts w:cs="Arial"/>
                      <w:color w:val="373737" w:themeColor="background1" w:themeShade="40"/>
                      <w:szCs w:val="18"/>
                      <w:highlight w:val="yellow"/>
                    </w:rPr>
                  </w:pPr>
                </w:p>
              </w:tc>
              <w:tc>
                <w:tcPr>
                  <w:tcW w:w="1714" w:type="dxa"/>
                  <w:shd w:val="clear" w:color="auto" w:fill="auto"/>
                </w:tcPr>
                <w:p w14:paraId="25C28DB4" w14:textId="77777777" w:rsidR="002B2ED6" w:rsidRPr="003726BE" w:rsidRDefault="002B2ED6" w:rsidP="00AA71F1">
                  <w:pPr>
                    <w:suppressAutoHyphens/>
                    <w:spacing w:before="40" w:after="40" w:line="240" w:lineRule="auto"/>
                    <w:rPr>
                      <w:rFonts w:cs="Arial"/>
                      <w:color w:val="373737" w:themeColor="background1" w:themeShade="40"/>
                      <w:szCs w:val="18"/>
                      <w:highlight w:val="yellow"/>
                    </w:rPr>
                  </w:pPr>
                </w:p>
              </w:tc>
              <w:tc>
                <w:tcPr>
                  <w:tcW w:w="1759" w:type="dxa"/>
                  <w:shd w:val="clear" w:color="auto" w:fill="auto"/>
                </w:tcPr>
                <w:p w14:paraId="33C2F022" w14:textId="77777777" w:rsidR="002B2ED6" w:rsidRPr="003726BE" w:rsidRDefault="002B2ED6" w:rsidP="00AA71F1">
                  <w:pPr>
                    <w:suppressAutoHyphens/>
                    <w:spacing w:before="40" w:after="40" w:line="240" w:lineRule="auto"/>
                    <w:rPr>
                      <w:rFonts w:cs="Arial"/>
                      <w:color w:val="373737" w:themeColor="background1" w:themeShade="40"/>
                      <w:szCs w:val="18"/>
                      <w:highlight w:val="yellow"/>
                    </w:rPr>
                  </w:pPr>
                </w:p>
              </w:tc>
            </w:tr>
          </w:tbl>
          <w:p w14:paraId="37E09933" w14:textId="77777777" w:rsidR="002B2ED6" w:rsidRPr="003726BE" w:rsidRDefault="002B2ED6" w:rsidP="00AA71F1">
            <w:pPr>
              <w:suppressAutoHyphens/>
              <w:spacing w:before="40" w:after="40" w:line="240" w:lineRule="auto"/>
              <w:rPr>
                <w:rFonts w:cs="Arial"/>
                <w:color w:val="373737" w:themeColor="background1" w:themeShade="40"/>
                <w:szCs w:val="18"/>
                <w:highlight w:val="yellow"/>
              </w:rPr>
            </w:pPr>
            <w:r w:rsidRPr="003726BE">
              <w:rPr>
                <w:color w:val="373737" w:themeColor="background1" w:themeShade="40"/>
                <w:highlight w:val="yellow"/>
              </w:rPr>
              <w:t>Motivazione del punteggio:</w:t>
            </w:r>
          </w:p>
        </w:tc>
      </w:tr>
      <w:tr w:rsidR="002B2ED6" w:rsidRPr="003726BE" w14:paraId="4A7D474A" w14:textId="77777777" w:rsidTr="00AA71F1">
        <w:trPr>
          <w:jc w:val="center"/>
        </w:trPr>
        <w:tc>
          <w:tcPr>
            <w:tcW w:w="9067" w:type="dxa"/>
            <w:shd w:val="clear" w:color="auto" w:fill="auto"/>
          </w:tcPr>
          <w:p w14:paraId="53C18C7E" w14:textId="77777777" w:rsidR="002B2ED6" w:rsidRPr="003726BE" w:rsidRDefault="002B2ED6" w:rsidP="00AA71F1">
            <w:pPr>
              <w:tabs>
                <w:tab w:val="left" w:pos="142"/>
              </w:tabs>
              <w:suppressAutoHyphens/>
              <w:spacing w:before="40" w:after="40" w:line="240" w:lineRule="auto"/>
              <w:ind w:left="360" w:hanging="360"/>
              <w:rPr>
                <w:rFonts w:cs="Arial"/>
                <w:color w:val="373737" w:themeColor="background1" w:themeShade="40"/>
                <w:szCs w:val="18"/>
                <w:highlight w:val="yellow"/>
              </w:rPr>
            </w:pPr>
            <w:r w:rsidRPr="003726BE">
              <w:rPr>
                <w:color w:val="373737" w:themeColor="background1" w:themeShade="40"/>
                <w:highlight w:val="yellow"/>
              </w:rPr>
              <w:t>CHIAREZZA DELLA RELAZIONE</w:t>
            </w:r>
          </w:p>
          <w:p w14:paraId="433799B6" w14:textId="77777777" w:rsidR="002B2ED6" w:rsidRPr="003726BE" w:rsidRDefault="002B2ED6" w:rsidP="00AA71F1">
            <w:pPr>
              <w:suppressAutoHyphens/>
              <w:spacing w:before="40" w:after="40" w:line="240" w:lineRule="auto"/>
              <w:rPr>
                <w:rFonts w:cs="Arial"/>
                <w:color w:val="373737" w:themeColor="background1" w:themeShade="40"/>
                <w:szCs w:val="18"/>
                <w:highlight w:val="yellow"/>
              </w:rPr>
            </w:pPr>
            <w:r w:rsidRPr="003726BE">
              <w:rPr>
                <w:color w:val="373737" w:themeColor="background1" w:themeShade="40"/>
                <w:highlight w:val="yellow"/>
              </w:rPr>
              <w:t>La relazione è ben strutturata, equilibrata e scritta in modo comprensibile?</w:t>
            </w:r>
          </w:p>
          <w:p w14:paraId="4710B016" w14:textId="77777777" w:rsidR="002B2ED6" w:rsidRPr="003726BE" w:rsidRDefault="002B2ED6" w:rsidP="00AA71F1">
            <w:pPr>
              <w:suppressAutoHyphens/>
              <w:spacing w:before="40" w:after="40" w:line="240" w:lineRule="auto"/>
              <w:rPr>
                <w:rFonts w:cs="Arial"/>
                <w:color w:val="373737" w:themeColor="background1" w:themeShade="40"/>
                <w:szCs w:val="18"/>
                <w:highlight w:val="yellow"/>
              </w:rPr>
            </w:pPr>
            <w:r w:rsidRPr="003726BE">
              <w:rPr>
                <w:color w:val="373737" w:themeColor="background1" w:themeShade="40"/>
                <w:highlight w:val="yellow"/>
              </w:rPr>
              <w:t>La relazione è di facile lettura e presenta una sintesi breve ma esaustiva? La relazione contiene grafici e tabelle?</w:t>
            </w:r>
          </w:p>
          <w:p w14:paraId="66401514" w14:textId="77777777" w:rsidR="002B2ED6" w:rsidRPr="003726BE" w:rsidRDefault="002B2ED6" w:rsidP="00AA71F1">
            <w:pPr>
              <w:suppressAutoHyphens/>
              <w:spacing w:before="40" w:after="40" w:line="240" w:lineRule="auto"/>
              <w:rPr>
                <w:rFonts w:cs="Arial"/>
                <w:color w:val="373737" w:themeColor="background1" w:themeShade="40"/>
                <w:szCs w:val="18"/>
                <w:highlight w:val="yellow"/>
              </w:rPr>
            </w:pPr>
          </w:p>
          <w:tbl>
            <w:tblPr>
              <w:tblW w:w="0" w:type="auto"/>
              <w:jc w:val="center"/>
              <w:tblBorders>
                <w:top w:val="single" w:sz="4" w:space="0" w:color="F07E31"/>
                <w:left w:val="single" w:sz="4" w:space="0" w:color="F07E31"/>
                <w:bottom w:val="single" w:sz="4" w:space="0" w:color="F07E31"/>
                <w:right w:val="single" w:sz="4" w:space="0" w:color="F07E31"/>
                <w:insideH w:val="single" w:sz="4" w:space="0" w:color="F07E31"/>
                <w:insideV w:val="single" w:sz="4" w:space="0" w:color="F07E31"/>
              </w:tblBorders>
              <w:tblLook w:val="04A0" w:firstRow="1" w:lastRow="0" w:firstColumn="1" w:lastColumn="0" w:noHBand="0" w:noVBand="1"/>
            </w:tblPr>
            <w:tblGrid>
              <w:gridCol w:w="1703"/>
              <w:gridCol w:w="1793"/>
              <w:gridCol w:w="1713"/>
              <w:gridCol w:w="1714"/>
              <w:gridCol w:w="1759"/>
            </w:tblGrid>
            <w:tr w:rsidR="002B2ED6" w:rsidRPr="003726BE" w14:paraId="7EABB880" w14:textId="77777777" w:rsidTr="00AA71F1">
              <w:trPr>
                <w:jc w:val="center"/>
              </w:trPr>
              <w:tc>
                <w:tcPr>
                  <w:tcW w:w="1703" w:type="dxa"/>
                  <w:shd w:val="clear" w:color="auto" w:fill="auto"/>
                </w:tcPr>
                <w:p w14:paraId="43759F58" w14:textId="77777777" w:rsidR="002B2ED6" w:rsidRPr="003726BE" w:rsidRDefault="002B2ED6" w:rsidP="00AA71F1">
                  <w:pPr>
                    <w:suppressAutoHyphens/>
                    <w:spacing w:before="40" w:after="40" w:line="240" w:lineRule="auto"/>
                    <w:rPr>
                      <w:rFonts w:cs="Arial"/>
                      <w:color w:val="373737" w:themeColor="background1" w:themeShade="40"/>
                      <w:szCs w:val="18"/>
                      <w:highlight w:val="yellow"/>
                    </w:rPr>
                  </w:pPr>
                  <w:r w:rsidRPr="003726BE">
                    <w:rPr>
                      <w:color w:val="373737" w:themeColor="background1" w:themeShade="40"/>
                      <w:highlight w:val="yellow"/>
                    </w:rPr>
                    <w:t>Mediocre</w:t>
                  </w:r>
                </w:p>
              </w:tc>
              <w:tc>
                <w:tcPr>
                  <w:tcW w:w="1793" w:type="dxa"/>
                  <w:shd w:val="clear" w:color="auto" w:fill="auto"/>
                </w:tcPr>
                <w:p w14:paraId="126ECF35" w14:textId="77777777" w:rsidR="002B2ED6" w:rsidRPr="003726BE" w:rsidRDefault="002B2ED6" w:rsidP="00AA71F1">
                  <w:pPr>
                    <w:suppressAutoHyphens/>
                    <w:spacing w:before="40" w:after="40" w:line="240" w:lineRule="auto"/>
                    <w:rPr>
                      <w:rFonts w:cs="Arial"/>
                      <w:color w:val="373737" w:themeColor="background1" w:themeShade="40"/>
                      <w:szCs w:val="18"/>
                      <w:highlight w:val="yellow"/>
                    </w:rPr>
                  </w:pPr>
                  <w:r w:rsidRPr="003726BE">
                    <w:rPr>
                      <w:color w:val="373737" w:themeColor="background1" w:themeShade="40"/>
                      <w:highlight w:val="yellow"/>
                    </w:rPr>
                    <w:t>Soddisfacente</w:t>
                  </w:r>
                </w:p>
              </w:tc>
              <w:tc>
                <w:tcPr>
                  <w:tcW w:w="1713" w:type="dxa"/>
                  <w:shd w:val="clear" w:color="auto" w:fill="auto"/>
                </w:tcPr>
                <w:p w14:paraId="400FEEBC" w14:textId="77777777" w:rsidR="002B2ED6" w:rsidRPr="003726BE" w:rsidRDefault="002B2ED6" w:rsidP="00AA71F1">
                  <w:pPr>
                    <w:suppressAutoHyphens/>
                    <w:spacing w:before="40" w:after="40" w:line="240" w:lineRule="auto"/>
                    <w:rPr>
                      <w:rFonts w:cs="Arial"/>
                      <w:color w:val="373737" w:themeColor="background1" w:themeShade="40"/>
                      <w:szCs w:val="18"/>
                      <w:highlight w:val="yellow"/>
                    </w:rPr>
                  </w:pPr>
                  <w:r w:rsidRPr="003726BE">
                    <w:rPr>
                      <w:color w:val="373737" w:themeColor="background1" w:themeShade="40"/>
                      <w:highlight w:val="yellow"/>
                    </w:rPr>
                    <w:t>Buono</w:t>
                  </w:r>
                </w:p>
              </w:tc>
              <w:tc>
                <w:tcPr>
                  <w:tcW w:w="1714" w:type="dxa"/>
                  <w:shd w:val="clear" w:color="auto" w:fill="auto"/>
                </w:tcPr>
                <w:p w14:paraId="3E466AE7" w14:textId="77777777" w:rsidR="002B2ED6" w:rsidRPr="003726BE" w:rsidRDefault="002B2ED6" w:rsidP="00AA71F1">
                  <w:pPr>
                    <w:suppressAutoHyphens/>
                    <w:spacing w:before="40" w:after="40" w:line="240" w:lineRule="auto"/>
                    <w:rPr>
                      <w:rFonts w:cs="Arial"/>
                      <w:color w:val="373737" w:themeColor="background1" w:themeShade="40"/>
                      <w:szCs w:val="18"/>
                      <w:highlight w:val="yellow"/>
                    </w:rPr>
                  </w:pPr>
                  <w:r w:rsidRPr="003726BE">
                    <w:rPr>
                      <w:color w:val="373737" w:themeColor="background1" w:themeShade="40"/>
                      <w:highlight w:val="yellow"/>
                    </w:rPr>
                    <w:t>Molto buono</w:t>
                  </w:r>
                </w:p>
              </w:tc>
              <w:tc>
                <w:tcPr>
                  <w:tcW w:w="1759" w:type="dxa"/>
                  <w:shd w:val="clear" w:color="auto" w:fill="auto"/>
                </w:tcPr>
                <w:p w14:paraId="2E7FFA22" w14:textId="77777777" w:rsidR="002B2ED6" w:rsidRPr="003726BE" w:rsidRDefault="002B2ED6" w:rsidP="00AA71F1">
                  <w:pPr>
                    <w:suppressAutoHyphens/>
                    <w:spacing w:before="40" w:after="40" w:line="240" w:lineRule="auto"/>
                    <w:rPr>
                      <w:rFonts w:cs="Arial"/>
                      <w:color w:val="373737" w:themeColor="background1" w:themeShade="40"/>
                      <w:szCs w:val="18"/>
                      <w:highlight w:val="yellow"/>
                    </w:rPr>
                  </w:pPr>
                  <w:r w:rsidRPr="003726BE">
                    <w:rPr>
                      <w:color w:val="373737" w:themeColor="background1" w:themeShade="40"/>
                      <w:highlight w:val="yellow"/>
                    </w:rPr>
                    <w:t>Eccellente</w:t>
                  </w:r>
                </w:p>
              </w:tc>
            </w:tr>
            <w:tr w:rsidR="002B2ED6" w:rsidRPr="003726BE" w14:paraId="2015778C" w14:textId="77777777" w:rsidTr="00AA71F1">
              <w:trPr>
                <w:jc w:val="center"/>
              </w:trPr>
              <w:tc>
                <w:tcPr>
                  <w:tcW w:w="1703" w:type="dxa"/>
                  <w:shd w:val="clear" w:color="auto" w:fill="auto"/>
                </w:tcPr>
                <w:p w14:paraId="1CD1F1A6" w14:textId="77777777" w:rsidR="002B2ED6" w:rsidRPr="003726BE" w:rsidRDefault="002B2ED6" w:rsidP="00AA71F1">
                  <w:pPr>
                    <w:suppressAutoHyphens/>
                    <w:spacing w:before="40" w:after="40" w:line="240" w:lineRule="auto"/>
                    <w:rPr>
                      <w:rFonts w:cs="Arial"/>
                      <w:color w:val="373737" w:themeColor="background1" w:themeShade="40"/>
                      <w:szCs w:val="18"/>
                      <w:highlight w:val="yellow"/>
                    </w:rPr>
                  </w:pPr>
                </w:p>
              </w:tc>
              <w:tc>
                <w:tcPr>
                  <w:tcW w:w="1793" w:type="dxa"/>
                  <w:shd w:val="clear" w:color="auto" w:fill="auto"/>
                </w:tcPr>
                <w:p w14:paraId="3D303D8E" w14:textId="77777777" w:rsidR="002B2ED6" w:rsidRPr="003726BE" w:rsidRDefault="002B2ED6" w:rsidP="00AA71F1">
                  <w:pPr>
                    <w:suppressAutoHyphens/>
                    <w:spacing w:before="40" w:after="40" w:line="240" w:lineRule="auto"/>
                    <w:rPr>
                      <w:rFonts w:cs="Arial"/>
                      <w:color w:val="373737" w:themeColor="background1" w:themeShade="40"/>
                      <w:szCs w:val="18"/>
                      <w:highlight w:val="yellow"/>
                    </w:rPr>
                  </w:pPr>
                </w:p>
              </w:tc>
              <w:tc>
                <w:tcPr>
                  <w:tcW w:w="1713" w:type="dxa"/>
                  <w:shd w:val="clear" w:color="auto" w:fill="auto"/>
                </w:tcPr>
                <w:p w14:paraId="7EB638AA" w14:textId="77777777" w:rsidR="002B2ED6" w:rsidRPr="003726BE" w:rsidRDefault="002B2ED6" w:rsidP="00AA71F1">
                  <w:pPr>
                    <w:suppressAutoHyphens/>
                    <w:spacing w:before="40" w:after="40" w:line="240" w:lineRule="auto"/>
                    <w:rPr>
                      <w:rFonts w:cs="Arial"/>
                      <w:color w:val="373737" w:themeColor="background1" w:themeShade="40"/>
                      <w:szCs w:val="18"/>
                      <w:highlight w:val="yellow"/>
                    </w:rPr>
                  </w:pPr>
                </w:p>
              </w:tc>
              <w:tc>
                <w:tcPr>
                  <w:tcW w:w="1714" w:type="dxa"/>
                  <w:shd w:val="clear" w:color="auto" w:fill="auto"/>
                </w:tcPr>
                <w:p w14:paraId="2FA8C7EC" w14:textId="77777777" w:rsidR="002B2ED6" w:rsidRPr="003726BE" w:rsidRDefault="002B2ED6" w:rsidP="00AA71F1">
                  <w:pPr>
                    <w:suppressAutoHyphens/>
                    <w:spacing w:before="40" w:after="40" w:line="240" w:lineRule="auto"/>
                    <w:rPr>
                      <w:rFonts w:cs="Arial"/>
                      <w:color w:val="373737" w:themeColor="background1" w:themeShade="40"/>
                      <w:szCs w:val="18"/>
                      <w:highlight w:val="yellow"/>
                    </w:rPr>
                  </w:pPr>
                </w:p>
              </w:tc>
              <w:tc>
                <w:tcPr>
                  <w:tcW w:w="1759" w:type="dxa"/>
                  <w:shd w:val="clear" w:color="auto" w:fill="auto"/>
                </w:tcPr>
                <w:p w14:paraId="790A6D71" w14:textId="77777777" w:rsidR="002B2ED6" w:rsidRPr="003726BE" w:rsidRDefault="002B2ED6" w:rsidP="00AA71F1">
                  <w:pPr>
                    <w:suppressAutoHyphens/>
                    <w:spacing w:before="40" w:after="40" w:line="240" w:lineRule="auto"/>
                    <w:rPr>
                      <w:rFonts w:cs="Arial"/>
                      <w:color w:val="373737" w:themeColor="background1" w:themeShade="40"/>
                      <w:szCs w:val="18"/>
                      <w:highlight w:val="yellow"/>
                    </w:rPr>
                  </w:pPr>
                </w:p>
              </w:tc>
            </w:tr>
          </w:tbl>
          <w:p w14:paraId="7297F41F" w14:textId="77777777" w:rsidR="002B2ED6" w:rsidRPr="003726BE" w:rsidRDefault="002B2ED6" w:rsidP="00AA71F1">
            <w:pPr>
              <w:suppressAutoHyphens/>
              <w:spacing w:before="40" w:after="40" w:line="240" w:lineRule="auto"/>
              <w:rPr>
                <w:rFonts w:cs="Arial"/>
                <w:color w:val="373737" w:themeColor="background1" w:themeShade="40"/>
                <w:szCs w:val="18"/>
                <w:highlight w:val="yellow"/>
              </w:rPr>
            </w:pPr>
            <w:r w:rsidRPr="003726BE">
              <w:rPr>
                <w:color w:val="373737" w:themeColor="background1" w:themeShade="40"/>
                <w:highlight w:val="yellow"/>
              </w:rPr>
              <w:t>Motivazione del punteggio:</w:t>
            </w:r>
          </w:p>
        </w:tc>
      </w:tr>
      <w:tr w:rsidR="002B2ED6" w:rsidRPr="003726BE" w14:paraId="1133094D" w14:textId="77777777" w:rsidTr="00AA71F1">
        <w:trPr>
          <w:jc w:val="center"/>
        </w:trPr>
        <w:tc>
          <w:tcPr>
            <w:tcW w:w="9067" w:type="dxa"/>
            <w:shd w:val="clear" w:color="auto" w:fill="auto"/>
          </w:tcPr>
          <w:p w14:paraId="4324CFCE" w14:textId="77777777" w:rsidR="002B2ED6" w:rsidRPr="003726BE" w:rsidRDefault="002B2ED6" w:rsidP="00AA71F1">
            <w:pPr>
              <w:tabs>
                <w:tab w:val="left" w:pos="142"/>
              </w:tabs>
              <w:suppressAutoHyphens/>
              <w:spacing w:before="40" w:after="40" w:line="240" w:lineRule="auto"/>
              <w:ind w:left="360" w:hanging="360"/>
              <w:rPr>
                <w:rFonts w:cs="Arial"/>
                <w:color w:val="373737" w:themeColor="background1" w:themeShade="40"/>
                <w:szCs w:val="18"/>
                <w:highlight w:val="yellow"/>
              </w:rPr>
            </w:pPr>
            <w:r w:rsidRPr="003726BE">
              <w:rPr>
                <w:color w:val="373737" w:themeColor="background1" w:themeShade="40"/>
                <w:highlight w:val="yellow"/>
              </w:rPr>
              <w:t>VALUTAZIONE GENERALE DELLA RELAZIONE FINALE</w:t>
            </w:r>
          </w:p>
          <w:p w14:paraId="7644D737" w14:textId="77777777" w:rsidR="002B2ED6" w:rsidRPr="003726BE" w:rsidRDefault="00E1388F" w:rsidP="00AA71F1">
            <w:pPr>
              <w:suppressAutoHyphens/>
              <w:spacing w:before="40" w:after="40" w:line="240" w:lineRule="auto"/>
              <w:rPr>
                <w:rFonts w:cs="Arial"/>
                <w:color w:val="373737" w:themeColor="background1" w:themeShade="40"/>
                <w:szCs w:val="18"/>
                <w:highlight w:val="yellow"/>
              </w:rPr>
            </w:pPr>
            <w:r w:rsidRPr="003726BE">
              <w:rPr>
                <w:color w:val="373737" w:themeColor="background1" w:themeShade="40"/>
                <w:highlight w:val="yellow"/>
              </w:rPr>
              <w:t xml:space="preserve">La qualità complessiva della relazione è: </w:t>
            </w:r>
          </w:p>
          <w:p w14:paraId="4A0160D3" w14:textId="77777777" w:rsidR="002B2ED6" w:rsidRPr="003726BE" w:rsidRDefault="002B2ED6" w:rsidP="00AA71F1">
            <w:pPr>
              <w:suppressAutoHyphens/>
              <w:spacing w:before="40" w:after="40" w:line="240" w:lineRule="auto"/>
              <w:rPr>
                <w:rFonts w:cs="Arial"/>
                <w:color w:val="373737" w:themeColor="background1" w:themeShade="40"/>
                <w:szCs w:val="18"/>
                <w:highlight w:val="yellow"/>
              </w:rPr>
            </w:pPr>
          </w:p>
          <w:tbl>
            <w:tblPr>
              <w:tblW w:w="0" w:type="auto"/>
              <w:jc w:val="center"/>
              <w:tblBorders>
                <w:top w:val="single" w:sz="4" w:space="0" w:color="F07E31"/>
                <w:left w:val="single" w:sz="4" w:space="0" w:color="F07E31"/>
                <w:bottom w:val="single" w:sz="4" w:space="0" w:color="F07E31"/>
                <w:right w:val="single" w:sz="4" w:space="0" w:color="F07E31"/>
                <w:insideH w:val="single" w:sz="4" w:space="0" w:color="F07E31"/>
                <w:insideV w:val="single" w:sz="4" w:space="0" w:color="F07E31"/>
              </w:tblBorders>
              <w:tblLook w:val="04A0" w:firstRow="1" w:lastRow="0" w:firstColumn="1" w:lastColumn="0" w:noHBand="0" w:noVBand="1"/>
            </w:tblPr>
            <w:tblGrid>
              <w:gridCol w:w="1703"/>
              <w:gridCol w:w="1793"/>
              <w:gridCol w:w="1713"/>
              <w:gridCol w:w="1714"/>
              <w:gridCol w:w="1759"/>
            </w:tblGrid>
            <w:tr w:rsidR="002B2ED6" w:rsidRPr="003726BE" w14:paraId="1A80C080" w14:textId="77777777" w:rsidTr="00AA71F1">
              <w:trPr>
                <w:jc w:val="center"/>
              </w:trPr>
              <w:tc>
                <w:tcPr>
                  <w:tcW w:w="1703" w:type="dxa"/>
                  <w:shd w:val="clear" w:color="auto" w:fill="auto"/>
                </w:tcPr>
                <w:p w14:paraId="31EC64A2" w14:textId="77777777" w:rsidR="002B2ED6" w:rsidRPr="003726BE" w:rsidRDefault="002B2ED6" w:rsidP="00AA71F1">
                  <w:pPr>
                    <w:suppressAutoHyphens/>
                    <w:spacing w:before="40" w:after="40" w:line="240" w:lineRule="auto"/>
                    <w:rPr>
                      <w:rFonts w:cs="Arial"/>
                      <w:color w:val="373737" w:themeColor="background1" w:themeShade="40"/>
                      <w:szCs w:val="18"/>
                      <w:highlight w:val="yellow"/>
                    </w:rPr>
                  </w:pPr>
                  <w:r w:rsidRPr="003726BE">
                    <w:rPr>
                      <w:color w:val="373737" w:themeColor="background1" w:themeShade="40"/>
                      <w:highlight w:val="yellow"/>
                    </w:rPr>
                    <w:t>Mediocre</w:t>
                  </w:r>
                </w:p>
              </w:tc>
              <w:tc>
                <w:tcPr>
                  <w:tcW w:w="1793" w:type="dxa"/>
                  <w:shd w:val="clear" w:color="auto" w:fill="auto"/>
                </w:tcPr>
                <w:p w14:paraId="54DD567E" w14:textId="77777777" w:rsidR="002B2ED6" w:rsidRPr="003726BE" w:rsidRDefault="002B2ED6" w:rsidP="00AA71F1">
                  <w:pPr>
                    <w:suppressAutoHyphens/>
                    <w:spacing w:before="40" w:after="40" w:line="240" w:lineRule="auto"/>
                    <w:rPr>
                      <w:rFonts w:cs="Arial"/>
                      <w:color w:val="373737" w:themeColor="background1" w:themeShade="40"/>
                      <w:szCs w:val="18"/>
                      <w:highlight w:val="yellow"/>
                    </w:rPr>
                  </w:pPr>
                  <w:r w:rsidRPr="003726BE">
                    <w:rPr>
                      <w:color w:val="373737" w:themeColor="background1" w:themeShade="40"/>
                      <w:highlight w:val="yellow"/>
                    </w:rPr>
                    <w:t>Soddisfacente</w:t>
                  </w:r>
                </w:p>
              </w:tc>
              <w:tc>
                <w:tcPr>
                  <w:tcW w:w="1713" w:type="dxa"/>
                  <w:shd w:val="clear" w:color="auto" w:fill="auto"/>
                </w:tcPr>
                <w:p w14:paraId="4A4C1017" w14:textId="77777777" w:rsidR="002B2ED6" w:rsidRPr="003726BE" w:rsidRDefault="002B2ED6" w:rsidP="00AA71F1">
                  <w:pPr>
                    <w:suppressAutoHyphens/>
                    <w:spacing w:before="40" w:after="40" w:line="240" w:lineRule="auto"/>
                    <w:rPr>
                      <w:rFonts w:cs="Arial"/>
                      <w:color w:val="373737" w:themeColor="background1" w:themeShade="40"/>
                      <w:szCs w:val="18"/>
                      <w:highlight w:val="yellow"/>
                    </w:rPr>
                  </w:pPr>
                  <w:r w:rsidRPr="003726BE">
                    <w:rPr>
                      <w:color w:val="373737" w:themeColor="background1" w:themeShade="40"/>
                      <w:highlight w:val="yellow"/>
                    </w:rPr>
                    <w:t>Buono</w:t>
                  </w:r>
                </w:p>
              </w:tc>
              <w:tc>
                <w:tcPr>
                  <w:tcW w:w="1714" w:type="dxa"/>
                  <w:shd w:val="clear" w:color="auto" w:fill="auto"/>
                </w:tcPr>
                <w:p w14:paraId="631226E8" w14:textId="77777777" w:rsidR="002B2ED6" w:rsidRPr="003726BE" w:rsidRDefault="002B2ED6" w:rsidP="00AA71F1">
                  <w:pPr>
                    <w:suppressAutoHyphens/>
                    <w:spacing w:before="40" w:after="40" w:line="240" w:lineRule="auto"/>
                    <w:rPr>
                      <w:rFonts w:cs="Arial"/>
                      <w:color w:val="373737" w:themeColor="background1" w:themeShade="40"/>
                      <w:szCs w:val="18"/>
                      <w:highlight w:val="yellow"/>
                    </w:rPr>
                  </w:pPr>
                  <w:r w:rsidRPr="003726BE">
                    <w:rPr>
                      <w:color w:val="373737" w:themeColor="background1" w:themeShade="40"/>
                      <w:highlight w:val="yellow"/>
                    </w:rPr>
                    <w:t>Molto buono</w:t>
                  </w:r>
                </w:p>
              </w:tc>
              <w:tc>
                <w:tcPr>
                  <w:tcW w:w="1759" w:type="dxa"/>
                  <w:shd w:val="clear" w:color="auto" w:fill="auto"/>
                </w:tcPr>
                <w:p w14:paraId="4A6B8958" w14:textId="77777777" w:rsidR="002B2ED6" w:rsidRPr="003726BE" w:rsidRDefault="002B2ED6" w:rsidP="00AA71F1">
                  <w:pPr>
                    <w:suppressAutoHyphens/>
                    <w:spacing w:before="40" w:after="40" w:line="240" w:lineRule="auto"/>
                    <w:rPr>
                      <w:rFonts w:cs="Arial"/>
                      <w:color w:val="373737" w:themeColor="background1" w:themeShade="40"/>
                      <w:szCs w:val="18"/>
                    </w:rPr>
                  </w:pPr>
                  <w:r w:rsidRPr="003726BE">
                    <w:rPr>
                      <w:color w:val="373737" w:themeColor="background1" w:themeShade="40"/>
                      <w:highlight w:val="yellow"/>
                    </w:rPr>
                    <w:t>Eccellente</w:t>
                  </w:r>
                </w:p>
              </w:tc>
            </w:tr>
            <w:tr w:rsidR="002B2ED6" w:rsidRPr="003726BE" w14:paraId="7B7F0CF5" w14:textId="77777777" w:rsidTr="00AA71F1">
              <w:trPr>
                <w:jc w:val="center"/>
              </w:trPr>
              <w:tc>
                <w:tcPr>
                  <w:tcW w:w="1703" w:type="dxa"/>
                  <w:shd w:val="clear" w:color="auto" w:fill="auto"/>
                </w:tcPr>
                <w:p w14:paraId="5865A592" w14:textId="77777777" w:rsidR="002B2ED6" w:rsidRPr="003726BE" w:rsidRDefault="002B2ED6" w:rsidP="00AA71F1">
                  <w:pPr>
                    <w:suppressAutoHyphens/>
                    <w:spacing w:before="40" w:after="40" w:line="240" w:lineRule="auto"/>
                    <w:rPr>
                      <w:rFonts w:cs="Arial"/>
                      <w:color w:val="373737" w:themeColor="background1" w:themeShade="40"/>
                      <w:szCs w:val="18"/>
                    </w:rPr>
                  </w:pPr>
                </w:p>
              </w:tc>
              <w:tc>
                <w:tcPr>
                  <w:tcW w:w="1793" w:type="dxa"/>
                  <w:shd w:val="clear" w:color="auto" w:fill="auto"/>
                </w:tcPr>
                <w:p w14:paraId="4E8DBF49" w14:textId="77777777" w:rsidR="002B2ED6" w:rsidRPr="003726BE" w:rsidRDefault="002B2ED6" w:rsidP="00AA71F1">
                  <w:pPr>
                    <w:suppressAutoHyphens/>
                    <w:spacing w:before="40" w:after="40" w:line="240" w:lineRule="auto"/>
                    <w:rPr>
                      <w:rFonts w:cs="Arial"/>
                      <w:color w:val="373737" w:themeColor="background1" w:themeShade="40"/>
                      <w:szCs w:val="18"/>
                    </w:rPr>
                  </w:pPr>
                </w:p>
              </w:tc>
              <w:tc>
                <w:tcPr>
                  <w:tcW w:w="1713" w:type="dxa"/>
                  <w:shd w:val="clear" w:color="auto" w:fill="auto"/>
                </w:tcPr>
                <w:p w14:paraId="2EF026EB" w14:textId="77777777" w:rsidR="002B2ED6" w:rsidRPr="003726BE" w:rsidRDefault="002B2ED6" w:rsidP="00AA71F1">
                  <w:pPr>
                    <w:suppressAutoHyphens/>
                    <w:spacing w:before="40" w:after="40" w:line="240" w:lineRule="auto"/>
                    <w:rPr>
                      <w:rFonts w:cs="Arial"/>
                      <w:color w:val="373737" w:themeColor="background1" w:themeShade="40"/>
                      <w:szCs w:val="18"/>
                    </w:rPr>
                  </w:pPr>
                </w:p>
              </w:tc>
              <w:tc>
                <w:tcPr>
                  <w:tcW w:w="1714" w:type="dxa"/>
                  <w:shd w:val="clear" w:color="auto" w:fill="auto"/>
                </w:tcPr>
                <w:p w14:paraId="4E11BF37" w14:textId="77777777" w:rsidR="002B2ED6" w:rsidRPr="003726BE" w:rsidRDefault="002B2ED6" w:rsidP="00AA71F1">
                  <w:pPr>
                    <w:suppressAutoHyphens/>
                    <w:spacing w:before="40" w:after="40" w:line="240" w:lineRule="auto"/>
                    <w:rPr>
                      <w:rFonts w:cs="Arial"/>
                      <w:color w:val="373737" w:themeColor="background1" w:themeShade="40"/>
                      <w:szCs w:val="18"/>
                    </w:rPr>
                  </w:pPr>
                </w:p>
              </w:tc>
              <w:tc>
                <w:tcPr>
                  <w:tcW w:w="1759" w:type="dxa"/>
                  <w:shd w:val="clear" w:color="auto" w:fill="auto"/>
                </w:tcPr>
                <w:p w14:paraId="19E18384" w14:textId="77777777" w:rsidR="002B2ED6" w:rsidRPr="003726BE" w:rsidRDefault="002B2ED6" w:rsidP="00AA71F1">
                  <w:pPr>
                    <w:suppressAutoHyphens/>
                    <w:spacing w:before="40" w:after="40" w:line="240" w:lineRule="auto"/>
                    <w:rPr>
                      <w:rFonts w:cs="Arial"/>
                      <w:color w:val="373737" w:themeColor="background1" w:themeShade="40"/>
                      <w:szCs w:val="18"/>
                    </w:rPr>
                  </w:pPr>
                </w:p>
              </w:tc>
            </w:tr>
          </w:tbl>
          <w:p w14:paraId="54210113" w14:textId="77777777" w:rsidR="002B2ED6" w:rsidRPr="003726BE" w:rsidRDefault="002B2ED6" w:rsidP="00AA71F1">
            <w:pPr>
              <w:suppressAutoHyphens/>
              <w:spacing w:before="40" w:after="40" w:line="240" w:lineRule="auto"/>
              <w:rPr>
                <w:rFonts w:cs="Arial"/>
                <w:color w:val="373737" w:themeColor="background1" w:themeShade="40"/>
                <w:szCs w:val="18"/>
              </w:rPr>
            </w:pPr>
          </w:p>
        </w:tc>
      </w:tr>
    </w:tbl>
    <w:p w14:paraId="6DF888D1" w14:textId="77777777" w:rsidR="002B2ED6" w:rsidRPr="003726BE" w:rsidRDefault="002B2ED6" w:rsidP="002B2ED6">
      <w:pPr>
        <w:rPr>
          <w:rFonts w:cs="Arial"/>
        </w:rPr>
      </w:pPr>
    </w:p>
    <w:p w14:paraId="72A59C74" w14:textId="77777777" w:rsidR="002B2ED6" w:rsidRPr="00CB34A3" w:rsidRDefault="002B2ED6" w:rsidP="009750E9">
      <w:pPr>
        <w:pStyle w:val="HHeading1"/>
        <w:numPr>
          <w:ilvl w:val="0"/>
          <w:numId w:val="0"/>
        </w:numPr>
        <w:rPr>
          <w:caps w:val="0"/>
          <w:lang w:val="en-GB"/>
        </w:rPr>
      </w:pPr>
      <w:bookmarkStart w:id="150" w:name="_Toc456012912"/>
      <w:bookmarkStart w:id="151" w:name="_Toc460936131"/>
      <w:bookmarkStart w:id="152" w:name="_Toc474132171"/>
      <w:r w:rsidRPr="00CB34A3">
        <w:rPr>
          <w:caps w:val="0"/>
          <w:lang w:val="en-GB"/>
        </w:rPr>
        <w:lastRenderedPageBreak/>
        <w:t>Annex 6 - The role of rural development stakeholders in the dissemination and communication of the evaluation results</w:t>
      </w:r>
      <w:bookmarkEnd w:id="143"/>
      <w:bookmarkEnd w:id="150"/>
      <w:bookmarkEnd w:id="151"/>
      <w:bookmarkEnd w:id="152"/>
    </w:p>
    <w:tbl>
      <w:tblPr>
        <w:tblStyle w:val="TableGrid3"/>
        <w:tblW w:w="8642" w:type="dxa"/>
        <w:jc w:val="center"/>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Layout w:type="fixed"/>
        <w:tblLook w:val="04A0" w:firstRow="1" w:lastRow="0" w:firstColumn="1" w:lastColumn="0" w:noHBand="0" w:noVBand="1"/>
      </w:tblPr>
      <w:tblGrid>
        <w:gridCol w:w="1112"/>
        <w:gridCol w:w="2275"/>
        <w:gridCol w:w="1944"/>
        <w:gridCol w:w="3311"/>
      </w:tblGrid>
      <w:tr w:rsidR="002B2ED6" w:rsidRPr="003726BE" w14:paraId="24A52A2E" w14:textId="77777777" w:rsidTr="00AA71F1">
        <w:trPr>
          <w:jc w:val="center"/>
        </w:trPr>
        <w:tc>
          <w:tcPr>
            <w:tcW w:w="1112" w:type="dxa"/>
            <w:shd w:val="clear" w:color="auto" w:fill="F07E31"/>
            <w:hideMark/>
          </w:tcPr>
          <w:p w14:paraId="567008F2" w14:textId="77777777" w:rsidR="002B2ED6" w:rsidRPr="003726BE" w:rsidRDefault="002B2ED6" w:rsidP="00AA71F1">
            <w:pPr>
              <w:suppressAutoHyphens/>
              <w:spacing w:before="40" w:after="40" w:line="240" w:lineRule="auto"/>
              <w:jc w:val="center"/>
              <w:rPr>
                <w:rFonts w:cs="Arial"/>
                <w:b/>
                <w:color w:val="FFFFFF"/>
                <w:szCs w:val="20"/>
              </w:rPr>
            </w:pPr>
            <w:r w:rsidRPr="003726BE">
              <w:rPr>
                <w:b/>
                <w:color w:val="FFFFFF"/>
              </w:rPr>
              <w:t>WHO?</w:t>
            </w:r>
          </w:p>
        </w:tc>
        <w:tc>
          <w:tcPr>
            <w:tcW w:w="2275" w:type="dxa"/>
            <w:shd w:val="clear" w:color="auto" w:fill="F07E31"/>
            <w:hideMark/>
          </w:tcPr>
          <w:p w14:paraId="23142107" w14:textId="77777777" w:rsidR="002B2ED6" w:rsidRPr="003726BE" w:rsidRDefault="002B2ED6" w:rsidP="00AA71F1">
            <w:pPr>
              <w:suppressAutoHyphens/>
              <w:spacing w:before="40" w:after="40" w:line="240" w:lineRule="auto"/>
              <w:jc w:val="center"/>
              <w:rPr>
                <w:rFonts w:cs="Arial"/>
                <w:b/>
                <w:color w:val="FFFFFF"/>
                <w:szCs w:val="20"/>
              </w:rPr>
            </w:pPr>
            <w:r w:rsidRPr="003726BE">
              <w:rPr>
                <w:b/>
                <w:color w:val="FFFFFF"/>
              </w:rPr>
              <w:t>WHAT?</w:t>
            </w:r>
          </w:p>
        </w:tc>
        <w:tc>
          <w:tcPr>
            <w:tcW w:w="1944" w:type="dxa"/>
            <w:shd w:val="clear" w:color="auto" w:fill="F07E31"/>
            <w:hideMark/>
          </w:tcPr>
          <w:p w14:paraId="5643DFB6" w14:textId="77777777" w:rsidR="002B2ED6" w:rsidRPr="003726BE" w:rsidRDefault="002B2ED6" w:rsidP="00AA71F1">
            <w:pPr>
              <w:suppressAutoHyphens/>
              <w:spacing w:before="40" w:after="40" w:line="240" w:lineRule="auto"/>
              <w:jc w:val="center"/>
              <w:rPr>
                <w:rFonts w:cs="Arial"/>
                <w:b/>
                <w:color w:val="FFFFFF"/>
                <w:szCs w:val="20"/>
              </w:rPr>
            </w:pPr>
            <w:r w:rsidRPr="003726BE">
              <w:rPr>
                <w:b/>
                <w:color w:val="FFFFFF"/>
              </w:rPr>
              <w:t>TO WHOM?</w:t>
            </w:r>
          </w:p>
        </w:tc>
        <w:tc>
          <w:tcPr>
            <w:tcW w:w="3311" w:type="dxa"/>
            <w:shd w:val="clear" w:color="auto" w:fill="F07E31"/>
            <w:hideMark/>
          </w:tcPr>
          <w:p w14:paraId="04EA1E9D" w14:textId="77777777" w:rsidR="002B2ED6" w:rsidRPr="003726BE" w:rsidRDefault="002B2ED6" w:rsidP="00AA71F1">
            <w:pPr>
              <w:suppressAutoHyphens/>
              <w:spacing w:before="40" w:after="40" w:line="240" w:lineRule="auto"/>
              <w:jc w:val="center"/>
              <w:rPr>
                <w:rFonts w:cs="Arial"/>
                <w:b/>
                <w:color w:val="FFFFFF"/>
                <w:szCs w:val="20"/>
              </w:rPr>
            </w:pPr>
            <w:r w:rsidRPr="003726BE">
              <w:rPr>
                <w:b/>
                <w:color w:val="FFFFFF"/>
              </w:rPr>
              <w:t>WHY?</w:t>
            </w:r>
          </w:p>
        </w:tc>
      </w:tr>
      <w:tr w:rsidR="002B2ED6" w:rsidRPr="00F61F42" w14:paraId="4239CCFF" w14:textId="77777777" w:rsidTr="00AA71F1">
        <w:trPr>
          <w:trHeight w:val="218"/>
          <w:jc w:val="center"/>
        </w:trPr>
        <w:tc>
          <w:tcPr>
            <w:tcW w:w="1112" w:type="dxa"/>
            <w:vMerge w:val="restart"/>
            <w:shd w:val="clear" w:color="auto" w:fill="auto"/>
            <w:hideMark/>
          </w:tcPr>
          <w:p w14:paraId="6F4FE293" w14:textId="77777777" w:rsidR="002B2ED6" w:rsidRPr="003726BE" w:rsidRDefault="002B2ED6" w:rsidP="004D01B0">
            <w:pPr>
              <w:suppressAutoHyphens/>
              <w:spacing w:before="40" w:after="40" w:line="240" w:lineRule="auto"/>
              <w:jc w:val="left"/>
              <w:rPr>
                <w:rFonts w:cs="Arial"/>
                <w:b/>
                <w:color w:val="373737" w:themeColor="background1" w:themeShade="40"/>
                <w:szCs w:val="20"/>
              </w:rPr>
            </w:pPr>
            <w:r w:rsidRPr="003726BE">
              <w:rPr>
                <w:b/>
                <w:color w:val="373737" w:themeColor="background1" w:themeShade="40"/>
              </w:rPr>
              <w:t xml:space="preserve">MA </w:t>
            </w:r>
          </w:p>
        </w:tc>
        <w:tc>
          <w:tcPr>
            <w:tcW w:w="2275" w:type="dxa"/>
            <w:shd w:val="clear" w:color="auto" w:fill="auto"/>
          </w:tcPr>
          <w:p w14:paraId="66B4269F" w14:textId="77777777" w:rsidR="002B2ED6" w:rsidRPr="00CB34A3" w:rsidRDefault="002B2ED6" w:rsidP="004D01B0">
            <w:pPr>
              <w:suppressAutoHyphens/>
              <w:spacing w:before="40" w:after="40" w:line="240" w:lineRule="auto"/>
              <w:jc w:val="left"/>
              <w:rPr>
                <w:rFonts w:cs="Arial"/>
                <w:color w:val="373737" w:themeColor="background1" w:themeShade="40"/>
                <w:szCs w:val="20"/>
                <w:lang w:val="en-GB"/>
              </w:rPr>
            </w:pPr>
            <w:r w:rsidRPr="00CB34A3">
              <w:rPr>
                <w:color w:val="373737" w:themeColor="background1" w:themeShade="40"/>
                <w:lang w:val="en-GB"/>
              </w:rPr>
              <w:t xml:space="preserve">Report on evaluation in the AIR submitted in 2017 </w:t>
            </w:r>
          </w:p>
        </w:tc>
        <w:tc>
          <w:tcPr>
            <w:tcW w:w="1944" w:type="dxa"/>
            <w:shd w:val="clear" w:color="auto" w:fill="auto"/>
          </w:tcPr>
          <w:p w14:paraId="283AA078" w14:textId="77777777" w:rsidR="002B2ED6" w:rsidRPr="003726BE" w:rsidRDefault="002B2ED6" w:rsidP="004D01B0">
            <w:pPr>
              <w:suppressAutoHyphens/>
              <w:spacing w:before="40" w:after="40" w:line="240" w:lineRule="auto"/>
              <w:jc w:val="left"/>
              <w:rPr>
                <w:rFonts w:cs="Arial"/>
                <w:color w:val="373737" w:themeColor="background1" w:themeShade="40"/>
                <w:szCs w:val="20"/>
              </w:rPr>
            </w:pPr>
            <w:r w:rsidRPr="003726BE">
              <w:rPr>
                <w:color w:val="373737" w:themeColor="background1" w:themeShade="40"/>
              </w:rPr>
              <w:t>EC</w:t>
            </w:r>
          </w:p>
        </w:tc>
        <w:tc>
          <w:tcPr>
            <w:tcW w:w="3311" w:type="dxa"/>
            <w:shd w:val="clear" w:color="auto" w:fill="auto"/>
          </w:tcPr>
          <w:p w14:paraId="6C2AD4FD" w14:textId="77777777" w:rsidR="002B2ED6" w:rsidRPr="00CB34A3" w:rsidRDefault="002B2ED6" w:rsidP="004D01B0">
            <w:pPr>
              <w:suppressAutoHyphens/>
              <w:spacing w:before="40" w:after="40" w:line="240" w:lineRule="auto"/>
              <w:jc w:val="left"/>
              <w:rPr>
                <w:rFonts w:cs="Arial"/>
                <w:color w:val="373737" w:themeColor="background1" w:themeShade="40"/>
                <w:szCs w:val="20"/>
                <w:lang w:val="en-GB"/>
              </w:rPr>
            </w:pPr>
            <w:r w:rsidRPr="00CB34A3">
              <w:rPr>
                <w:color w:val="373737" w:themeColor="background1" w:themeShade="40"/>
                <w:lang w:val="en-GB"/>
              </w:rPr>
              <w:t>Inform the Commission, fulfil legal requirements</w:t>
            </w:r>
          </w:p>
        </w:tc>
      </w:tr>
      <w:tr w:rsidR="002B2ED6" w:rsidRPr="00F61F42" w14:paraId="72A4E471" w14:textId="77777777" w:rsidTr="00AA71F1">
        <w:trPr>
          <w:trHeight w:val="56"/>
          <w:jc w:val="center"/>
        </w:trPr>
        <w:tc>
          <w:tcPr>
            <w:tcW w:w="1112" w:type="dxa"/>
            <w:vMerge/>
            <w:shd w:val="clear" w:color="auto" w:fill="auto"/>
          </w:tcPr>
          <w:p w14:paraId="3E7A1972" w14:textId="77777777" w:rsidR="002B2ED6" w:rsidRPr="00CB34A3" w:rsidRDefault="002B2ED6" w:rsidP="004D01B0">
            <w:pPr>
              <w:suppressAutoHyphens/>
              <w:spacing w:before="40" w:after="40" w:line="240" w:lineRule="auto"/>
              <w:jc w:val="left"/>
              <w:rPr>
                <w:rFonts w:cs="Arial"/>
                <w:b/>
                <w:color w:val="373737" w:themeColor="background1" w:themeShade="40"/>
                <w:szCs w:val="20"/>
                <w:lang w:val="en-GB"/>
              </w:rPr>
            </w:pPr>
          </w:p>
        </w:tc>
        <w:tc>
          <w:tcPr>
            <w:tcW w:w="2275" w:type="dxa"/>
            <w:shd w:val="clear" w:color="auto" w:fill="auto"/>
          </w:tcPr>
          <w:p w14:paraId="6D2EF6D7" w14:textId="77777777" w:rsidR="002B2ED6" w:rsidRPr="00CB34A3" w:rsidRDefault="002B2ED6" w:rsidP="004D01B0">
            <w:pPr>
              <w:suppressAutoHyphens/>
              <w:spacing w:before="40" w:after="40" w:line="240" w:lineRule="auto"/>
              <w:jc w:val="left"/>
              <w:rPr>
                <w:rFonts w:cs="Arial"/>
                <w:color w:val="373737" w:themeColor="background1" w:themeShade="40"/>
                <w:szCs w:val="20"/>
                <w:lang w:val="en-GB"/>
              </w:rPr>
            </w:pPr>
            <w:r w:rsidRPr="00CB34A3">
              <w:rPr>
                <w:color w:val="373737" w:themeColor="background1" w:themeShade="40"/>
                <w:lang w:val="en-GB"/>
              </w:rPr>
              <w:t xml:space="preserve">Summary of major evaluation findings, conclusions, and recommendations </w:t>
            </w:r>
          </w:p>
        </w:tc>
        <w:tc>
          <w:tcPr>
            <w:tcW w:w="1944" w:type="dxa"/>
            <w:shd w:val="clear" w:color="auto" w:fill="auto"/>
          </w:tcPr>
          <w:p w14:paraId="3DC07A6F" w14:textId="77777777" w:rsidR="002B2ED6" w:rsidRPr="003726BE" w:rsidRDefault="002B2ED6" w:rsidP="004D01B0">
            <w:pPr>
              <w:suppressAutoHyphens/>
              <w:spacing w:before="40" w:after="40" w:line="240" w:lineRule="auto"/>
              <w:jc w:val="left"/>
              <w:rPr>
                <w:rFonts w:cs="Arial"/>
                <w:color w:val="373737" w:themeColor="background1" w:themeShade="40"/>
                <w:szCs w:val="20"/>
              </w:rPr>
            </w:pPr>
            <w:r w:rsidRPr="003726BE">
              <w:rPr>
                <w:color w:val="373737" w:themeColor="background1" w:themeShade="40"/>
              </w:rPr>
              <w:t>Policy makers</w:t>
            </w:r>
          </w:p>
        </w:tc>
        <w:tc>
          <w:tcPr>
            <w:tcW w:w="3311" w:type="dxa"/>
            <w:shd w:val="clear" w:color="auto" w:fill="auto"/>
          </w:tcPr>
          <w:p w14:paraId="1C25D68F" w14:textId="77777777" w:rsidR="002B2ED6" w:rsidRPr="00CB34A3" w:rsidRDefault="002B2ED6" w:rsidP="004D01B0">
            <w:pPr>
              <w:suppressAutoHyphens/>
              <w:spacing w:before="40" w:after="40" w:line="240" w:lineRule="auto"/>
              <w:jc w:val="left"/>
              <w:rPr>
                <w:rFonts w:cs="Arial"/>
                <w:color w:val="373737" w:themeColor="background1" w:themeShade="40"/>
                <w:szCs w:val="20"/>
                <w:lang w:val="en-GB"/>
              </w:rPr>
            </w:pPr>
            <w:r w:rsidRPr="00CB34A3">
              <w:rPr>
                <w:color w:val="373737" w:themeColor="background1" w:themeShade="40"/>
                <w:lang w:val="en-GB"/>
              </w:rPr>
              <w:t>Inform policy makers, signal RDP modification needs</w:t>
            </w:r>
          </w:p>
        </w:tc>
      </w:tr>
      <w:tr w:rsidR="002B2ED6" w:rsidRPr="00F61F42" w14:paraId="1338ABDB" w14:textId="77777777" w:rsidTr="00AA71F1">
        <w:trPr>
          <w:trHeight w:val="248"/>
          <w:jc w:val="center"/>
        </w:trPr>
        <w:tc>
          <w:tcPr>
            <w:tcW w:w="1112" w:type="dxa"/>
            <w:vMerge/>
            <w:shd w:val="clear" w:color="auto" w:fill="auto"/>
          </w:tcPr>
          <w:p w14:paraId="3ADCC19B" w14:textId="77777777" w:rsidR="002B2ED6" w:rsidRPr="00CB34A3" w:rsidRDefault="002B2ED6" w:rsidP="004D01B0">
            <w:pPr>
              <w:suppressAutoHyphens/>
              <w:spacing w:before="40" w:after="40" w:line="240" w:lineRule="auto"/>
              <w:jc w:val="left"/>
              <w:rPr>
                <w:rFonts w:cs="Arial"/>
                <w:b/>
                <w:color w:val="373737" w:themeColor="background1" w:themeShade="40"/>
                <w:szCs w:val="20"/>
                <w:lang w:val="en-GB"/>
              </w:rPr>
            </w:pPr>
          </w:p>
        </w:tc>
        <w:tc>
          <w:tcPr>
            <w:tcW w:w="2275" w:type="dxa"/>
            <w:shd w:val="clear" w:color="auto" w:fill="auto"/>
          </w:tcPr>
          <w:p w14:paraId="41FC2935" w14:textId="77777777" w:rsidR="002B2ED6" w:rsidRPr="00CB34A3" w:rsidRDefault="002B2ED6" w:rsidP="004D01B0">
            <w:pPr>
              <w:suppressAutoHyphens/>
              <w:spacing w:before="40" w:after="40" w:line="240" w:lineRule="auto"/>
              <w:jc w:val="left"/>
              <w:rPr>
                <w:rFonts w:cs="Arial"/>
                <w:color w:val="373737" w:themeColor="background1" w:themeShade="40"/>
                <w:szCs w:val="20"/>
                <w:lang w:val="en-GB"/>
              </w:rPr>
            </w:pPr>
            <w:r w:rsidRPr="00CB34A3">
              <w:rPr>
                <w:color w:val="373737" w:themeColor="background1" w:themeShade="40"/>
                <w:lang w:val="en-GB"/>
              </w:rPr>
              <w:t>Responses to recommendations, required action points</w:t>
            </w:r>
          </w:p>
        </w:tc>
        <w:tc>
          <w:tcPr>
            <w:tcW w:w="1944" w:type="dxa"/>
            <w:shd w:val="clear" w:color="auto" w:fill="auto"/>
          </w:tcPr>
          <w:p w14:paraId="01C59E30" w14:textId="77777777" w:rsidR="002B2ED6" w:rsidRPr="003726BE" w:rsidRDefault="002B2ED6" w:rsidP="004D01B0">
            <w:pPr>
              <w:suppressAutoHyphens/>
              <w:spacing w:before="40" w:after="40" w:line="240" w:lineRule="auto"/>
              <w:jc w:val="left"/>
              <w:rPr>
                <w:rFonts w:cs="Arial"/>
                <w:color w:val="373737" w:themeColor="background1" w:themeShade="40"/>
                <w:szCs w:val="20"/>
              </w:rPr>
            </w:pPr>
            <w:r w:rsidRPr="003726BE">
              <w:rPr>
                <w:color w:val="373737" w:themeColor="background1" w:themeShade="40"/>
              </w:rPr>
              <w:t>Policy makers</w:t>
            </w:r>
          </w:p>
        </w:tc>
        <w:tc>
          <w:tcPr>
            <w:tcW w:w="3311" w:type="dxa"/>
            <w:shd w:val="clear" w:color="auto" w:fill="auto"/>
          </w:tcPr>
          <w:p w14:paraId="1552594D" w14:textId="77777777" w:rsidR="002B2ED6" w:rsidRPr="00CB34A3" w:rsidRDefault="002B2ED6" w:rsidP="004D01B0">
            <w:pPr>
              <w:suppressAutoHyphens/>
              <w:spacing w:before="40" w:after="40" w:line="240" w:lineRule="auto"/>
              <w:jc w:val="left"/>
              <w:rPr>
                <w:rFonts w:cs="Arial"/>
                <w:color w:val="373737" w:themeColor="background1" w:themeShade="40"/>
                <w:szCs w:val="20"/>
                <w:lang w:val="en-GB"/>
              </w:rPr>
            </w:pPr>
            <w:r w:rsidRPr="00CB34A3">
              <w:rPr>
                <w:color w:val="373737" w:themeColor="background1" w:themeShade="40"/>
                <w:lang w:val="en-GB"/>
              </w:rPr>
              <w:t>Ensure follow-up of recommendations, plan changes</w:t>
            </w:r>
          </w:p>
        </w:tc>
      </w:tr>
      <w:tr w:rsidR="002B2ED6" w:rsidRPr="00F61F42" w14:paraId="45E6C434" w14:textId="77777777" w:rsidTr="00AA71F1">
        <w:trPr>
          <w:trHeight w:val="487"/>
          <w:jc w:val="center"/>
        </w:trPr>
        <w:tc>
          <w:tcPr>
            <w:tcW w:w="1112" w:type="dxa"/>
            <w:vMerge/>
            <w:shd w:val="clear" w:color="auto" w:fill="auto"/>
          </w:tcPr>
          <w:p w14:paraId="0025A29D" w14:textId="77777777" w:rsidR="002B2ED6" w:rsidRPr="00CB34A3" w:rsidRDefault="002B2ED6" w:rsidP="004D01B0">
            <w:pPr>
              <w:suppressAutoHyphens/>
              <w:spacing w:before="40" w:after="40" w:line="240" w:lineRule="auto"/>
              <w:jc w:val="left"/>
              <w:rPr>
                <w:rFonts w:cs="Arial"/>
                <w:b/>
                <w:color w:val="373737" w:themeColor="background1" w:themeShade="40"/>
                <w:szCs w:val="20"/>
                <w:lang w:val="en-GB"/>
              </w:rPr>
            </w:pPr>
          </w:p>
        </w:tc>
        <w:tc>
          <w:tcPr>
            <w:tcW w:w="2275" w:type="dxa"/>
            <w:shd w:val="clear" w:color="auto" w:fill="auto"/>
          </w:tcPr>
          <w:p w14:paraId="3EDC2166" w14:textId="77777777" w:rsidR="002B2ED6" w:rsidRPr="00CB34A3" w:rsidRDefault="002B2ED6" w:rsidP="004D01B0">
            <w:pPr>
              <w:suppressAutoHyphens/>
              <w:spacing w:before="40" w:after="40" w:line="240" w:lineRule="auto"/>
              <w:jc w:val="left"/>
              <w:rPr>
                <w:rFonts w:cs="Arial"/>
                <w:color w:val="373737" w:themeColor="background1" w:themeShade="40"/>
                <w:szCs w:val="20"/>
                <w:lang w:val="en-GB"/>
              </w:rPr>
            </w:pPr>
            <w:r w:rsidRPr="00CB34A3">
              <w:rPr>
                <w:color w:val="373737" w:themeColor="background1" w:themeShade="40"/>
                <w:lang w:val="en-GB"/>
              </w:rPr>
              <w:t>Organising a final conference / workshop</w:t>
            </w:r>
          </w:p>
        </w:tc>
        <w:tc>
          <w:tcPr>
            <w:tcW w:w="1944" w:type="dxa"/>
            <w:shd w:val="clear" w:color="auto" w:fill="auto"/>
          </w:tcPr>
          <w:p w14:paraId="1DFA2106" w14:textId="77777777" w:rsidR="002B2ED6" w:rsidRPr="00CB34A3" w:rsidRDefault="002B2ED6" w:rsidP="004D01B0">
            <w:pPr>
              <w:suppressAutoHyphens/>
              <w:spacing w:before="40" w:after="40" w:line="240" w:lineRule="auto"/>
              <w:jc w:val="left"/>
              <w:rPr>
                <w:rFonts w:cs="Arial"/>
                <w:color w:val="373737" w:themeColor="background1" w:themeShade="40"/>
                <w:szCs w:val="20"/>
                <w:lang w:val="nb-NO"/>
              </w:rPr>
            </w:pPr>
            <w:r w:rsidRPr="00CB34A3">
              <w:rPr>
                <w:color w:val="373737" w:themeColor="background1" w:themeShade="40"/>
                <w:lang w:val="nb-NO"/>
              </w:rPr>
              <w:t>MA, PA, SG, stakeholders, evaluator</w:t>
            </w:r>
          </w:p>
        </w:tc>
        <w:tc>
          <w:tcPr>
            <w:tcW w:w="3311" w:type="dxa"/>
            <w:shd w:val="clear" w:color="auto" w:fill="auto"/>
          </w:tcPr>
          <w:p w14:paraId="1FD19250" w14:textId="77777777" w:rsidR="002B2ED6" w:rsidRPr="00CB34A3" w:rsidRDefault="002B2ED6" w:rsidP="004D01B0">
            <w:pPr>
              <w:suppressAutoHyphens/>
              <w:spacing w:before="40" w:after="40" w:line="240" w:lineRule="auto"/>
              <w:jc w:val="left"/>
              <w:rPr>
                <w:rFonts w:cs="Arial"/>
                <w:color w:val="373737" w:themeColor="background1" w:themeShade="40"/>
                <w:szCs w:val="20"/>
                <w:lang w:val="en-GB"/>
              </w:rPr>
            </w:pPr>
            <w:r w:rsidRPr="00CB34A3">
              <w:rPr>
                <w:color w:val="373737" w:themeColor="background1" w:themeShade="40"/>
                <w:lang w:val="en-GB"/>
              </w:rPr>
              <w:t>Summarising main findings, discussing actions to be taken, learning from the evaluation</w:t>
            </w:r>
          </w:p>
        </w:tc>
      </w:tr>
      <w:tr w:rsidR="002B2ED6" w:rsidRPr="00F61F42" w14:paraId="5447C414" w14:textId="77777777" w:rsidTr="00AA71F1">
        <w:trPr>
          <w:trHeight w:val="386"/>
          <w:jc w:val="center"/>
        </w:trPr>
        <w:tc>
          <w:tcPr>
            <w:tcW w:w="1112" w:type="dxa"/>
            <w:vMerge/>
            <w:shd w:val="clear" w:color="auto" w:fill="auto"/>
          </w:tcPr>
          <w:p w14:paraId="4101E11F" w14:textId="77777777" w:rsidR="002B2ED6" w:rsidRPr="00CB34A3" w:rsidRDefault="002B2ED6" w:rsidP="004D01B0">
            <w:pPr>
              <w:suppressAutoHyphens/>
              <w:spacing w:before="40" w:after="40" w:line="240" w:lineRule="auto"/>
              <w:jc w:val="left"/>
              <w:rPr>
                <w:rFonts w:cs="Arial"/>
                <w:b/>
                <w:color w:val="373737" w:themeColor="background1" w:themeShade="40"/>
                <w:szCs w:val="20"/>
                <w:lang w:val="en-GB"/>
              </w:rPr>
            </w:pPr>
          </w:p>
        </w:tc>
        <w:tc>
          <w:tcPr>
            <w:tcW w:w="2275" w:type="dxa"/>
            <w:shd w:val="clear" w:color="auto" w:fill="auto"/>
          </w:tcPr>
          <w:p w14:paraId="00264120" w14:textId="77777777" w:rsidR="002B2ED6" w:rsidRPr="00CB34A3" w:rsidRDefault="002B2ED6" w:rsidP="004D01B0">
            <w:pPr>
              <w:suppressAutoHyphens/>
              <w:spacing w:before="40" w:after="40" w:line="240" w:lineRule="auto"/>
              <w:jc w:val="left"/>
              <w:rPr>
                <w:rFonts w:cs="Arial"/>
                <w:color w:val="373737" w:themeColor="background1" w:themeShade="40"/>
                <w:szCs w:val="20"/>
                <w:lang w:val="en-GB"/>
              </w:rPr>
            </w:pPr>
            <w:r w:rsidRPr="00CB34A3">
              <w:rPr>
                <w:color w:val="373737" w:themeColor="background1" w:themeShade="40"/>
                <w:lang w:val="en-GB"/>
              </w:rPr>
              <w:t xml:space="preserve">Press releases, articles in newsletters, round tables in TV, Radio, </w:t>
            </w:r>
          </w:p>
        </w:tc>
        <w:tc>
          <w:tcPr>
            <w:tcW w:w="1944" w:type="dxa"/>
            <w:shd w:val="clear" w:color="auto" w:fill="auto"/>
          </w:tcPr>
          <w:p w14:paraId="569D1A74" w14:textId="77777777" w:rsidR="002B2ED6" w:rsidRPr="00CB34A3" w:rsidRDefault="002B2ED6" w:rsidP="004D01B0">
            <w:pPr>
              <w:suppressAutoHyphens/>
              <w:spacing w:before="40" w:after="40" w:line="240" w:lineRule="auto"/>
              <w:jc w:val="left"/>
              <w:rPr>
                <w:rFonts w:cs="Arial"/>
                <w:color w:val="373737" w:themeColor="background1" w:themeShade="40"/>
                <w:szCs w:val="20"/>
                <w:lang w:val="en-GB"/>
              </w:rPr>
            </w:pPr>
            <w:r w:rsidRPr="00CB34A3">
              <w:rPr>
                <w:color w:val="373737" w:themeColor="background1" w:themeShade="40"/>
                <w:lang w:val="en-GB"/>
              </w:rPr>
              <w:t>Media, general public, researchers, stakeholders</w:t>
            </w:r>
          </w:p>
        </w:tc>
        <w:tc>
          <w:tcPr>
            <w:tcW w:w="3311" w:type="dxa"/>
            <w:shd w:val="clear" w:color="auto" w:fill="auto"/>
          </w:tcPr>
          <w:p w14:paraId="640CA5F6" w14:textId="77777777" w:rsidR="002B2ED6" w:rsidRPr="00CB34A3" w:rsidRDefault="002B2ED6" w:rsidP="004D01B0">
            <w:pPr>
              <w:suppressAutoHyphens/>
              <w:spacing w:before="40" w:after="40" w:line="240" w:lineRule="auto"/>
              <w:jc w:val="left"/>
              <w:rPr>
                <w:rFonts w:cs="Arial"/>
                <w:color w:val="373737" w:themeColor="background1" w:themeShade="40"/>
                <w:szCs w:val="20"/>
                <w:lang w:val="en-GB"/>
              </w:rPr>
            </w:pPr>
            <w:r w:rsidRPr="00CB34A3">
              <w:rPr>
                <w:color w:val="373737" w:themeColor="background1" w:themeShade="40"/>
                <w:lang w:val="en-GB"/>
              </w:rPr>
              <w:t>Increase transparency of policy and knowledge about RDP results</w:t>
            </w:r>
          </w:p>
        </w:tc>
      </w:tr>
      <w:tr w:rsidR="002B2ED6" w:rsidRPr="00F61F42" w14:paraId="00D8D345" w14:textId="77777777" w:rsidTr="00AA71F1">
        <w:trPr>
          <w:trHeight w:val="515"/>
          <w:jc w:val="center"/>
        </w:trPr>
        <w:tc>
          <w:tcPr>
            <w:tcW w:w="1112" w:type="dxa"/>
            <w:vMerge/>
            <w:shd w:val="clear" w:color="auto" w:fill="auto"/>
          </w:tcPr>
          <w:p w14:paraId="603A1AD1" w14:textId="77777777" w:rsidR="002B2ED6" w:rsidRPr="00CB34A3" w:rsidRDefault="002B2ED6" w:rsidP="004D01B0">
            <w:pPr>
              <w:suppressAutoHyphens/>
              <w:spacing w:before="40" w:after="40" w:line="240" w:lineRule="auto"/>
              <w:jc w:val="left"/>
              <w:rPr>
                <w:rFonts w:cs="Arial"/>
                <w:b/>
                <w:color w:val="373737" w:themeColor="background1" w:themeShade="40"/>
                <w:szCs w:val="20"/>
                <w:lang w:val="en-GB"/>
              </w:rPr>
            </w:pPr>
          </w:p>
        </w:tc>
        <w:tc>
          <w:tcPr>
            <w:tcW w:w="2275" w:type="dxa"/>
            <w:shd w:val="clear" w:color="auto" w:fill="auto"/>
          </w:tcPr>
          <w:p w14:paraId="30239ED1" w14:textId="77777777" w:rsidR="002B2ED6" w:rsidRPr="00CB34A3" w:rsidRDefault="002B2ED6" w:rsidP="004D01B0">
            <w:pPr>
              <w:suppressAutoHyphens/>
              <w:spacing w:before="40" w:after="40" w:line="240" w:lineRule="auto"/>
              <w:jc w:val="left"/>
              <w:rPr>
                <w:rFonts w:cs="Arial"/>
                <w:color w:val="373737" w:themeColor="background1" w:themeShade="40"/>
                <w:szCs w:val="20"/>
                <w:lang w:val="en-GB"/>
              </w:rPr>
            </w:pPr>
            <w:r w:rsidRPr="00CB34A3">
              <w:rPr>
                <w:color w:val="373737" w:themeColor="background1" w:themeShade="40"/>
                <w:lang w:val="en-GB"/>
              </w:rPr>
              <w:t>Publish report and citizen’s summary on the website</w:t>
            </w:r>
          </w:p>
        </w:tc>
        <w:tc>
          <w:tcPr>
            <w:tcW w:w="1944" w:type="dxa"/>
            <w:shd w:val="clear" w:color="auto" w:fill="auto"/>
          </w:tcPr>
          <w:p w14:paraId="61907810" w14:textId="77777777" w:rsidR="002B2ED6" w:rsidRPr="003726BE" w:rsidRDefault="002B2ED6" w:rsidP="004D01B0">
            <w:pPr>
              <w:suppressAutoHyphens/>
              <w:spacing w:before="40" w:after="40" w:line="240" w:lineRule="auto"/>
              <w:jc w:val="left"/>
              <w:rPr>
                <w:rFonts w:cs="Arial"/>
                <w:color w:val="373737" w:themeColor="background1" w:themeShade="40"/>
                <w:szCs w:val="20"/>
              </w:rPr>
            </w:pPr>
            <w:r w:rsidRPr="003726BE">
              <w:rPr>
                <w:color w:val="373737" w:themeColor="background1" w:themeShade="40"/>
              </w:rPr>
              <w:t>General public</w:t>
            </w:r>
          </w:p>
        </w:tc>
        <w:tc>
          <w:tcPr>
            <w:tcW w:w="3311" w:type="dxa"/>
            <w:shd w:val="clear" w:color="auto" w:fill="auto"/>
          </w:tcPr>
          <w:p w14:paraId="7E5AEA3B" w14:textId="77777777" w:rsidR="002B2ED6" w:rsidRPr="00CB34A3" w:rsidRDefault="002B2ED6" w:rsidP="004D01B0">
            <w:pPr>
              <w:suppressAutoHyphens/>
              <w:spacing w:before="40" w:after="40" w:line="240" w:lineRule="auto"/>
              <w:jc w:val="left"/>
              <w:rPr>
                <w:rFonts w:cs="Arial"/>
                <w:color w:val="373737" w:themeColor="background1" w:themeShade="40"/>
                <w:szCs w:val="20"/>
                <w:lang w:val="en-GB"/>
              </w:rPr>
            </w:pPr>
            <w:r w:rsidRPr="00CB34A3">
              <w:rPr>
                <w:color w:val="373737" w:themeColor="background1" w:themeShade="40"/>
                <w:lang w:val="en-GB"/>
              </w:rPr>
              <w:t xml:space="preserve">Access to information on RDP results </w:t>
            </w:r>
          </w:p>
        </w:tc>
      </w:tr>
      <w:tr w:rsidR="002B2ED6" w:rsidRPr="00F61F42" w14:paraId="58411AD0" w14:textId="77777777" w:rsidTr="00AA71F1">
        <w:trPr>
          <w:trHeight w:val="401"/>
          <w:jc w:val="center"/>
        </w:trPr>
        <w:tc>
          <w:tcPr>
            <w:tcW w:w="1112" w:type="dxa"/>
            <w:vMerge w:val="restart"/>
            <w:shd w:val="clear" w:color="auto" w:fill="auto"/>
            <w:hideMark/>
          </w:tcPr>
          <w:p w14:paraId="192DBF08" w14:textId="77777777" w:rsidR="002B2ED6" w:rsidRPr="003726BE" w:rsidRDefault="002B2ED6" w:rsidP="004D01B0">
            <w:pPr>
              <w:suppressAutoHyphens/>
              <w:spacing w:before="40" w:after="40" w:line="240" w:lineRule="auto"/>
              <w:jc w:val="left"/>
              <w:rPr>
                <w:rFonts w:cs="Arial"/>
                <w:b/>
                <w:color w:val="373737" w:themeColor="background1" w:themeShade="40"/>
                <w:szCs w:val="20"/>
              </w:rPr>
            </w:pPr>
            <w:r w:rsidRPr="003726BE">
              <w:rPr>
                <w:b/>
                <w:color w:val="373737" w:themeColor="background1" w:themeShade="40"/>
              </w:rPr>
              <w:t>Evaluator</w:t>
            </w:r>
          </w:p>
        </w:tc>
        <w:tc>
          <w:tcPr>
            <w:tcW w:w="2275" w:type="dxa"/>
            <w:shd w:val="clear" w:color="auto" w:fill="auto"/>
          </w:tcPr>
          <w:p w14:paraId="0B065BE5" w14:textId="77777777" w:rsidR="002B2ED6" w:rsidRPr="003726BE" w:rsidRDefault="002B2ED6" w:rsidP="004D01B0">
            <w:pPr>
              <w:suppressAutoHyphens/>
              <w:spacing w:before="40" w:after="40" w:line="240" w:lineRule="auto"/>
              <w:jc w:val="left"/>
              <w:rPr>
                <w:rFonts w:cs="Arial"/>
                <w:color w:val="373737" w:themeColor="background1" w:themeShade="40"/>
                <w:szCs w:val="20"/>
              </w:rPr>
            </w:pPr>
            <w:r w:rsidRPr="003726BE">
              <w:rPr>
                <w:color w:val="373737" w:themeColor="background1" w:themeShade="40"/>
              </w:rPr>
              <w:t>Citizen’s summary</w:t>
            </w:r>
          </w:p>
        </w:tc>
        <w:tc>
          <w:tcPr>
            <w:tcW w:w="1944" w:type="dxa"/>
            <w:shd w:val="clear" w:color="auto" w:fill="auto"/>
          </w:tcPr>
          <w:p w14:paraId="0E0011D6" w14:textId="77777777" w:rsidR="002B2ED6" w:rsidRPr="003726BE" w:rsidRDefault="002B2ED6" w:rsidP="004D01B0">
            <w:pPr>
              <w:suppressAutoHyphens/>
              <w:spacing w:before="40" w:after="40" w:line="240" w:lineRule="auto"/>
              <w:jc w:val="left"/>
              <w:rPr>
                <w:rFonts w:cs="Arial"/>
                <w:color w:val="373737" w:themeColor="background1" w:themeShade="40"/>
                <w:szCs w:val="20"/>
              </w:rPr>
            </w:pPr>
            <w:r w:rsidRPr="003726BE">
              <w:rPr>
                <w:color w:val="373737" w:themeColor="background1" w:themeShade="40"/>
              </w:rPr>
              <w:t xml:space="preserve">MA </w:t>
            </w:r>
          </w:p>
        </w:tc>
        <w:tc>
          <w:tcPr>
            <w:tcW w:w="3311" w:type="dxa"/>
            <w:shd w:val="clear" w:color="auto" w:fill="auto"/>
          </w:tcPr>
          <w:p w14:paraId="33B8EBF6" w14:textId="77777777" w:rsidR="002B2ED6" w:rsidRPr="00CB34A3" w:rsidRDefault="002B2ED6" w:rsidP="004D01B0">
            <w:pPr>
              <w:suppressAutoHyphens/>
              <w:spacing w:before="40" w:after="40" w:line="240" w:lineRule="auto"/>
              <w:jc w:val="left"/>
              <w:rPr>
                <w:rFonts w:cs="Arial"/>
                <w:color w:val="373737" w:themeColor="background1" w:themeShade="40"/>
                <w:szCs w:val="20"/>
                <w:lang w:val="en-GB"/>
              </w:rPr>
            </w:pPr>
            <w:r w:rsidRPr="00CB34A3">
              <w:rPr>
                <w:color w:val="373737" w:themeColor="background1" w:themeShade="40"/>
                <w:lang w:val="en-GB"/>
              </w:rPr>
              <w:t>Concise summary of main results</w:t>
            </w:r>
          </w:p>
        </w:tc>
      </w:tr>
      <w:tr w:rsidR="002B2ED6" w:rsidRPr="00F61F42" w14:paraId="0DDD5AB8" w14:textId="77777777" w:rsidTr="00AA71F1">
        <w:trPr>
          <w:trHeight w:val="577"/>
          <w:jc w:val="center"/>
        </w:trPr>
        <w:tc>
          <w:tcPr>
            <w:tcW w:w="1112" w:type="dxa"/>
            <w:vMerge/>
            <w:shd w:val="clear" w:color="auto" w:fill="auto"/>
          </w:tcPr>
          <w:p w14:paraId="54AE88F9" w14:textId="77777777" w:rsidR="002B2ED6" w:rsidRPr="00CB34A3" w:rsidRDefault="002B2ED6" w:rsidP="004D01B0">
            <w:pPr>
              <w:suppressAutoHyphens/>
              <w:spacing w:before="40" w:after="40" w:line="240" w:lineRule="auto"/>
              <w:jc w:val="left"/>
              <w:rPr>
                <w:rFonts w:cs="Arial"/>
                <w:b/>
                <w:color w:val="373737" w:themeColor="background1" w:themeShade="40"/>
                <w:szCs w:val="20"/>
                <w:lang w:val="en-GB"/>
              </w:rPr>
            </w:pPr>
          </w:p>
        </w:tc>
        <w:tc>
          <w:tcPr>
            <w:tcW w:w="2275" w:type="dxa"/>
            <w:shd w:val="clear" w:color="auto" w:fill="auto"/>
          </w:tcPr>
          <w:p w14:paraId="46C98DBA" w14:textId="77777777" w:rsidR="002B2ED6" w:rsidRPr="003726BE" w:rsidRDefault="002B2ED6" w:rsidP="004D01B0">
            <w:pPr>
              <w:suppressAutoHyphens/>
              <w:spacing w:before="40" w:after="40" w:line="240" w:lineRule="auto"/>
              <w:jc w:val="left"/>
              <w:rPr>
                <w:rFonts w:cs="Arial"/>
                <w:color w:val="373737" w:themeColor="background1" w:themeShade="40"/>
                <w:szCs w:val="20"/>
              </w:rPr>
            </w:pPr>
            <w:r w:rsidRPr="003726BE">
              <w:rPr>
                <w:color w:val="373737" w:themeColor="background1" w:themeShade="40"/>
              </w:rPr>
              <w:t>Presentation</w:t>
            </w:r>
          </w:p>
        </w:tc>
        <w:tc>
          <w:tcPr>
            <w:tcW w:w="1944" w:type="dxa"/>
            <w:shd w:val="clear" w:color="auto" w:fill="auto"/>
          </w:tcPr>
          <w:p w14:paraId="3D4EE72C" w14:textId="77777777" w:rsidR="002B2ED6" w:rsidRPr="003726BE" w:rsidRDefault="002B2ED6" w:rsidP="004D01B0">
            <w:pPr>
              <w:suppressAutoHyphens/>
              <w:spacing w:before="40" w:after="40" w:line="240" w:lineRule="auto"/>
              <w:jc w:val="left"/>
              <w:rPr>
                <w:rFonts w:cs="Arial"/>
                <w:color w:val="373737" w:themeColor="background1" w:themeShade="40"/>
                <w:szCs w:val="20"/>
              </w:rPr>
            </w:pPr>
            <w:r w:rsidRPr="003726BE">
              <w:rPr>
                <w:color w:val="373737" w:themeColor="background1" w:themeShade="40"/>
              </w:rPr>
              <w:t>MC, SG</w:t>
            </w:r>
          </w:p>
        </w:tc>
        <w:tc>
          <w:tcPr>
            <w:tcW w:w="3311" w:type="dxa"/>
            <w:shd w:val="clear" w:color="auto" w:fill="auto"/>
          </w:tcPr>
          <w:p w14:paraId="17074B38" w14:textId="77777777" w:rsidR="002B2ED6" w:rsidRPr="00CB34A3" w:rsidRDefault="002B2ED6" w:rsidP="004D01B0">
            <w:pPr>
              <w:suppressAutoHyphens/>
              <w:spacing w:before="40" w:after="40" w:line="240" w:lineRule="auto"/>
              <w:jc w:val="left"/>
              <w:rPr>
                <w:rFonts w:cs="Arial"/>
                <w:color w:val="373737" w:themeColor="background1" w:themeShade="40"/>
                <w:szCs w:val="20"/>
                <w:lang w:val="en-GB"/>
              </w:rPr>
            </w:pPr>
            <w:r w:rsidRPr="00CB34A3">
              <w:rPr>
                <w:color w:val="373737" w:themeColor="background1" w:themeShade="40"/>
                <w:lang w:val="en-GB"/>
              </w:rPr>
              <w:t xml:space="preserve">Informing the MC &amp; SG, allowing questions </w:t>
            </w:r>
          </w:p>
        </w:tc>
      </w:tr>
      <w:tr w:rsidR="002B2ED6" w:rsidRPr="003726BE" w14:paraId="36CF8E72" w14:textId="77777777" w:rsidTr="00AA71F1">
        <w:trPr>
          <w:trHeight w:val="60"/>
          <w:jc w:val="center"/>
        </w:trPr>
        <w:tc>
          <w:tcPr>
            <w:tcW w:w="1112" w:type="dxa"/>
            <w:vMerge/>
            <w:shd w:val="clear" w:color="auto" w:fill="auto"/>
          </w:tcPr>
          <w:p w14:paraId="7FEE013B" w14:textId="77777777" w:rsidR="002B2ED6" w:rsidRPr="00CB34A3" w:rsidRDefault="002B2ED6" w:rsidP="004D01B0">
            <w:pPr>
              <w:suppressAutoHyphens/>
              <w:spacing w:before="40" w:after="40" w:line="240" w:lineRule="auto"/>
              <w:jc w:val="left"/>
              <w:rPr>
                <w:rFonts w:cs="Arial"/>
                <w:b/>
                <w:color w:val="373737" w:themeColor="background1" w:themeShade="40"/>
                <w:szCs w:val="20"/>
                <w:lang w:val="en-GB"/>
              </w:rPr>
            </w:pPr>
          </w:p>
        </w:tc>
        <w:tc>
          <w:tcPr>
            <w:tcW w:w="2275" w:type="dxa"/>
            <w:shd w:val="clear" w:color="auto" w:fill="auto"/>
          </w:tcPr>
          <w:p w14:paraId="68B24412" w14:textId="77777777" w:rsidR="002B2ED6" w:rsidRPr="00CB34A3" w:rsidRDefault="002B2ED6" w:rsidP="004D01B0">
            <w:pPr>
              <w:suppressAutoHyphens/>
              <w:spacing w:before="40" w:after="40" w:line="240" w:lineRule="auto"/>
              <w:jc w:val="left"/>
              <w:rPr>
                <w:rFonts w:cs="Arial"/>
                <w:color w:val="373737" w:themeColor="background1" w:themeShade="40"/>
                <w:szCs w:val="20"/>
                <w:lang w:val="en-GB"/>
              </w:rPr>
            </w:pPr>
            <w:r w:rsidRPr="00CB34A3">
              <w:rPr>
                <w:color w:val="373737" w:themeColor="background1" w:themeShade="40"/>
                <w:lang w:val="en-GB"/>
              </w:rPr>
              <w:t>Presentation (if requested by the MA)</w:t>
            </w:r>
          </w:p>
        </w:tc>
        <w:tc>
          <w:tcPr>
            <w:tcW w:w="1944" w:type="dxa"/>
            <w:shd w:val="clear" w:color="auto" w:fill="auto"/>
          </w:tcPr>
          <w:p w14:paraId="19EA4853" w14:textId="77777777" w:rsidR="002B2ED6" w:rsidRPr="003726BE" w:rsidRDefault="002B2ED6" w:rsidP="004D01B0">
            <w:pPr>
              <w:suppressAutoHyphens/>
              <w:spacing w:before="40" w:after="40" w:line="240" w:lineRule="auto"/>
              <w:jc w:val="left"/>
              <w:rPr>
                <w:rFonts w:cs="Arial"/>
                <w:color w:val="373737" w:themeColor="background1" w:themeShade="40"/>
                <w:szCs w:val="20"/>
              </w:rPr>
            </w:pPr>
            <w:r w:rsidRPr="003726BE">
              <w:rPr>
                <w:color w:val="373737" w:themeColor="background1" w:themeShade="40"/>
              </w:rPr>
              <w:t>Other stakeholders</w:t>
            </w:r>
          </w:p>
        </w:tc>
        <w:tc>
          <w:tcPr>
            <w:tcW w:w="3311" w:type="dxa"/>
            <w:shd w:val="clear" w:color="auto" w:fill="auto"/>
          </w:tcPr>
          <w:p w14:paraId="4BE54D34" w14:textId="77777777" w:rsidR="002B2ED6" w:rsidRPr="003726BE" w:rsidRDefault="002B2ED6" w:rsidP="004D01B0">
            <w:pPr>
              <w:suppressAutoHyphens/>
              <w:spacing w:before="40" w:after="40" w:line="240" w:lineRule="auto"/>
              <w:jc w:val="left"/>
              <w:rPr>
                <w:rFonts w:cs="Arial"/>
                <w:color w:val="373737" w:themeColor="background1" w:themeShade="40"/>
                <w:szCs w:val="20"/>
              </w:rPr>
            </w:pPr>
            <w:r w:rsidRPr="003726BE">
              <w:rPr>
                <w:color w:val="373737" w:themeColor="background1" w:themeShade="40"/>
              </w:rPr>
              <w:t>Informing stakeholders (e.g. farmers’ organisations, environmental organisations)</w:t>
            </w:r>
          </w:p>
        </w:tc>
      </w:tr>
      <w:tr w:rsidR="002B2ED6" w:rsidRPr="00F61F42" w14:paraId="1202FE37" w14:textId="77777777" w:rsidTr="00AA71F1">
        <w:trPr>
          <w:trHeight w:val="171"/>
          <w:jc w:val="center"/>
        </w:trPr>
        <w:tc>
          <w:tcPr>
            <w:tcW w:w="1112" w:type="dxa"/>
            <w:vMerge/>
            <w:shd w:val="clear" w:color="auto" w:fill="auto"/>
          </w:tcPr>
          <w:p w14:paraId="53987AFD" w14:textId="77777777" w:rsidR="002B2ED6" w:rsidRPr="003726BE" w:rsidRDefault="002B2ED6" w:rsidP="004D01B0">
            <w:pPr>
              <w:suppressAutoHyphens/>
              <w:spacing w:before="40" w:after="40" w:line="240" w:lineRule="auto"/>
              <w:jc w:val="left"/>
              <w:rPr>
                <w:rFonts w:cs="Arial"/>
                <w:b/>
                <w:color w:val="373737" w:themeColor="background1" w:themeShade="40"/>
                <w:szCs w:val="20"/>
              </w:rPr>
            </w:pPr>
          </w:p>
        </w:tc>
        <w:tc>
          <w:tcPr>
            <w:tcW w:w="2275" w:type="dxa"/>
            <w:shd w:val="clear" w:color="auto" w:fill="auto"/>
          </w:tcPr>
          <w:p w14:paraId="1BB31201" w14:textId="77777777" w:rsidR="002B2ED6" w:rsidRPr="00CB34A3" w:rsidRDefault="002B2ED6" w:rsidP="004D01B0">
            <w:pPr>
              <w:suppressAutoHyphens/>
              <w:spacing w:before="40" w:after="40" w:line="240" w:lineRule="auto"/>
              <w:jc w:val="left"/>
              <w:rPr>
                <w:rFonts w:cs="Arial"/>
                <w:color w:val="373737" w:themeColor="background1" w:themeShade="40"/>
                <w:szCs w:val="20"/>
                <w:lang w:val="en-GB"/>
              </w:rPr>
            </w:pPr>
            <w:r w:rsidRPr="00CB34A3">
              <w:rPr>
                <w:color w:val="373737" w:themeColor="background1" w:themeShade="40"/>
                <w:lang w:val="en-GB"/>
              </w:rPr>
              <w:t xml:space="preserve">Presentation in a final conference / workshop </w:t>
            </w:r>
          </w:p>
        </w:tc>
        <w:tc>
          <w:tcPr>
            <w:tcW w:w="1944" w:type="dxa"/>
            <w:shd w:val="clear" w:color="auto" w:fill="auto"/>
          </w:tcPr>
          <w:p w14:paraId="3FC67EE3" w14:textId="77777777" w:rsidR="002B2ED6" w:rsidRPr="003726BE" w:rsidRDefault="002B2ED6" w:rsidP="004D01B0">
            <w:pPr>
              <w:suppressAutoHyphens/>
              <w:spacing w:before="40" w:after="40" w:line="240" w:lineRule="auto"/>
              <w:jc w:val="left"/>
              <w:rPr>
                <w:rFonts w:cs="Arial"/>
                <w:color w:val="373737" w:themeColor="background1" w:themeShade="40"/>
                <w:szCs w:val="20"/>
              </w:rPr>
            </w:pPr>
            <w:r w:rsidRPr="00CB34A3">
              <w:rPr>
                <w:color w:val="373737" w:themeColor="background1" w:themeShade="40"/>
                <w:lang w:val="en-GB"/>
              </w:rPr>
              <w:t xml:space="preserve"> </w:t>
            </w:r>
            <w:r w:rsidRPr="003726BE">
              <w:rPr>
                <w:color w:val="373737" w:themeColor="background1" w:themeShade="40"/>
              </w:rPr>
              <w:t xml:space="preserve">MA, PA, SG, stakeholders, </w:t>
            </w:r>
          </w:p>
        </w:tc>
        <w:tc>
          <w:tcPr>
            <w:tcW w:w="3311" w:type="dxa"/>
            <w:shd w:val="clear" w:color="auto" w:fill="auto"/>
          </w:tcPr>
          <w:p w14:paraId="3CFEB217" w14:textId="77777777" w:rsidR="002B2ED6" w:rsidRPr="00CB34A3" w:rsidRDefault="002B2ED6" w:rsidP="004D01B0">
            <w:pPr>
              <w:suppressAutoHyphens/>
              <w:spacing w:before="40" w:after="40" w:line="240" w:lineRule="auto"/>
              <w:jc w:val="left"/>
              <w:rPr>
                <w:rFonts w:cs="Arial"/>
                <w:color w:val="373737" w:themeColor="background1" w:themeShade="40"/>
                <w:szCs w:val="20"/>
                <w:lang w:val="en-GB"/>
              </w:rPr>
            </w:pPr>
            <w:r w:rsidRPr="00CB34A3">
              <w:rPr>
                <w:color w:val="373737" w:themeColor="background1" w:themeShade="40"/>
                <w:lang w:val="en-GB"/>
              </w:rPr>
              <w:t xml:space="preserve">Summarising main findings, discussing action points, </w:t>
            </w:r>
          </w:p>
        </w:tc>
      </w:tr>
      <w:tr w:rsidR="002B2ED6" w:rsidRPr="00F61F42" w14:paraId="01A09049" w14:textId="77777777" w:rsidTr="00AA71F1">
        <w:trPr>
          <w:trHeight w:val="56"/>
          <w:jc w:val="center"/>
        </w:trPr>
        <w:tc>
          <w:tcPr>
            <w:tcW w:w="1112" w:type="dxa"/>
            <w:vMerge w:val="restart"/>
            <w:shd w:val="clear" w:color="auto" w:fill="auto"/>
          </w:tcPr>
          <w:p w14:paraId="17DF4000" w14:textId="77777777" w:rsidR="002B2ED6" w:rsidRPr="003726BE" w:rsidRDefault="002B2ED6" w:rsidP="004D01B0">
            <w:pPr>
              <w:suppressAutoHyphens/>
              <w:spacing w:before="40" w:after="40" w:line="240" w:lineRule="auto"/>
              <w:jc w:val="left"/>
              <w:rPr>
                <w:rFonts w:cs="Arial"/>
                <w:b/>
                <w:color w:val="373737" w:themeColor="background1" w:themeShade="40"/>
                <w:szCs w:val="20"/>
              </w:rPr>
            </w:pPr>
            <w:r w:rsidRPr="003726BE">
              <w:rPr>
                <w:b/>
                <w:color w:val="373737" w:themeColor="background1" w:themeShade="40"/>
              </w:rPr>
              <w:t>NRN</w:t>
            </w:r>
          </w:p>
        </w:tc>
        <w:tc>
          <w:tcPr>
            <w:tcW w:w="2275" w:type="dxa"/>
            <w:shd w:val="clear" w:color="auto" w:fill="auto"/>
          </w:tcPr>
          <w:p w14:paraId="6AA7066E" w14:textId="77777777" w:rsidR="002B2ED6" w:rsidRPr="00CB34A3" w:rsidRDefault="002B2ED6" w:rsidP="004D01B0">
            <w:pPr>
              <w:suppressAutoHyphens/>
              <w:spacing w:before="40" w:after="40" w:line="240" w:lineRule="auto"/>
              <w:jc w:val="left"/>
              <w:rPr>
                <w:rFonts w:cs="Arial"/>
                <w:color w:val="373737" w:themeColor="background1" w:themeShade="40"/>
                <w:szCs w:val="20"/>
                <w:lang w:val="en-GB"/>
              </w:rPr>
            </w:pPr>
            <w:r w:rsidRPr="00CB34A3">
              <w:rPr>
                <w:color w:val="373737" w:themeColor="background1" w:themeShade="40"/>
                <w:lang w:val="en-GB"/>
              </w:rPr>
              <w:t xml:space="preserve">Articles in their newsletter on the findings, conclusions and recommendations </w:t>
            </w:r>
          </w:p>
        </w:tc>
        <w:tc>
          <w:tcPr>
            <w:tcW w:w="1944" w:type="dxa"/>
            <w:shd w:val="clear" w:color="auto" w:fill="auto"/>
          </w:tcPr>
          <w:p w14:paraId="24AEA046" w14:textId="77777777" w:rsidR="002B2ED6" w:rsidRPr="003726BE" w:rsidRDefault="002B2ED6" w:rsidP="004D01B0">
            <w:pPr>
              <w:suppressAutoHyphens/>
              <w:spacing w:before="40" w:after="40" w:line="240" w:lineRule="auto"/>
              <w:jc w:val="left"/>
              <w:rPr>
                <w:rFonts w:cs="Arial"/>
                <w:color w:val="373737" w:themeColor="background1" w:themeShade="40"/>
                <w:szCs w:val="20"/>
              </w:rPr>
            </w:pPr>
            <w:r w:rsidRPr="003726BE">
              <w:rPr>
                <w:color w:val="373737" w:themeColor="background1" w:themeShade="40"/>
              </w:rPr>
              <w:t>Stakeholders</w:t>
            </w:r>
          </w:p>
        </w:tc>
        <w:tc>
          <w:tcPr>
            <w:tcW w:w="3311" w:type="dxa"/>
            <w:shd w:val="clear" w:color="auto" w:fill="auto"/>
          </w:tcPr>
          <w:p w14:paraId="5A477000" w14:textId="77777777" w:rsidR="002B2ED6" w:rsidRPr="00CB34A3" w:rsidRDefault="002B2ED6" w:rsidP="004D01B0">
            <w:pPr>
              <w:suppressAutoHyphens/>
              <w:spacing w:before="40" w:after="40" w:line="240" w:lineRule="auto"/>
              <w:jc w:val="left"/>
              <w:rPr>
                <w:rFonts w:cs="Arial"/>
                <w:color w:val="373737" w:themeColor="background1" w:themeShade="40"/>
                <w:szCs w:val="20"/>
                <w:lang w:val="en-GB"/>
              </w:rPr>
            </w:pPr>
            <w:r w:rsidRPr="00CB34A3">
              <w:rPr>
                <w:color w:val="373737" w:themeColor="background1" w:themeShade="40"/>
                <w:lang w:val="en-GB"/>
              </w:rPr>
              <w:t>Increase the knowledge about the report and RDP results</w:t>
            </w:r>
          </w:p>
        </w:tc>
      </w:tr>
      <w:tr w:rsidR="002B2ED6" w:rsidRPr="00F61F42" w14:paraId="7CE8FD48" w14:textId="77777777" w:rsidTr="00AA71F1">
        <w:trPr>
          <w:trHeight w:val="56"/>
          <w:jc w:val="center"/>
        </w:trPr>
        <w:tc>
          <w:tcPr>
            <w:tcW w:w="1112" w:type="dxa"/>
            <w:vMerge/>
            <w:shd w:val="clear" w:color="auto" w:fill="auto"/>
          </w:tcPr>
          <w:p w14:paraId="07CC03A9" w14:textId="77777777" w:rsidR="002B2ED6" w:rsidRPr="00CB34A3" w:rsidRDefault="002B2ED6" w:rsidP="004D01B0">
            <w:pPr>
              <w:suppressAutoHyphens/>
              <w:spacing w:before="40" w:after="40" w:line="240" w:lineRule="auto"/>
              <w:jc w:val="left"/>
              <w:rPr>
                <w:rFonts w:cs="Arial"/>
                <w:b/>
                <w:color w:val="373737" w:themeColor="background1" w:themeShade="40"/>
                <w:szCs w:val="20"/>
                <w:lang w:val="en-GB"/>
              </w:rPr>
            </w:pPr>
          </w:p>
        </w:tc>
        <w:tc>
          <w:tcPr>
            <w:tcW w:w="2275" w:type="dxa"/>
            <w:shd w:val="clear" w:color="auto" w:fill="auto"/>
          </w:tcPr>
          <w:p w14:paraId="38B51448" w14:textId="77777777" w:rsidR="002B2ED6" w:rsidRPr="00CB34A3" w:rsidRDefault="00B0598A" w:rsidP="004D01B0">
            <w:pPr>
              <w:suppressAutoHyphens/>
              <w:spacing w:before="40" w:after="40" w:line="240" w:lineRule="auto"/>
              <w:jc w:val="left"/>
              <w:rPr>
                <w:rFonts w:cs="Arial"/>
                <w:color w:val="373737" w:themeColor="background1" w:themeShade="40"/>
                <w:szCs w:val="20"/>
                <w:lang w:val="en-GB"/>
              </w:rPr>
            </w:pPr>
            <w:r w:rsidRPr="00CB34A3">
              <w:rPr>
                <w:color w:val="373737" w:themeColor="background1" w:themeShade="40"/>
                <w:lang w:val="en-GB"/>
              </w:rPr>
              <w:t>Web posts concerning the evaluation report on the website</w:t>
            </w:r>
          </w:p>
        </w:tc>
        <w:tc>
          <w:tcPr>
            <w:tcW w:w="1944" w:type="dxa"/>
            <w:shd w:val="clear" w:color="auto" w:fill="auto"/>
          </w:tcPr>
          <w:p w14:paraId="15D7E1BE" w14:textId="77777777" w:rsidR="002B2ED6" w:rsidRPr="003726BE" w:rsidRDefault="002B2ED6" w:rsidP="004D01B0">
            <w:pPr>
              <w:suppressAutoHyphens/>
              <w:spacing w:before="40" w:after="40" w:line="240" w:lineRule="auto"/>
              <w:jc w:val="left"/>
              <w:rPr>
                <w:rFonts w:cs="Arial"/>
                <w:color w:val="373737" w:themeColor="background1" w:themeShade="40"/>
                <w:szCs w:val="20"/>
              </w:rPr>
            </w:pPr>
            <w:r w:rsidRPr="003726BE">
              <w:rPr>
                <w:color w:val="373737" w:themeColor="background1" w:themeShade="40"/>
              </w:rPr>
              <w:t>General public, stakeholders</w:t>
            </w:r>
          </w:p>
        </w:tc>
        <w:tc>
          <w:tcPr>
            <w:tcW w:w="3311" w:type="dxa"/>
            <w:shd w:val="clear" w:color="auto" w:fill="auto"/>
          </w:tcPr>
          <w:p w14:paraId="15FBEE13" w14:textId="77777777" w:rsidR="002B2ED6" w:rsidRPr="00CB34A3" w:rsidRDefault="002B2ED6" w:rsidP="004D01B0">
            <w:pPr>
              <w:suppressAutoHyphens/>
              <w:spacing w:before="40" w:after="40" w:line="240" w:lineRule="auto"/>
              <w:jc w:val="left"/>
              <w:rPr>
                <w:rFonts w:cs="Arial"/>
                <w:color w:val="373737" w:themeColor="background1" w:themeShade="40"/>
                <w:szCs w:val="20"/>
                <w:lang w:val="en-GB"/>
              </w:rPr>
            </w:pPr>
            <w:r w:rsidRPr="00CB34A3">
              <w:rPr>
                <w:color w:val="373737" w:themeColor="background1" w:themeShade="40"/>
                <w:lang w:val="en-GB"/>
              </w:rPr>
              <w:t>Increase knowledge about the report and RDP results</w:t>
            </w:r>
          </w:p>
        </w:tc>
      </w:tr>
      <w:tr w:rsidR="002B2ED6" w:rsidRPr="00F61F42" w14:paraId="292F3FA6" w14:textId="77777777" w:rsidTr="00AA71F1">
        <w:trPr>
          <w:trHeight w:val="56"/>
          <w:jc w:val="center"/>
        </w:trPr>
        <w:tc>
          <w:tcPr>
            <w:tcW w:w="1112" w:type="dxa"/>
            <w:shd w:val="clear" w:color="auto" w:fill="auto"/>
          </w:tcPr>
          <w:p w14:paraId="11499DB5" w14:textId="77777777" w:rsidR="002B2ED6" w:rsidRPr="003726BE" w:rsidRDefault="002B2ED6" w:rsidP="004D01B0">
            <w:pPr>
              <w:suppressAutoHyphens/>
              <w:spacing w:before="40" w:after="40" w:line="240" w:lineRule="auto"/>
              <w:jc w:val="left"/>
              <w:rPr>
                <w:rFonts w:cs="Arial"/>
                <w:b/>
                <w:color w:val="373737" w:themeColor="background1" w:themeShade="40"/>
                <w:szCs w:val="20"/>
              </w:rPr>
            </w:pPr>
            <w:r w:rsidRPr="003726BE">
              <w:rPr>
                <w:b/>
                <w:color w:val="373737" w:themeColor="background1" w:themeShade="40"/>
              </w:rPr>
              <w:t>LAGs</w:t>
            </w:r>
          </w:p>
        </w:tc>
        <w:tc>
          <w:tcPr>
            <w:tcW w:w="2275" w:type="dxa"/>
            <w:shd w:val="clear" w:color="auto" w:fill="auto"/>
          </w:tcPr>
          <w:p w14:paraId="5033E79E" w14:textId="77777777" w:rsidR="002B2ED6" w:rsidRPr="00CB34A3" w:rsidRDefault="002B2ED6" w:rsidP="004D01B0">
            <w:pPr>
              <w:suppressAutoHyphens/>
              <w:spacing w:before="40" w:after="40" w:line="240" w:lineRule="auto"/>
              <w:jc w:val="left"/>
              <w:rPr>
                <w:rFonts w:cs="Arial"/>
                <w:color w:val="373737" w:themeColor="background1" w:themeShade="40"/>
                <w:szCs w:val="20"/>
                <w:lang w:val="en-GB"/>
              </w:rPr>
            </w:pPr>
            <w:r w:rsidRPr="00CB34A3">
              <w:rPr>
                <w:color w:val="373737" w:themeColor="background1" w:themeShade="40"/>
                <w:lang w:val="en-GB"/>
              </w:rPr>
              <w:t>Articles in their newsletters and others (from a Leader point of view)</w:t>
            </w:r>
          </w:p>
        </w:tc>
        <w:tc>
          <w:tcPr>
            <w:tcW w:w="1944" w:type="dxa"/>
            <w:shd w:val="clear" w:color="auto" w:fill="auto"/>
          </w:tcPr>
          <w:p w14:paraId="72498172" w14:textId="77777777" w:rsidR="002B2ED6" w:rsidRPr="003726BE" w:rsidRDefault="002B2ED6" w:rsidP="004D01B0">
            <w:pPr>
              <w:suppressAutoHyphens/>
              <w:spacing w:before="40" w:after="40" w:line="240" w:lineRule="auto"/>
              <w:jc w:val="left"/>
              <w:rPr>
                <w:rFonts w:cs="Arial"/>
                <w:color w:val="373737" w:themeColor="background1" w:themeShade="40"/>
                <w:szCs w:val="20"/>
              </w:rPr>
            </w:pPr>
            <w:r w:rsidRPr="003726BE">
              <w:rPr>
                <w:color w:val="373737" w:themeColor="background1" w:themeShade="40"/>
              </w:rPr>
              <w:t>Stakeholders</w:t>
            </w:r>
          </w:p>
        </w:tc>
        <w:tc>
          <w:tcPr>
            <w:tcW w:w="3311" w:type="dxa"/>
            <w:shd w:val="clear" w:color="auto" w:fill="auto"/>
          </w:tcPr>
          <w:p w14:paraId="08F7E595" w14:textId="77777777" w:rsidR="002B2ED6" w:rsidRPr="00CB34A3" w:rsidRDefault="002B2ED6" w:rsidP="004D01B0">
            <w:pPr>
              <w:suppressAutoHyphens/>
              <w:spacing w:before="40" w:after="40" w:line="240" w:lineRule="auto"/>
              <w:jc w:val="left"/>
              <w:rPr>
                <w:rFonts w:cs="Arial"/>
                <w:color w:val="373737" w:themeColor="background1" w:themeShade="40"/>
                <w:szCs w:val="20"/>
                <w:lang w:val="en-GB"/>
              </w:rPr>
            </w:pPr>
            <w:r w:rsidRPr="00CB34A3">
              <w:rPr>
                <w:color w:val="373737" w:themeColor="background1" w:themeShade="40"/>
                <w:lang w:val="en-GB"/>
              </w:rPr>
              <w:t>Increase the knowledge about the report and RDP results</w:t>
            </w:r>
          </w:p>
        </w:tc>
      </w:tr>
    </w:tbl>
    <w:p w14:paraId="14A997D4" w14:textId="77777777" w:rsidR="002B2ED6" w:rsidRPr="00CB34A3" w:rsidRDefault="002B2ED6" w:rsidP="009750E9">
      <w:pPr>
        <w:pStyle w:val="HHeading1"/>
        <w:numPr>
          <w:ilvl w:val="0"/>
          <w:numId w:val="0"/>
        </w:numPr>
        <w:rPr>
          <w:caps w:val="0"/>
          <w:lang w:val="en-GB"/>
        </w:rPr>
      </w:pPr>
      <w:bookmarkStart w:id="153" w:name="_Toc447787434"/>
      <w:bookmarkStart w:id="154" w:name="_Toc456012913"/>
      <w:bookmarkStart w:id="155" w:name="_Toc460936132"/>
      <w:bookmarkStart w:id="156" w:name="_Toc474132172"/>
      <w:r w:rsidRPr="00CB34A3">
        <w:rPr>
          <w:caps w:val="0"/>
          <w:lang w:val="en-GB"/>
        </w:rPr>
        <w:lastRenderedPageBreak/>
        <w:t>Annex 7 - Minimum requirements and good practices for the reporting on the evaluation in the AIR</w:t>
      </w:r>
      <w:bookmarkEnd w:id="153"/>
      <w:bookmarkEnd w:id="154"/>
      <w:bookmarkEnd w:id="155"/>
      <w:bookmarkEnd w:id="156"/>
    </w:p>
    <w:p w14:paraId="49324F4C" w14:textId="77777777" w:rsidR="002B2ED6" w:rsidRPr="00CB34A3" w:rsidRDefault="002B2ED6" w:rsidP="004D01B0">
      <w:pPr>
        <w:pStyle w:val="HStandard"/>
        <w:rPr>
          <w:lang w:val="en-GB"/>
        </w:rPr>
      </w:pPr>
      <w:r w:rsidRPr="00CB34A3">
        <w:rPr>
          <w:lang w:val="en-GB"/>
        </w:rPr>
        <w:t xml:space="preserve">Evaluation tasks and reporting requirements on the evaluation in 2017 are described in Part I. Programme authorities need to inform stakeholders on the progress of the implementation of the evaluation plan in each AIR. In the AIRs submitted in 2017 and 2019, additional information on the assessment of programme results and impacts and answers to relevant evaluation questions need to be reported. </w:t>
      </w:r>
    </w:p>
    <w:p w14:paraId="2A18E1B0" w14:textId="77777777" w:rsidR="002B2ED6" w:rsidRPr="00CB34A3" w:rsidRDefault="002B2ED6" w:rsidP="002B2ED6">
      <w:pPr>
        <w:pStyle w:val="HStandard"/>
        <w:rPr>
          <w:rFonts w:cs="Arial"/>
          <w:lang w:val="en-GB"/>
        </w:rPr>
      </w:pPr>
      <w:r w:rsidRPr="00CB34A3">
        <w:rPr>
          <w:lang w:val="en-GB"/>
        </w:rPr>
        <w:t xml:space="preserve">Moreover, programme authorities in Member States may decide to go beyond the minimum reporting requirements and provide more information on evaluation in various AIR sections, as shown below: </w:t>
      </w:r>
    </w:p>
    <w:tbl>
      <w:tblPr>
        <w:tblStyle w:val="TableGrid4"/>
        <w:tblW w:w="8941" w:type="dxa"/>
        <w:jc w:val="center"/>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Layout w:type="fixed"/>
        <w:tblLook w:val="04A0" w:firstRow="1" w:lastRow="0" w:firstColumn="1" w:lastColumn="0" w:noHBand="0" w:noVBand="1"/>
      </w:tblPr>
      <w:tblGrid>
        <w:gridCol w:w="4254"/>
        <w:gridCol w:w="4687"/>
      </w:tblGrid>
      <w:tr w:rsidR="002B2ED6" w:rsidRPr="00F61F42" w14:paraId="2D930DE7" w14:textId="77777777" w:rsidTr="00AA71F1">
        <w:trPr>
          <w:trHeight w:val="810"/>
          <w:tblHeader/>
          <w:jc w:val="center"/>
        </w:trPr>
        <w:tc>
          <w:tcPr>
            <w:tcW w:w="4254" w:type="dxa"/>
            <w:shd w:val="clear" w:color="auto" w:fill="F07E31"/>
          </w:tcPr>
          <w:p w14:paraId="1796F6EE" w14:textId="77777777" w:rsidR="002B2ED6" w:rsidRPr="00CB34A3" w:rsidRDefault="002B2ED6" w:rsidP="00AA71F1">
            <w:pPr>
              <w:suppressAutoHyphens/>
              <w:spacing w:before="40" w:after="40" w:line="240" w:lineRule="auto"/>
              <w:rPr>
                <w:rFonts w:cs="Arial"/>
                <w:b/>
                <w:color w:val="FFFFFF"/>
                <w:szCs w:val="18"/>
                <w:lang w:val="en-GB"/>
              </w:rPr>
            </w:pPr>
            <w:r w:rsidRPr="00CB34A3">
              <w:rPr>
                <w:b/>
                <w:color w:val="FFFFFF"/>
                <w:lang w:val="en-GB"/>
              </w:rPr>
              <w:t xml:space="preserve">Requirements for reporting in relation to evaluation tasks </w:t>
            </w:r>
          </w:p>
        </w:tc>
        <w:tc>
          <w:tcPr>
            <w:tcW w:w="4687" w:type="dxa"/>
            <w:shd w:val="clear" w:color="auto" w:fill="F07E31"/>
          </w:tcPr>
          <w:p w14:paraId="158BC1B6" w14:textId="77777777" w:rsidR="002B2ED6" w:rsidRPr="00CB34A3" w:rsidRDefault="002B2ED6" w:rsidP="00AA71F1">
            <w:pPr>
              <w:suppressAutoHyphens/>
              <w:spacing w:before="40" w:after="40" w:line="240" w:lineRule="auto"/>
              <w:rPr>
                <w:rFonts w:cs="Arial"/>
                <w:b/>
                <w:color w:val="FFFFFF"/>
                <w:szCs w:val="18"/>
                <w:lang w:val="en-GB"/>
              </w:rPr>
            </w:pPr>
            <w:r w:rsidRPr="00CB34A3">
              <w:rPr>
                <w:b/>
                <w:color w:val="FFFFFF"/>
                <w:lang w:val="en-GB"/>
              </w:rPr>
              <w:t>Optional elements to be reported as good practice - examples</w:t>
            </w:r>
          </w:p>
        </w:tc>
      </w:tr>
      <w:tr w:rsidR="002B2ED6" w:rsidRPr="00F61F42" w14:paraId="6467151F" w14:textId="77777777" w:rsidTr="00AA71F1">
        <w:trPr>
          <w:trHeight w:val="675"/>
          <w:jc w:val="center"/>
        </w:trPr>
        <w:tc>
          <w:tcPr>
            <w:tcW w:w="4254" w:type="dxa"/>
            <w:shd w:val="clear" w:color="auto" w:fill="auto"/>
          </w:tcPr>
          <w:p w14:paraId="7D8925E4" w14:textId="77777777" w:rsidR="002B2ED6" w:rsidRPr="003726BE" w:rsidRDefault="002B2ED6" w:rsidP="00AA71F1">
            <w:pPr>
              <w:suppressAutoHyphens/>
              <w:spacing w:before="40" w:after="40" w:line="240" w:lineRule="auto"/>
              <w:rPr>
                <w:rFonts w:cs="Arial"/>
                <w:color w:val="373737" w:themeColor="background1" w:themeShade="40"/>
                <w:szCs w:val="18"/>
              </w:rPr>
            </w:pPr>
            <w:r w:rsidRPr="00CB34A3">
              <w:rPr>
                <w:color w:val="373737" w:themeColor="background1" w:themeShade="40"/>
                <w:lang w:val="en-GB"/>
              </w:rPr>
              <w:t>Report on any issues affecting the performance of the programme and measures taken.</w:t>
            </w:r>
            <w:r w:rsidRPr="003726BE">
              <w:rPr>
                <w:rStyle w:val="FootnoteReference"/>
              </w:rPr>
              <w:footnoteReference w:id="193"/>
            </w:r>
            <w:r w:rsidRPr="00CB34A3">
              <w:rPr>
                <w:color w:val="373737" w:themeColor="background1" w:themeShade="40"/>
                <w:lang w:val="en-GB"/>
              </w:rPr>
              <w:t xml:space="preserve"> </w:t>
            </w:r>
            <w:r w:rsidRPr="003726BE">
              <w:rPr>
                <w:color w:val="373737" w:themeColor="background1" w:themeShade="40"/>
              </w:rPr>
              <w:t>(each AIR).</w:t>
            </w:r>
          </w:p>
        </w:tc>
        <w:tc>
          <w:tcPr>
            <w:tcW w:w="4687" w:type="dxa"/>
            <w:shd w:val="clear" w:color="auto" w:fill="auto"/>
          </w:tcPr>
          <w:p w14:paraId="117F86E7" w14:textId="77777777" w:rsidR="002B2ED6" w:rsidRPr="00CB34A3" w:rsidRDefault="002B2ED6">
            <w:pPr>
              <w:suppressAutoHyphens/>
              <w:spacing w:before="40" w:after="40" w:line="240" w:lineRule="auto"/>
              <w:rPr>
                <w:rFonts w:cs="Arial"/>
                <w:color w:val="373737" w:themeColor="background1" w:themeShade="40"/>
                <w:szCs w:val="18"/>
                <w:lang w:val="en-GB"/>
              </w:rPr>
            </w:pPr>
            <w:r w:rsidRPr="00CB34A3">
              <w:rPr>
                <w:color w:val="373737" w:themeColor="background1" w:themeShade="40"/>
                <w:lang w:val="en-GB"/>
              </w:rPr>
              <w:t>Report on the assessment of the RDP’s delivery mechanisms, as they can influence the programmes´ effectiveness, efficiency, results, and impacts: e.g. assessment of the RDP’s targeting, application of financial instruments, in particular measures, project applications, selections, payment procedures, the role of RDP’s communication to beneficiaries, etc.</w:t>
            </w:r>
          </w:p>
        </w:tc>
      </w:tr>
      <w:tr w:rsidR="002B2ED6" w:rsidRPr="00F61F42" w14:paraId="3C68FB60" w14:textId="77777777" w:rsidTr="00AA71F1">
        <w:trPr>
          <w:trHeight w:val="459"/>
          <w:jc w:val="center"/>
        </w:trPr>
        <w:tc>
          <w:tcPr>
            <w:tcW w:w="4254" w:type="dxa"/>
            <w:shd w:val="clear" w:color="auto" w:fill="auto"/>
          </w:tcPr>
          <w:p w14:paraId="61A231DB" w14:textId="77777777" w:rsidR="002B2ED6" w:rsidRPr="00CB34A3" w:rsidRDefault="002B2ED6" w:rsidP="004D01B0">
            <w:pPr>
              <w:suppressAutoHyphens/>
              <w:spacing w:before="40" w:after="40" w:line="240" w:lineRule="auto"/>
              <w:rPr>
                <w:rFonts w:cs="Arial"/>
                <w:color w:val="373737" w:themeColor="background1" w:themeShade="40"/>
                <w:szCs w:val="18"/>
                <w:lang w:val="en-GB"/>
              </w:rPr>
            </w:pPr>
            <w:r w:rsidRPr="00CB34A3">
              <w:rPr>
                <w:color w:val="373737" w:themeColor="background1" w:themeShade="40"/>
                <w:lang w:val="en-GB"/>
              </w:rPr>
              <w:t>Inform about activities undertaken in relation to and progress in implementing the evaluation plan</w:t>
            </w:r>
            <w:r w:rsidRPr="003726BE">
              <w:rPr>
                <w:rStyle w:val="FootnoteReference"/>
              </w:rPr>
              <w:footnoteReference w:id="194"/>
            </w:r>
            <w:r w:rsidRPr="00CB34A3">
              <w:rPr>
                <w:color w:val="373737" w:themeColor="background1" w:themeShade="40"/>
                <w:lang w:val="en-GB"/>
              </w:rPr>
              <w:t xml:space="preserve"> (each AIR).</w:t>
            </w:r>
          </w:p>
        </w:tc>
        <w:tc>
          <w:tcPr>
            <w:tcW w:w="4687" w:type="dxa"/>
            <w:shd w:val="clear" w:color="auto" w:fill="auto"/>
          </w:tcPr>
          <w:p w14:paraId="265F9878" w14:textId="77777777" w:rsidR="002B2ED6" w:rsidRPr="00CB34A3" w:rsidRDefault="002B2ED6" w:rsidP="00BE40D4">
            <w:pPr>
              <w:suppressAutoHyphens/>
              <w:spacing w:before="40" w:after="40" w:line="240" w:lineRule="auto"/>
              <w:rPr>
                <w:rFonts w:cs="Arial"/>
                <w:color w:val="373737" w:themeColor="background1" w:themeShade="40"/>
                <w:szCs w:val="18"/>
                <w:lang w:val="en-GB"/>
              </w:rPr>
            </w:pPr>
            <w:r w:rsidRPr="00CB34A3">
              <w:rPr>
                <w:color w:val="373737" w:themeColor="background1" w:themeShade="40"/>
                <w:lang w:val="en-GB"/>
              </w:rPr>
              <w:t xml:space="preserve">Report on activities, which were conducted beyond the minimum requirements, e.g. those planned and implemented in line with the internal planning documents for evaluation (e.g. steering group for evaluation, collaboration with evaluation experts, arrangements for data for evaluation beyond compulsory monitoring, etc.). </w:t>
            </w:r>
          </w:p>
        </w:tc>
      </w:tr>
      <w:tr w:rsidR="002B2ED6" w:rsidRPr="00F61F42" w14:paraId="425EB5E7" w14:textId="77777777" w:rsidTr="00AA71F1">
        <w:trPr>
          <w:trHeight w:val="410"/>
          <w:jc w:val="center"/>
        </w:trPr>
        <w:tc>
          <w:tcPr>
            <w:tcW w:w="4254" w:type="dxa"/>
            <w:shd w:val="clear" w:color="auto" w:fill="auto"/>
          </w:tcPr>
          <w:p w14:paraId="22806C2A" w14:textId="77777777" w:rsidR="002B2ED6" w:rsidRPr="00CB34A3" w:rsidRDefault="002B2ED6" w:rsidP="00AA71F1">
            <w:pPr>
              <w:suppressAutoHyphens/>
              <w:spacing w:before="40" w:after="40" w:line="240" w:lineRule="auto"/>
              <w:rPr>
                <w:rFonts w:cs="Arial"/>
                <w:color w:val="373737" w:themeColor="background1" w:themeShade="40"/>
                <w:szCs w:val="18"/>
                <w:lang w:val="en-GB"/>
              </w:rPr>
            </w:pPr>
            <w:r w:rsidRPr="00CB34A3">
              <w:rPr>
                <w:color w:val="373737" w:themeColor="background1" w:themeShade="40"/>
                <w:lang w:val="en-GB"/>
              </w:rPr>
              <w:t>Inform about financial commitments and expenditures by measure</w:t>
            </w:r>
            <w:r w:rsidRPr="003726BE">
              <w:rPr>
                <w:rStyle w:val="FootnoteReference"/>
              </w:rPr>
              <w:footnoteReference w:id="195"/>
            </w:r>
            <w:r w:rsidRPr="00CB34A3">
              <w:rPr>
                <w:color w:val="373737" w:themeColor="background1" w:themeShade="40"/>
                <w:lang w:val="en-GB"/>
              </w:rPr>
              <w:t>(each AIR).</w:t>
            </w:r>
          </w:p>
        </w:tc>
        <w:tc>
          <w:tcPr>
            <w:tcW w:w="4687" w:type="dxa"/>
            <w:shd w:val="clear" w:color="auto" w:fill="auto"/>
          </w:tcPr>
          <w:p w14:paraId="33C25C61" w14:textId="77777777" w:rsidR="002B2ED6" w:rsidRPr="00CB34A3" w:rsidRDefault="002B2ED6" w:rsidP="00BE40D4">
            <w:pPr>
              <w:suppressAutoHyphens/>
              <w:spacing w:before="40" w:after="40" w:line="240" w:lineRule="auto"/>
              <w:rPr>
                <w:rFonts w:cs="Arial"/>
                <w:color w:val="373737" w:themeColor="background1" w:themeShade="40"/>
                <w:szCs w:val="18"/>
                <w:lang w:val="en-GB"/>
              </w:rPr>
            </w:pPr>
            <w:r w:rsidRPr="00CB34A3">
              <w:rPr>
                <w:color w:val="373737" w:themeColor="background1" w:themeShade="40"/>
                <w:lang w:val="en-GB"/>
              </w:rPr>
              <w:t>Provide information on the breakdown of financial commitments and expenditures in a way which helps later to conduct various assessments, for example with respect to the additional contribution (secondary effects), provide information on expected, unexpected, and real contributions to the flagged FA expressed in the financial commitments and expenditures.</w:t>
            </w:r>
          </w:p>
        </w:tc>
      </w:tr>
      <w:tr w:rsidR="002B2ED6" w:rsidRPr="00F61F42" w14:paraId="7D21A2DC" w14:textId="77777777" w:rsidTr="00AA71F1">
        <w:trPr>
          <w:trHeight w:val="440"/>
          <w:jc w:val="center"/>
        </w:trPr>
        <w:tc>
          <w:tcPr>
            <w:tcW w:w="4254" w:type="dxa"/>
            <w:shd w:val="clear" w:color="auto" w:fill="auto"/>
          </w:tcPr>
          <w:p w14:paraId="46752F64" w14:textId="77777777" w:rsidR="002B2ED6" w:rsidRPr="00CB34A3" w:rsidRDefault="002B2ED6" w:rsidP="00AA71F1">
            <w:pPr>
              <w:suppressAutoHyphens/>
              <w:spacing w:before="40" w:after="40" w:line="240" w:lineRule="auto"/>
              <w:rPr>
                <w:rFonts w:cs="Arial"/>
                <w:color w:val="373737" w:themeColor="background1" w:themeShade="40"/>
                <w:szCs w:val="18"/>
                <w:lang w:val="en-GB"/>
              </w:rPr>
            </w:pPr>
            <w:r w:rsidRPr="00CB34A3">
              <w:rPr>
                <w:color w:val="373737" w:themeColor="background1" w:themeShade="40"/>
                <w:lang w:val="en-GB"/>
              </w:rPr>
              <w:t>Report on the financial data, common, and programme specific indicators and quantified target values</w:t>
            </w:r>
            <w:r w:rsidRPr="003726BE">
              <w:rPr>
                <w:rStyle w:val="FootnoteReference"/>
              </w:rPr>
              <w:footnoteReference w:id="196"/>
            </w:r>
            <w:r w:rsidRPr="00CB34A3">
              <w:rPr>
                <w:color w:val="373737" w:themeColor="background1" w:themeShade="40"/>
                <w:lang w:val="en-GB"/>
              </w:rPr>
              <w:t xml:space="preserve"> where appropriate (each AIR).</w:t>
            </w:r>
          </w:p>
        </w:tc>
        <w:tc>
          <w:tcPr>
            <w:tcW w:w="4687" w:type="dxa"/>
            <w:shd w:val="clear" w:color="auto" w:fill="auto"/>
          </w:tcPr>
          <w:p w14:paraId="18A7EC51" w14:textId="77777777" w:rsidR="002B2ED6" w:rsidRPr="00CB34A3" w:rsidRDefault="002B2ED6" w:rsidP="00AA71F1">
            <w:pPr>
              <w:suppressAutoHyphens/>
              <w:spacing w:before="40" w:after="40" w:line="240" w:lineRule="auto"/>
              <w:rPr>
                <w:rFonts w:cs="Arial"/>
                <w:color w:val="373737" w:themeColor="background1" w:themeShade="40"/>
                <w:szCs w:val="18"/>
                <w:lang w:val="en-GB"/>
              </w:rPr>
            </w:pPr>
            <w:r w:rsidRPr="00CB34A3">
              <w:rPr>
                <w:color w:val="373737" w:themeColor="background1" w:themeShade="40"/>
                <w:lang w:val="en-GB"/>
              </w:rPr>
              <w:t xml:space="preserve">Provide information on the approach when and how programme specific indicators have been developed and how the values for all indicators have been calculated. </w:t>
            </w:r>
          </w:p>
        </w:tc>
      </w:tr>
      <w:tr w:rsidR="002B2ED6" w:rsidRPr="00F61F42" w14:paraId="29802D2C" w14:textId="77777777" w:rsidTr="00AA71F1">
        <w:trPr>
          <w:trHeight w:val="56"/>
          <w:jc w:val="center"/>
        </w:trPr>
        <w:tc>
          <w:tcPr>
            <w:tcW w:w="4254" w:type="dxa"/>
            <w:shd w:val="clear" w:color="auto" w:fill="auto"/>
          </w:tcPr>
          <w:p w14:paraId="0E71BE0C" w14:textId="77777777" w:rsidR="002B2ED6" w:rsidRPr="00CB34A3" w:rsidRDefault="002B2ED6" w:rsidP="00AA71F1">
            <w:pPr>
              <w:suppressAutoHyphens/>
              <w:spacing w:before="40" w:after="40" w:line="240" w:lineRule="auto"/>
              <w:rPr>
                <w:rFonts w:cs="Arial"/>
                <w:color w:val="373737" w:themeColor="background1" w:themeShade="40"/>
                <w:szCs w:val="18"/>
                <w:lang w:val="en-GB"/>
              </w:rPr>
            </w:pPr>
            <w:r w:rsidRPr="00CB34A3">
              <w:rPr>
                <w:color w:val="373737" w:themeColor="background1" w:themeShade="40"/>
                <w:lang w:val="en-GB"/>
              </w:rPr>
              <w:t>Inform on the quantification and assessment of programme achievements through common and programme specific result indicators</w:t>
            </w:r>
            <w:r w:rsidRPr="003726BE">
              <w:rPr>
                <w:rStyle w:val="FootnoteReference"/>
              </w:rPr>
              <w:footnoteReference w:id="197"/>
            </w:r>
            <w:r w:rsidRPr="00CB34A3">
              <w:rPr>
                <w:color w:val="373737" w:themeColor="background1" w:themeShade="40"/>
                <w:lang w:val="en-GB"/>
              </w:rPr>
              <w:t>, where appropriate (AIR 2017 and 2019).</w:t>
            </w:r>
          </w:p>
        </w:tc>
        <w:tc>
          <w:tcPr>
            <w:tcW w:w="4687" w:type="dxa"/>
            <w:shd w:val="clear" w:color="auto" w:fill="auto"/>
          </w:tcPr>
          <w:p w14:paraId="3C948A08" w14:textId="77777777" w:rsidR="002B2ED6" w:rsidRPr="00CB34A3" w:rsidRDefault="002B2ED6" w:rsidP="00AA71F1">
            <w:pPr>
              <w:suppressAutoHyphens/>
              <w:spacing w:before="40" w:after="40" w:line="240" w:lineRule="auto"/>
              <w:rPr>
                <w:rFonts w:cs="Arial"/>
                <w:color w:val="373737" w:themeColor="background1" w:themeShade="40"/>
                <w:szCs w:val="18"/>
                <w:lang w:val="en-GB"/>
              </w:rPr>
            </w:pPr>
            <w:r w:rsidRPr="00CB34A3">
              <w:rPr>
                <w:color w:val="373737" w:themeColor="background1" w:themeShade="40"/>
                <w:lang w:val="en-GB"/>
              </w:rPr>
              <w:t>In case of low uptake with respect to financial commitments, conduct and report on studies, which assess the interest of potential beneficiaries to apply for support from the RDP measures and estimate results/achievements of RDP objectives.</w:t>
            </w:r>
          </w:p>
        </w:tc>
      </w:tr>
      <w:tr w:rsidR="002B2ED6" w:rsidRPr="00F61F42" w14:paraId="005DC914" w14:textId="77777777" w:rsidTr="00AA71F1">
        <w:trPr>
          <w:trHeight w:val="425"/>
          <w:jc w:val="center"/>
        </w:trPr>
        <w:tc>
          <w:tcPr>
            <w:tcW w:w="4254" w:type="dxa"/>
            <w:shd w:val="clear" w:color="auto" w:fill="auto"/>
          </w:tcPr>
          <w:p w14:paraId="3551C9C6" w14:textId="77777777" w:rsidR="002B2ED6" w:rsidRPr="00CB34A3" w:rsidRDefault="002B2ED6" w:rsidP="00AA71F1">
            <w:pPr>
              <w:suppressAutoHyphens/>
              <w:spacing w:before="40" w:after="40" w:line="240" w:lineRule="auto"/>
              <w:rPr>
                <w:rFonts w:cs="Arial"/>
                <w:color w:val="373737" w:themeColor="background1" w:themeShade="40"/>
                <w:szCs w:val="18"/>
                <w:lang w:val="en-GB"/>
              </w:rPr>
            </w:pPr>
            <w:r w:rsidRPr="00CB34A3">
              <w:rPr>
                <w:color w:val="373737" w:themeColor="background1" w:themeShade="40"/>
                <w:lang w:val="en-GB"/>
              </w:rPr>
              <w:t>Report on contributions of the financial instruments to the achievement of indicators of the priority of measures concerned</w:t>
            </w:r>
            <w:r w:rsidRPr="003726BE">
              <w:rPr>
                <w:rStyle w:val="FootnoteReference"/>
              </w:rPr>
              <w:footnoteReference w:id="198"/>
            </w:r>
            <w:r w:rsidRPr="00CB34A3">
              <w:rPr>
                <w:color w:val="373737" w:themeColor="background1" w:themeShade="40"/>
                <w:lang w:val="en-GB"/>
              </w:rPr>
              <w:t xml:space="preserve"> (each AIR and more in AIR 2017 and 2019).</w:t>
            </w:r>
          </w:p>
        </w:tc>
        <w:tc>
          <w:tcPr>
            <w:tcW w:w="4687" w:type="dxa"/>
            <w:shd w:val="clear" w:color="auto" w:fill="auto"/>
          </w:tcPr>
          <w:p w14:paraId="1DB69423" w14:textId="77777777" w:rsidR="002B2ED6" w:rsidRPr="00CB34A3" w:rsidRDefault="002B2ED6" w:rsidP="00AA71F1">
            <w:pPr>
              <w:suppressAutoHyphens/>
              <w:spacing w:before="40" w:after="40" w:line="240" w:lineRule="auto"/>
              <w:rPr>
                <w:rFonts w:cs="Arial"/>
                <w:color w:val="373737" w:themeColor="background1" w:themeShade="40"/>
                <w:szCs w:val="18"/>
                <w:lang w:val="en-GB"/>
              </w:rPr>
            </w:pPr>
            <w:r w:rsidRPr="00CB34A3">
              <w:rPr>
                <w:color w:val="373737" w:themeColor="background1" w:themeShade="40"/>
                <w:lang w:val="en-GB"/>
              </w:rPr>
              <w:t xml:space="preserve">Explain why FI are used in the implementation of particular measures in supporting particular beneficiaries and how this might influence the effectiveness and efficiency of the programme. In cases </w:t>
            </w:r>
            <w:r w:rsidRPr="00CB34A3">
              <w:rPr>
                <w:color w:val="373737" w:themeColor="background1" w:themeShade="40"/>
                <w:lang w:val="en-GB"/>
              </w:rPr>
              <w:lastRenderedPageBreak/>
              <w:t>where there is sufficient uptake, one should report on the role of targeting of the RDP support via financial instruments and its effects on the values of the indicators.</w:t>
            </w:r>
          </w:p>
        </w:tc>
      </w:tr>
      <w:tr w:rsidR="002B2ED6" w:rsidRPr="00F61F42" w14:paraId="43DA140A" w14:textId="77777777" w:rsidTr="00AA71F1">
        <w:trPr>
          <w:trHeight w:val="840"/>
          <w:jc w:val="center"/>
        </w:trPr>
        <w:tc>
          <w:tcPr>
            <w:tcW w:w="4254" w:type="dxa"/>
            <w:shd w:val="clear" w:color="auto" w:fill="auto"/>
          </w:tcPr>
          <w:p w14:paraId="28F7A6E2" w14:textId="77777777" w:rsidR="002B2ED6" w:rsidRPr="00CB34A3" w:rsidRDefault="002B2ED6" w:rsidP="008D52DC">
            <w:pPr>
              <w:suppressAutoHyphens/>
              <w:spacing w:before="40" w:after="40" w:line="240" w:lineRule="auto"/>
              <w:rPr>
                <w:rFonts w:cs="Arial"/>
                <w:color w:val="373737" w:themeColor="background1" w:themeShade="40"/>
                <w:szCs w:val="18"/>
                <w:lang w:val="en-GB"/>
              </w:rPr>
            </w:pPr>
            <w:r w:rsidRPr="00CB34A3">
              <w:rPr>
                <w:color w:val="373737" w:themeColor="background1" w:themeShade="40"/>
                <w:lang w:val="en-GB"/>
              </w:rPr>
              <w:lastRenderedPageBreak/>
              <w:t>Assess the potential additional contributions of operations to one or more focus areas (secondary effects)</w:t>
            </w:r>
            <w:r w:rsidRPr="003726BE">
              <w:rPr>
                <w:rStyle w:val="FootnoteReference"/>
              </w:rPr>
              <w:footnoteReference w:id="199"/>
            </w:r>
            <w:r w:rsidRPr="00CB34A3">
              <w:rPr>
                <w:color w:val="373737" w:themeColor="background1" w:themeShade="40"/>
                <w:lang w:val="en-GB"/>
              </w:rPr>
              <w:t xml:space="preserve"> (AIR 2017 and 2019)</w:t>
            </w:r>
          </w:p>
        </w:tc>
        <w:tc>
          <w:tcPr>
            <w:tcW w:w="4687" w:type="dxa"/>
            <w:shd w:val="clear" w:color="auto" w:fill="auto"/>
          </w:tcPr>
          <w:p w14:paraId="3FCA02CC" w14:textId="77777777" w:rsidR="002B2ED6" w:rsidRPr="00CB34A3" w:rsidRDefault="002B2ED6">
            <w:pPr>
              <w:suppressAutoHyphens/>
              <w:spacing w:before="40" w:after="40" w:line="240" w:lineRule="auto"/>
              <w:rPr>
                <w:rFonts w:cs="Arial"/>
                <w:color w:val="373737" w:themeColor="background1" w:themeShade="40"/>
                <w:szCs w:val="18"/>
                <w:lang w:val="en-GB"/>
              </w:rPr>
            </w:pPr>
            <w:r w:rsidRPr="00CB34A3">
              <w:rPr>
                <w:color w:val="373737" w:themeColor="background1" w:themeShade="40"/>
                <w:lang w:val="en-GB"/>
              </w:rPr>
              <w:t>If there is sufficient RDP uptake report on the actual and additional contributions of the measures to the FAs, under which they have not been programmed, based on the collected information via payment requests and/or surveys and compare it with those expected during the programme design.</w:t>
            </w:r>
          </w:p>
        </w:tc>
      </w:tr>
      <w:tr w:rsidR="002B2ED6" w:rsidRPr="00F61F42" w14:paraId="2E1FF0E3" w14:textId="77777777" w:rsidTr="00AA71F1">
        <w:trPr>
          <w:trHeight w:val="1414"/>
          <w:jc w:val="center"/>
        </w:trPr>
        <w:tc>
          <w:tcPr>
            <w:tcW w:w="4254" w:type="dxa"/>
            <w:shd w:val="clear" w:color="auto" w:fill="auto"/>
          </w:tcPr>
          <w:p w14:paraId="203FABDC" w14:textId="77777777" w:rsidR="002B2ED6" w:rsidRPr="00CB34A3" w:rsidRDefault="000A7130" w:rsidP="00AA71F1">
            <w:pPr>
              <w:suppressAutoHyphens/>
              <w:spacing w:before="40" w:after="40" w:line="240" w:lineRule="auto"/>
              <w:rPr>
                <w:rFonts w:cs="Arial"/>
                <w:color w:val="373737" w:themeColor="background1" w:themeShade="40"/>
                <w:szCs w:val="18"/>
                <w:lang w:val="en-GB"/>
              </w:rPr>
            </w:pPr>
            <w:r w:rsidRPr="00CB34A3">
              <w:rPr>
                <w:color w:val="373737" w:themeColor="background1" w:themeShade="40"/>
                <w:lang w:val="en-GB"/>
              </w:rPr>
              <w:t>Summarise the findings from the evaluations of the programme, available during the previous financial year</w:t>
            </w:r>
            <w:r w:rsidRPr="003726BE">
              <w:rPr>
                <w:rStyle w:val="FootnoteReference"/>
              </w:rPr>
              <w:footnoteReference w:id="200"/>
            </w:r>
            <w:r w:rsidRPr="00CB34A3">
              <w:rPr>
                <w:color w:val="373737" w:themeColor="background1" w:themeShade="40"/>
                <w:lang w:val="en-GB"/>
              </w:rPr>
              <w:t>, (each AIR)</w:t>
            </w:r>
          </w:p>
        </w:tc>
        <w:tc>
          <w:tcPr>
            <w:tcW w:w="4687" w:type="dxa"/>
            <w:shd w:val="clear" w:color="auto" w:fill="auto"/>
          </w:tcPr>
          <w:p w14:paraId="45B0E3CC" w14:textId="77777777" w:rsidR="002B2ED6" w:rsidRPr="00CB34A3" w:rsidRDefault="002B2ED6" w:rsidP="00AA71F1">
            <w:pPr>
              <w:suppressAutoHyphens/>
              <w:spacing w:before="40" w:after="40" w:line="240" w:lineRule="auto"/>
              <w:rPr>
                <w:rFonts w:cs="Arial"/>
                <w:color w:val="373737" w:themeColor="background1" w:themeShade="40"/>
                <w:szCs w:val="18"/>
                <w:lang w:val="en-GB"/>
              </w:rPr>
            </w:pPr>
            <w:r w:rsidRPr="00CB34A3">
              <w:rPr>
                <w:color w:val="373737" w:themeColor="background1" w:themeShade="40"/>
                <w:lang w:val="en-GB"/>
              </w:rPr>
              <w:t>Report on evaluations or scientific studies, which have not been conducted in relation to the RDP and ordered by the MA, but provide important findings with respect to the evaluation topics envisioned in the evaluation plan or with respect to the RDP’s objectives. For example, studies conducted by research institutes and academia, and various NGOs or government agencies.</w:t>
            </w:r>
          </w:p>
        </w:tc>
      </w:tr>
      <w:tr w:rsidR="002B2ED6" w:rsidRPr="00F61F42" w14:paraId="7DD5C80F" w14:textId="77777777" w:rsidTr="00AA71F1">
        <w:trPr>
          <w:trHeight w:val="995"/>
          <w:jc w:val="center"/>
        </w:trPr>
        <w:tc>
          <w:tcPr>
            <w:tcW w:w="4254" w:type="dxa"/>
            <w:shd w:val="clear" w:color="auto" w:fill="auto"/>
          </w:tcPr>
          <w:p w14:paraId="1A68FDE6" w14:textId="77777777" w:rsidR="002B2ED6" w:rsidRPr="00CB34A3" w:rsidRDefault="002B2ED6" w:rsidP="00AA71F1">
            <w:pPr>
              <w:suppressAutoHyphens/>
              <w:spacing w:before="40" w:after="40" w:line="240" w:lineRule="auto"/>
              <w:rPr>
                <w:rFonts w:cs="Arial"/>
                <w:color w:val="373737" w:themeColor="background1" w:themeShade="40"/>
                <w:szCs w:val="18"/>
                <w:lang w:val="en-GB"/>
              </w:rPr>
            </w:pPr>
            <w:r w:rsidRPr="00CB34A3">
              <w:rPr>
                <w:color w:val="373737" w:themeColor="background1" w:themeShade="40"/>
                <w:lang w:val="en-GB"/>
              </w:rPr>
              <w:t>Assess the information and progress made towards achieving the objectives of the programme</w:t>
            </w:r>
            <w:r w:rsidRPr="003726BE">
              <w:rPr>
                <w:rStyle w:val="FootnoteReference"/>
              </w:rPr>
              <w:footnoteReference w:id="201"/>
            </w:r>
            <w:r w:rsidRPr="00CB34A3">
              <w:rPr>
                <w:color w:val="373737" w:themeColor="background1" w:themeShade="40"/>
                <w:lang w:val="en-GB"/>
              </w:rPr>
              <w:t>, and answer relevant (focus area related) evaluation questions</w:t>
            </w:r>
            <w:r w:rsidRPr="003726BE">
              <w:rPr>
                <w:rStyle w:val="FootnoteReference"/>
              </w:rPr>
              <w:footnoteReference w:id="202"/>
            </w:r>
            <w:r w:rsidRPr="00CB34A3">
              <w:rPr>
                <w:color w:val="373737" w:themeColor="background1" w:themeShade="40"/>
                <w:lang w:val="en-GB"/>
              </w:rPr>
              <w:t xml:space="preserve"> (AIR 2017 and 2019)</w:t>
            </w:r>
          </w:p>
        </w:tc>
        <w:tc>
          <w:tcPr>
            <w:tcW w:w="4687" w:type="dxa"/>
            <w:shd w:val="clear" w:color="auto" w:fill="auto"/>
          </w:tcPr>
          <w:p w14:paraId="48E11454" w14:textId="77777777" w:rsidR="002B2ED6" w:rsidRPr="00CB34A3" w:rsidRDefault="002B2ED6" w:rsidP="00AA71F1">
            <w:pPr>
              <w:suppressAutoHyphens/>
              <w:spacing w:before="40" w:after="40" w:line="240" w:lineRule="auto"/>
              <w:rPr>
                <w:rFonts w:cs="Arial"/>
                <w:color w:val="373737" w:themeColor="background1" w:themeShade="40"/>
                <w:szCs w:val="18"/>
                <w:lang w:val="en-GB"/>
              </w:rPr>
            </w:pPr>
            <w:r w:rsidRPr="00CB34A3">
              <w:rPr>
                <w:color w:val="373737" w:themeColor="background1" w:themeShade="40"/>
                <w:lang w:val="en-GB"/>
              </w:rPr>
              <w:t>Provide information on how one ensured that the answers to the evaluation equations are based on the robust quantitative and qualitative evidence, e.g. in the format of a table from the evaluation question to the collection of data and information.</w:t>
            </w:r>
          </w:p>
        </w:tc>
      </w:tr>
      <w:tr w:rsidR="002B2ED6" w:rsidRPr="00F61F42" w14:paraId="0EAB1E94" w14:textId="77777777" w:rsidTr="00AA71F1">
        <w:trPr>
          <w:trHeight w:val="810"/>
          <w:jc w:val="center"/>
        </w:trPr>
        <w:tc>
          <w:tcPr>
            <w:tcW w:w="4254" w:type="dxa"/>
            <w:shd w:val="clear" w:color="auto" w:fill="auto"/>
          </w:tcPr>
          <w:p w14:paraId="0D68D6B9" w14:textId="77777777" w:rsidR="002B2ED6" w:rsidRPr="00CB34A3" w:rsidRDefault="002B2ED6" w:rsidP="00BE40D4">
            <w:pPr>
              <w:suppressAutoHyphens/>
              <w:spacing w:before="40" w:after="40" w:line="240" w:lineRule="auto"/>
              <w:rPr>
                <w:rFonts w:cs="Arial"/>
                <w:color w:val="373737" w:themeColor="background1" w:themeShade="40"/>
                <w:szCs w:val="18"/>
                <w:lang w:val="en-GB"/>
              </w:rPr>
            </w:pPr>
            <w:r w:rsidRPr="00CB34A3">
              <w:rPr>
                <w:color w:val="373737" w:themeColor="background1" w:themeShade="40"/>
                <w:lang w:val="en-GB"/>
              </w:rPr>
              <w:t>Assess actions taken to ensure that objectives and implementation of the EAFRD is in line with the principles set out in Articles 6,7 and 8 of Regulation (EU) No 1303/2013</w:t>
            </w:r>
            <w:r w:rsidRPr="003726BE">
              <w:rPr>
                <w:rStyle w:val="FootnoteReference"/>
              </w:rPr>
              <w:footnoteReference w:id="203"/>
            </w:r>
            <w:r w:rsidRPr="00CB34A3">
              <w:rPr>
                <w:color w:val="373737" w:themeColor="background1" w:themeShade="40"/>
                <w:lang w:val="en-GB"/>
              </w:rPr>
              <w:t xml:space="preserve"> (AIR 2017 and 2019)</w:t>
            </w:r>
          </w:p>
        </w:tc>
        <w:tc>
          <w:tcPr>
            <w:tcW w:w="4687" w:type="dxa"/>
            <w:shd w:val="clear" w:color="auto" w:fill="auto"/>
          </w:tcPr>
          <w:p w14:paraId="0A0220A5" w14:textId="77777777" w:rsidR="002B2ED6" w:rsidRPr="00CB34A3" w:rsidRDefault="002B2ED6" w:rsidP="00AA71F1">
            <w:pPr>
              <w:suppressAutoHyphens/>
              <w:spacing w:before="40" w:after="40" w:line="240" w:lineRule="auto"/>
              <w:rPr>
                <w:rFonts w:cs="Arial"/>
                <w:color w:val="373737" w:themeColor="background1" w:themeShade="40"/>
                <w:szCs w:val="18"/>
                <w:lang w:val="en-GB"/>
              </w:rPr>
            </w:pPr>
            <w:r w:rsidRPr="00CB34A3">
              <w:rPr>
                <w:color w:val="373737" w:themeColor="background1" w:themeShade="40"/>
                <w:lang w:val="en-GB"/>
              </w:rPr>
              <w:t xml:space="preserve">Explain the approach to assess the gender equality/non-discrimination, the sustainable development, and the role of partners in the RDP implementation, including necessary arrangements with respect to data collection and the findings of the assessments. </w:t>
            </w:r>
          </w:p>
        </w:tc>
      </w:tr>
      <w:tr w:rsidR="002B2ED6" w:rsidRPr="00F61F42" w14:paraId="4874D520" w14:textId="77777777" w:rsidTr="00AA71F1">
        <w:trPr>
          <w:trHeight w:val="449"/>
          <w:jc w:val="center"/>
        </w:trPr>
        <w:tc>
          <w:tcPr>
            <w:tcW w:w="4254" w:type="dxa"/>
            <w:shd w:val="clear" w:color="auto" w:fill="auto"/>
          </w:tcPr>
          <w:p w14:paraId="55C0D5ED" w14:textId="77777777" w:rsidR="002B2ED6" w:rsidRPr="00CB34A3" w:rsidRDefault="00936C54" w:rsidP="004D01B0">
            <w:pPr>
              <w:suppressAutoHyphens/>
              <w:spacing w:before="40" w:after="40" w:line="240" w:lineRule="auto"/>
              <w:rPr>
                <w:rFonts w:cs="Arial"/>
                <w:color w:val="373737" w:themeColor="background1" w:themeShade="40"/>
                <w:szCs w:val="18"/>
                <w:lang w:val="en-GB"/>
              </w:rPr>
            </w:pPr>
            <w:r w:rsidRPr="00CB34A3">
              <w:rPr>
                <w:color w:val="373737" w:themeColor="background1" w:themeShade="40"/>
                <w:lang w:val="en-GB"/>
              </w:rPr>
              <w:t>Communicate the progress made in the implementation of the sub-programmes (including common and programme specific indicators) and the progress achieved in relation to targets set in the indicator plan</w:t>
            </w:r>
            <w:r w:rsidRPr="003726BE">
              <w:rPr>
                <w:rStyle w:val="FootnoteReference"/>
              </w:rPr>
              <w:footnoteReference w:id="204"/>
            </w:r>
            <w:r w:rsidRPr="00CB34A3">
              <w:rPr>
                <w:color w:val="373737" w:themeColor="background1" w:themeShade="40"/>
                <w:lang w:val="en-GB"/>
              </w:rPr>
              <w:t xml:space="preserve"> (AIR 2017 and 2019).</w:t>
            </w:r>
          </w:p>
        </w:tc>
        <w:tc>
          <w:tcPr>
            <w:tcW w:w="4687" w:type="dxa"/>
            <w:shd w:val="clear" w:color="auto" w:fill="auto"/>
          </w:tcPr>
          <w:p w14:paraId="61DBCDD8" w14:textId="77777777" w:rsidR="002B2ED6" w:rsidRPr="00CB34A3" w:rsidRDefault="002B2ED6" w:rsidP="00AA71F1">
            <w:pPr>
              <w:suppressAutoHyphens/>
              <w:spacing w:before="40" w:after="40" w:line="240" w:lineRule="auto"/>
              <w:rPr>
                <w:rFonts w:cs="Arial"/>
                <w:color w:val="373737" w:themeColor="background1" w:themeShade="40"/>
                <w:szCs w:val="18"/>
                <w:lang w:val="en-GB"/>
              </w:rPr>
            </w:pPr>
            <w:r w:rsidRPr="00CB34A3">
              <w:rPr>
                <w:color w:val="373737" w:themeColor="background1" w:themeShade="40"/>
                <w:lang w:val="en-GB"/>
              </w:rPr>
              <w:t>If sub-programmes are part of the RDP, explain how the values of the indicators have been calculated.</w:t>
            </w:r>
          </w:p>
        </w:tc>
      </w:tr>
    </w:tbl>
    <w:p w14:paraId="4520F78E" w14:textId="77777777" w:rsidR="002B2ED6" w:rsidRPr="00CB34A3" w:rsidRDefault="002B2ED6" w:rsidP="009750E9">
      <w:pPr>
        <w:pStyle w:val="HHeading1"/>
        <w:numPr>
          <w:ilvl w:val="0"/>
          <w:numId w:val="0"/>
        </w:numPr>
        <w:rPr>
          <w:caps w:val="0"/>
          <w:lang w:val="en-GB"/>
        </w:rPr>
      </w:pPr>
      <w:bookmarkStart w:id="157" w:name="_Toc447787435"/>
      <w:bookmarkStart w:id="158" w:name="_Toc456012914"/>
      <w:bookmarkStart w:id="159" w:name="_Toc460936133"/>
      <w:bookmarkStart w:id="160" w:name="_Toc474132173"/>
      <w:r w:rsidRPr="00CB34A3">
        <w:rPr>
          <w:caps w:val="0"/>
          <w:lang w:val="en-GB"/>
        </w:rPr>
        <w:lastRenderedPageBreak/>
        <w:t>Annex 8 - Timing for preparing and implementing the system to answer the CEQ and answering CEQ</w:t>
      </w:r>
      <w:bookmarkEnd w:id="157"/>
      <w:bookmarkEnd w:id="158"/>
      <w:r w:rsidRPr="00CB34A3">
        <w:rPr>
          <w:caps w:val="0"/>
          <w:lang w:val="en-GB"/>
        </w:rPr>
        <w:t>s</w:t>
      </w:r>
      <w:bookmarkEnd w:id="159"/>
      <w:bookmarkEnd w:id="160"/>
    </w:p>
    <w:p w14:paraId="1CC5CEA4" w14:textId="77777777" w:rsidR="002B2ED6" w:rsidRPr="00CB34A3" w:rsidRDefault="002B2ED6" w:rsidP="004D01B0">
      <w:pPr>
        <w:pStyle w:val="H-Standard"/>
        <w:rPr>
          <w:lang w:val="en-GB"/>
        </w:rPr>
      </w:pPr>
      <w:r w:rsidRPr="00CB34A3">
        <w:rPr>
          <w:lang w:val="en-GB"/>
        </w:rPr>
        <w:t>There are three different types of common evaluation questions:</w:t>
      </w:r>
    </w:p>
    <w:p w14:paraId="6B952B10" w14:textId="77777777" w:rsidR="004D01B0" w:rsidRPr="00CB34A3" w:rsidRDefault="002B2ED6" w:rsidP="001A31FB">
      <w:pPr>
        <w:pStyle w:val="Hlistabc"/>
        <w:numPr>
          <w:ilvl w:val="3"/>
          <w:numId w:val="44"/>
        </w:numPr>
        <w:tabs>
          <w:tab w:val="clear" w:pos="567"/>
        </w:tabs>
        <w:ind w:left="567" w:hanging="567"/>
        <w:rPr>
          <w:lang w:val="en-GB"/>
        </w:rPr>
      </w:pPr>
      <w:r w:rsidRPr="00CB34A3">
        <w:rPr>
          <w:lang w:val="en-GB"/>
        </w:rPr>
        <w:t>CEQs related to the RD focus area (1-18)</w:t>
      </w:r>
    </w:p>
    <w:p w14:paraId="54A1FB93" w14:textId="77777777" w:rsidR="004D01B0" w:rsidRPr="00CB34A3" w:rsidRDefault="002B2ED6" w:rsidP="001A31FB">
      <w:pPr>
        <w:pStyle w:val="Hlistabc"/>
        <w:numPr>
          <w:ilvl w:val="3"/>
          <w:numId w:val="44"/>
        </w:numPr>
        <w:tabs>
          <w:tab w:val="clear" w:pos="567"/>
        </w:tabs>
        <w:ind w:left="567" w:hanging="567"/>
        <w:rPr>
          <w:lang w:val="en-GB"/>
        </w:rPr>
      </w:pPr>
      <w:r w:rsidRPr="00CB34A3">
        <w:rPr>
          <w:lang w:val="en-GB"/>
        </w:rPr>
        <w:t>CEQs related to other aspects of the RDP: operation performance/programme synergies, TA and NRN (19-201)</w:t>
      </w:r>
    </w:p>
    <w:p w14:paraId="653D0C7E" w14:textId="77777777" w:rsidR="002B2ED6" w:rsidRPr="00CB34A3" w:rsidRDefault="002B2ED6" w:rsidP="001A31FB">
      <w:pPr>
        <w:pStyle w:val="Hlistabc"/>
        <w:numPr>
          <w:ilvl w:val="3"/>
          <w:numId w:val="44"/>
        </w:numPr>
        <w:tabs>
          <w:tab w:val="clear" w:pos="567"/>
        </w:tabs>
        <w:ind w:left="567" w:hanging="567"/>
        <w:rPr>
          <w:lang w:val="en-GB"/>
        </w:rPr>
      </w:pPr>
      <w:r w:rsidRPr="00CB34A3">
        <w:rPr>
          <w:lang w:val="en-GB"/>
        </w:rPr>
        <w:t>CEQs related to EU level objectives.</w:t>
      </w:r>
    </w:p>
    <w:p w14:paraId="721532A9" w14:textId="77777777" w:rsidR="002B2ED6" w:rsidRPr="00CB34A3" w:rsidRDefault="002B2ED6" w:rsidP="002B2ED6">
      <w:pPr>
        <w:pStyle w:val="HStandard"/>
        <w:rPr>
          <w:rFonts w:eastAsiaTheme="majorEastAsia" w:cs="Arial"/>
          <w:lang w:val="en-GB"/>
        </w:rPr>
      </w:pPr>
      <w:r w:rsidRPr="00CB34A3">
        <w:rPr>
          <w:lang w:val="en-GB"/>
        </w:rPr>
        <w:t xml:space="preserve">Although in the AIR submitted in 2017 only the CEQs related to the RD focus areas and other RDP aspects have to be answered, it is important to prepare the system for answering all evaluation questions prior to the programme implementation´s start. </w:t>
      </w:r>
      <w:r w:rsidRPr="00CB34A3">
        <w:rPr>
          <w:rFonts w:eastAsiaTheme="majorEastAsia"/>
          <w:lang w:val="en-GB"/>
        </w:rPr>
        <w:t xml:space="preserve">The table below illustrates at what point in time the three different types of CEQs need to be prepared, structured, observed, analysed and judged.  </w:t>
      </w:r>
    </w:p>
    <w:p w14:paraId="32456506" w14:textId="77777777" w:rsidR="002B2ED6" w:rsidRPr="00CB34A3" w:rsidRDefault="002B2ED6" w:rsidP="002B2ED6">
      <w:pPr>
        <w:pStyle w:val="H-Heading2"/>
        <w:ind w:left="792" w:hanging="432"/>
        <w:rPr>
          <w:rFonts w:ascii="Arial" w:eastAsiaTheme="majorEastAsia" w:hAnsi="Arial" w:cs="Arial"/>
          <w:lang w:val="en-GB"/>
        </w:rPr>
        <w:sectPr w:rsidR="002B2ED6" w:rsidRPr="00CB34A3" w:rsidSect="00FE5DEE">
          <w:pgSz w:w="11907" w:h="16840" w:code="9"/>
          <w:pgMar w:top="1418" w:right="1418" w:bottom="1418" w:left="1418" w:header="737" w:footer="709" w:gutter="0"/>
          <w:cols w:space="708"/>
          <w:titlePg/>
          <w:docGrid w:linePitch="360"/>
        </w:sectPr>
      </w:pPr>
    </w:p>
    <w:p w14:paraId="2B4152C0" w14:textId="77777777" w:rsidR="002B2ED6" w:rsidRPr="00CB34A3" w:rsidRDefault="002B2ED6" w:rsidP="008D52DC">
      <w:pPr>
        <w:pStyle w:val="HHeadingtables"/>
        <w:rPr>
          <w:lang w:val="en-GB"/>
        </w:rPr>
      </w:pPr>
      <w:bookmarkStart w:id="161" w:name="_Toc460936144"/>
      <w:bookmarkStart w:id="162" w:name="_Toc474132634"/>
      <w:r w:rsidRPr="00CB34A3">
        <w:rPr>
          <w:lang w:val="en-GB"/>
        </w:rPr>
        <w:lastRenderedPageBreak/>
        <w:t>Timing for preparing and implementing the system to answer the CEQ, and answering CEQ</w:t>
      </w:r>
      <w:bookmarkEnd w:id="161"/>
      <w:bookmarkEnd w:id="162"/>
    </w:p>
    <w:tbl>
      <w:tblPr>
        <w:tblStyle w:val="Mriekatabuky2"/>
        <w:tblW w:w="14742" w:type="dxa"/>
        <w:jc w:val="center"/>
        <w:tblLook w:val="04A0" w:firstRow="1" w:lastRow="0" w:firstColumn="1" w:lastColumn="0" w:noHBand="0" w:noVBand="1"/>
      </w:tblPr>
      <w:tblGrid>
        <w:gridCol w:w="593"/>
        <w:gridCol w:w="1495"/>
        <w:gridCol w:w="1265"/>
        <w:gridCol w:w="1265"/>
        <w:gridCol w:w="1266"/>
        <w:gridCol w:w="1265"/>
        <w:gridCol w:w="1266"/>
        <w:gridCol w:w="1265"/>
        <w:gridCol w:w="1265"/>
        <w:gridCol w:w="1266"/>
        <w:gridCol w:w="1265"/>
        <w:gridCol w:w="1266"/>
      </w:tblGrid>
      <w:tr w:rsidR="002B2ED6" w:rsidRPr="003726BE" w14:paraId="7D70C6C7" w14:textId="77777777" w:rsidTr="00AA71F1">
        <w:trPr>
          <w:trHeight w:val="225"/>
          <w:jc w:val="center"/>
        </w:trPr>
        <w:tc>
          <w:tcPr>
            <w:tcW w:w="1980" w:type="dxa"/>
            <w:gridSpan w:val="2"/>
            <w:vMerge w:val="restart"/>
            <w:tcBorders>
              <w:top w:val="single" w:sz="4" w:space="0" w:color="FFFFFF"/>
              <w:left w:val="single" w:sz="4" w:space="0" w:color="FFFFFF"/>
              <w:bottom w:val="single" w:sz="4" w:space="0" w:color="FFFFFF"/>
              <w:right w:val="nil"/>
            </w:tcBorders>
            <w:shd w:val="clear" w:color="auto" w:fill="54638E"/>
          </w:tcPr>
          <w:p w14:paraId="041052BD" w14:textId="77777777" w:rsidR="002B2ED6" w:rsidRPr="003726BE" w:rsidRDefault="002B2ED6" w:rsidP="00AA71F1">
            <w:pPr>
              <w:suppressAutoHyphens/>
              <w:spacing w:before="40" w:after="40" w:line="240" w:lineRule="auto"/>
              <w:rPr>
                <w:rFonts w:cs="Arial"/>
                <w:b/>
                <w:color w:val="FFFFFF"/>
                <w:szCs w:val="18"/>
              </w:rPr>
            </w:pPr>
            <w:r w:rsidRPr="003726BE">
              <w:rPr>
                <w:b/>
                <w:color w:val="FFFFFF"/>
              </w:rPr>
              <w:t>Evaluation process</w:t>
            </w:r>
          </w:p>
        </w:tc>
        <w:tc>
          <w:tcPr>
            <w:tcW w:w="12014" w:type="dxa"/>
            <w:gridSpan w:val="10"/>
            <w:tcBorders>
              <w:top w:val="single" w:sz="4" w:space="0" w:color="FFFFFF"/>
              <w:left w:val="nil"/>
              <w:bottom w:val="single" w:sz="4" w:space="0" w:color="FFFFFF"/>
              <w:right w:val="single" w:sz="4" w:space="0" w:color="FFFFFF"/>
            </w:tcBorders>
            <w:shd w:val="clear" w:color="auto" w:fill="57825E"/>
          </w:tcPr>
          <w:p w14:paraId="0142DEFA" w14:textId="77777777" w:rsidR="002B2ED6" w:rsidRPr="003726BE" w:rsidRDefault="002B2ED6" w:rsidP="00AA71F1">
            <w:pPr>
              <w:suppressAutoHyphens/>
              <w:spacing w:before="40" w:after="40" w:line="240" w:lineRule="auto"/>
              <w:rPr>
                <w:rFonts w:cs="Arial"/>
                <w:b/>
                <w:color w:val="FFFFFF"/>
                <w:szCs w:val="18"/>
              </w:rPr>
            </w:pPr>
            <w:r w:rsidRPr="003726BE">
              <w:rPr>
                <w:b/>
                <w:color w:val="FFFFFF"/>
              </w:rPr>
              <w:t>Years</w:t>
            </w:r>
          </w:p>
        </w:tc>
      </w:tr>
      <w:tr w:rsidR="002B2ED6" w:rsidRPr="003726BE" w14:paraId="6AF948F8" w14:textId="77777777" w:rsidTr="00AA71F1">
        <w:trPr>
          <w:trHeight w:val="300"/>
          <w:jc w:val="center"/>
        </w:trPr>
        <w:tc>
          <w:tcPr>
            <w:tcW w:w="1980" w:type="dxa"/>
            <w:gridSpan w:val="2"/>
            <w:vMerge/>
            <w:tcBorders>
              <w:top w:val="single" w:sz="4" w:space="0" w:color="FFFFFF"/>
              <w:left w:val="single" w:sz="4" w:space="0" w:color="FFFFFF"/>
              <w:bottom w:val="single" w:sz="4" w:space="0" w:color="FFFFFF"/>
              <w:right w:val="nil"/>
            </w:tcBorders>
            <w:shd w:val="clear" w:color="auto" w:fill="54638E"/>
          </w:tcPr>
          <w:p w14:paraId="6A86B5B4" w14:textId="77777777" w:rsidR="002B2ED6" w:rsidRPr="003726BE" w:rsidRDefault="002B2ED6" w:rsidP="00AA71F1">
            <w:pPr>
              <w:suppressAutoHyphens/>
              <w:spacing w:before="40" w:after="40" w:line="240" w:lineRule="auto"/>
              <w:rPr>
                <w:rFonts w:cs="Arial"/>
                <w:b/>
                <w:color w:val="FFFFFF"/>
                <w:szCs w:val="18"/>
              </w:rPr>
            </w:pPr>
          </w:p>
        </w:tc>
        <w:tc>
          <w:tcPr>
            <w:tcW w:w="1201" w:type="dxa"/>
            <w:tcBorders>
              <w:top w:val="single" w:sz="4" w:space="0" w:color="FFFFFF"/>
              <w:left w:val="nil"/>
              <w:bottom w:val="single" w:sz="4" w:space="0" w:color="FFFFFF"/>
              <w:right w:val="single" w:sz="4" w:space="0" w:color="FFFFFF"/>
            </w:tcBorders>
            <w:shd w:val="clear" w:color="auto" w:fill="57825E"/>
          </w:tcPr>
          <w:p w14:paraId="4CF5B80B" w14:textId="77777777" w:rsidR="002B2ED6" w:rsidRPr="003726BE" w:rsidRDefault="002B2ED6" w:rsidP="00AA71F1">
            <w:pPr>
              <w:suppressAutoHyphens/>
              <w:spacing w:before="40" w:after="40" w:line="240" w:lineRule="auto"/>
              <w:rPr>
                <w:rFonts w:cs="Arial"/>
                <w:b/>
                <w:color w:val="FFFFFF"/>
                <w:szCs w:val="18"/>
              </w:rPr>
            </w:pPr>
            <w:r w:rsidRPr="003726BE">
              <w:rPr>
                <w:b/>
                <w:color w:val="FFFFFF"/>
              </w:rPr>
              <w:t>2014-2015</w:t>
            </w:r>
          </w:p>
        </w:tc>
        <w:tc>
          <w:tcPr>
            <w:tcW w:w="1201" w:type="dxa"/>
            <w:tcBorders>
              <w:top w:val="single" w:sz="4" w:space="0" w:color="FFFFFF"/>
              <w:left w:val="single" w:sz="4" w:space="0" w:color="FFFFFF"/>
              <w:bottom w:val="single" w:sz="4" w:space="0" w:color="FFFFFF"/>
              <w:right w:val="single" w:sz="4" w:space="0" w:color="FFFFFF"/>
            </w:tcBorders>
            <w:shd w:val="clear" w:color="auto" w:fill="57825E"/>
          </w:tcPr>
          <w:p w14:paraId="09A26F4B" w14:textId="77777777" w:rsidR="002B2ED6" w:rsidRPr="003726BE" w:rsidRDefault="002B2ED6" w:rsidP="00AA71F1">
            <w:pPr>
              <w:suppressAutoHyphens/>
              <w:spacing w:before="40" w:after="40" w:line="240" w:lineRule="auto"/>
              <w:rPr>
                <w:rFonts w:cs="Arial"/>
                <w:b/>
                <w:color w:val="FFFFFF"/>
                <w:szCs w:val="18"/>
              </w:rPr>
            </w:pPr>
            <w:r w:rsidRPr="003726BE">
              <w:rPr>
                <w:b/>
                <w:color w:val="FFFFFF"/>
              </w:rPr>
              <w:t>2016</w:t>
            </w:r>
          </w:p>
        </w:tc>
        <w:tc>
          <w:tcPr>
            <w:tcW w:w="1202" w:type="dxa"/>
            <w:tcBorders>
              <w:top w:val="single" w:sz="4" w:space="0" w:color="FFFFFF"/>
              <w:left w:val="single" w:sz="4" w:space="0" w:color="FFFFFF"/>
              <w:bottom w:val="single" w:sz="4" w:space="0" w:color="FFFFFF"/>
              <w:right w:val="single" w:sz="4" w:space="0" w:color="FFFFFF"/>
            </w:tcBorders>
            <w:shd w:val="clear" w:color="auto" w:fill="57825E"/>
          </w:tcPr>
          <w:p w14:paraId="379435F0" w14:textId="77777777" w:rsidR="002B2ED6" w:rsidRPr="003726BE" w:rsidRDefault="002B2ED6" w:rsidP="00AA71F1">
            <w:pPr>
              <w:suppressAutoHyphens/>
              <w:spacing w:before="40" w:after="40" w:line="240" w:lineRule="auto"/>
              <w:rPr>
                <w:rFonts w:cs="Arial"/>
                <w:b/>
                <w:color w:val="FFFFFF"/>
                <w:szCs w:val="18"/>
              </w:rPr>
            </w:pPr>
            <w:r w:rsidRPr="003726BE">
              <w:rPr>
                <w:b/>
                <w:color w:val="FFFFFF"/>
              </w:rPr>
              <w:t>2017</w:t>
            </w:r>
          </w:p>
        </w:tc>
        <w:tc>
          <w:tcPr>
            <w:tcW w:w="1201" w:type="dxa"/>
            <w:tcBorders>
              <w:top w:val="single" w:sz="4" w:space="0" w:color="FFFFFF"/>
              <w:left w:val="single" w:sz="4" w:space="0" w:color="FFFFFF"/>
              <w:bottom w:val="single" w:sz="4" w:space="0" w:color="FFFFFF"/>
              <w:right w:val="single" w:sz="4" w:space="0" w:color="FFFFFF"/>
            </w:tcBorders>
            <w:shd w:val="clear" w:color="auto" w:fill="57825E"/>
          </w:tcPr>
          <w:p w14:paraId="4BE5F9AD" w14:textId="77777777" w:rsidR="002B2ED6" w:rsidRPr="003726BE" w:rsidRDefault="002B2ED6" w:rsidP="00AA71F1">
            <w:pPr>
              <w:suppressAutoHyphens/>
              <w:spacing w:before="40" w:after="40" w:line="240" w:lineRule="auto"/>
              <w:rPr>
                <w:rFonts w:cs="Arial"/>
                <w:b/>
                <w:color w:val="FFFFFF"/>
                <w:szCs w:val="18"/>
              </w:rPr>
            </w:pPr>
            <w:r w:rsidRPr="003726BE">
              <w:rPr>
                <w:b/>
                <w:color w:val="FFFFFF"/>
              </w:rPr>
              <w:t>2018</w:t>
            </w:r>
          </w:p>
        </w:tc>
        <w:tc>
          <w:tcPr>
            <w:tcW w:w="1202" w:type="dxa"/>
            <w:tcBorders>
              <w:top w:val="single" w:sz="4" w:space="0" w:color="FFFFFF"/>
              <w:left w:val="single" w:sz="4" w:space="0" w:color="FFFFFF"/>
              <w:bottom w:val="single" w:sz="4" w:space="0" w:color="FFFFFF"/>
              <w:right w:val="single" w:sz="4" w:space="0" w:color="FFFFFF"/>
            </w:tcBorders>
            <w:shd w:val="clear" w:color="auto" w:fill="57825E"/>
          </w:tcPr>
          <w:p w14:paraId="50A8323F" w14:textId="77777777" w:rsidR="002B2ED6" w:rsidRPr="003726BE" w:rsidRDefault="002B2ED6" w:rsidP="00AA71F1">
            <w:pPr>
              <w:suppressAutoHyphens/>
              <w:spacing w:before="40" w:after="40" w:line="240" w:lineRule="auto"/>
              <w:rPr>
                <w:rFonts w:cs="Arial"/>
                <w:b/>
                <w:color w:val="FFFFFF"/>
                <w:szCs w:val="18"/>
              </w:rPr>
            </w:pPr>
            <w:r w:rsidRPr="003726BE">
              <w:rPr>
                <w:b/>
                <w:color w:val="FFFFFF"/>
              </w:rPr>
              <w:t>2019</w:t>
            </w:r>
          </w:p>
        </w:tc>
        <w:tc>
          <w:tcPr>
            <w:tcW w:w="1201" w:type="dxa"/>
            <w:tcBorders>
              <w:top w:val="single" w:sz="4" w:space="0" w:color="FFFFFF"/>
              <w:left w:val="single" w:sz="4" w:space="0" w:color="FFFFFF"/>
              <w:bottom w:val="single" w:sz="4" w:space="0" w:color="FFFFFF"/>
              <w:right w:val="single" w:sz="4" w:space="0" w:color="FFFFFF"/>
            </w:tcBorders>
            <w:shd w:val="clear" w:color="auto" w:fill="57825E"/>
          </w:tcPr>
          <w:p w14:paraId="5F9C70E7" w14:textId="77777777" w:rsidR="002B2ED6" w:rsidRPr="003726BE" w:rsidRDefault="002B2ED6" w:rsidP="00AA71F1">
            <w:pPr>
              <w:suppressAutoHyphens/>
              <w:spacing w:before="40" w:after="40" w:line="240" w:lineRule="auto"/>
              <w:rPr>
                <w:rFonts w:cs="Arial"/>
                <w:b/>
                <w:color w:val="FFFFFF"/>
                <w:szCs w:val="18"/>
              </w:rPr>
            </w:pPr>
            <w:r w:rsidRPr="003726BE">
              <w:rPr>
                <w:b/>
                <w:color w:val="FFFFFF"/>
              </w:rPr>
              <w:t>2020</w:t>
            </w:r>
          </w:p>
        </w:tc>
        <w:tc>
          <w:tcPr>
            <w:tcW w:w="1201" w:type="dxa"/>
            <w:tcBorders>
              <w:top w:val="single" w:sz="4" w:space="0" w:color="FFFFFF"/>
              <w:left w:val="single" w:sz="4" w:space="0" w:color="FFFFFF"/>
              <w:bottom w:val="single" w:sz="4" w:space="0" w:color="FFFFFF"/>
              <w:right w:val="single" w:sz="4" w:space="0" w:color="FFFFFF"/>
            </w:tcBorders>
            <w:shd w:val="clear" w:color="auto" w:fill="57825E"/>
          </w:tcPr>
          <w:p w14:paraId="0FA43BD7" w14:textId="77777777" w:rsidR="002B2ED6" w:rsidRPr="003726BE" w:rsidRDefault="002B2ED6" w:rsidP="00AA71F1">
            <w:pPr>
              <w:suppressAutoHyphens/>
              <w:spacing w:before="40" w:after="40" w:line="240" w:lineRule="auto"/>
              <w:rPr>
                <w:rFonts w:cs="Arial"/>
                <w:b/>
                <w:color w:val="FFFFFF"/>
                <w:szCs w:val="18"/>
              </w:rPr>
            </w:pPr>
            <w:r w:rsidRPr="003726BE">
              <w:rPr>
                <w:b/>
                <w:color w:val="FFFFFF"/>
              </w:rPr>
              <w:t>2021</w:t>
            </w:r>
          </w:p>
        </w:tc>
        <w:tc>
          <w:tcPr>
            <w:tcW w:w="1202" w:type="dxa"/>
            <w:tcBorders>
              <w:top w:val="single" w:sz="4" w:space="0" w:color="FFFFFF"/>
              <w:left w:val="single" w:sz="4" w:space="0" w:color="FFFFFF"/>
              <w:bottom w:val="single" w:sz="4" w:space="0" w:color="FFFFFF"/>
              <w:right w:val="single" w:sz="4" w:space="0" w:color="FFFFFF"/>
            </w:tcBorders>
            <w:shd w:val="clear" w:color="auto" w:fill="57825E"/>
          </w:tcPr>
          <w:p w14:paraId="2A986C7E" w14:textId="77777777" w:rsidR="002B2ED6" w:rsidRPr="003726BE" w:rsidRDefault="002B2ED6" w:rsidP="00AA71F1">
            <w:pPr>
              <w:suppressAutoHyphens/>
              <w:spacing w:before="40" w:after="40" w:line="240" w:lineRule="auto"/>
              <w:rPr>
                <w:rFonts w:cs="Arial"/>
                <w:b/>
                <w:color w:val="FFFFFF"/>
                <w:szCs w:val="18"/>
              </w:rPr>
            </w:pPr>
            <w:r w:rsidRPr="003726BE">
              <w:rPr>
                <w:b/>
                <w:color w:val="FFFFFF"/>
              </w:rPr>
              <w:t>2022</w:t>
            </w:r>
          </w:p>
        </w:tc>
        <w:tc>
          <w:tcPr>
            <w:tcW w:w="1201" w:type="dxa"/>
            <w:tcBorders>
              <w:top w:val="single" w:sz="4" w:space="0" w:color="FFFFFF"/>
              <w:left w:val="single" w:sz="4" w:space="0" w:color="FFFFFF"/>
              <w:bottom w:val="single" w:sz="4" w:space="0" w:color="FFFFFF"/>
              <w:right w:val="single" w:sz="4" w:space="0" w:color="FFFFFF"/>
            </w:tcBorders>
            <w:shd w:val="clear" w:color="auto" w:fill="57825E"/>
          </w:tcPr>
          <w:p w14:paraId="3486D8E5" w14:textId="77777777" w:rsidR="002B2ED6" w:rsidRPr="003726BE" w:rsidRDefault="002B2ED6" w:rsidP="00AA71F1">
            <w:pPr>
              <w:suppressAutoHyphens/>
              <w:spacing w:before="40" w:after="40" w:line="240" w:lineRule="auto"/>
              <w:rPr>
                <w:rFonts w:cs="Arial"/>
                <w:b/>
                <w:color w:val="FFFFFF"/>
                <w:szCs w:val="18"/>
              </w:rPr>
            </w:pPr>
            <w:r w:rsidRPr="003726BE">
              <w:rPr>
                <w:b/>
                <w:color w:val="FFFFFF"/>
              </w:rPr>
              <w:t>2023</w:t>
            </w:r>
          </w:p>
        </w:tc>
        <w:tc>
          <w:tcPr>
            <w:tcW w:w="1202" w:type="dxa"/>
            <w:tcBorders>
              <w:top w:val="single" w:sz="4" w:space="0" w:color="FFFFFF"/>
              <w:left w:val="single" w:sz="4" w:space="0" w:color="FFFFFF"/>
              <w:bottom w:val="single" w:sz="4" w:space="0" w:color="FFFFFF"/>
              <w:right w:val="single" w:sz="4" w:space="0" w:color="FFFFFF"/>
            </w:tcBorders>
            <w:shd w:val="clear" w:color="auto" w:fill="57825E"/>
          </w:tcPr>
          <w:p w14:paraId="343B88BB" w14:textId="77777777" w:rsidR="002B2ED6" w:rsidRPr="003726BE" w:rsidRDefault="002B2ED6" w:rsidP="00AA71F1">
            <w:pPr>
              <w:suppressAutoHyphens/>
              <w:spacing w:before="40" w:after="40" w:line="240" w:lineRule="auto"/>
              <w:rPr>
                <w:rFonts w:cs="Arial"/>
                <w:b/>
                <w:color w:val="FFFFFF"/>
                <w:szCs w:val="18"/>
              </w:rPr>
            </w:pPr>
            <w:r w:rsidRPr="003726BE">
              <w:rPr>
                <w:b/>
                <w:color w:val="FFFFFF"/>
              </w:rPr>
              <w:t>2024</w:t>
            </w:r>
          </w:p>
        </w:tc>
      </w:tr>
      <w:tr w:rsidR="002B2ED6" w:rsidRPr="003726BE" w14:paraId="362D9B32" w14:textId="77777777" w:rsidTr="00AA71F1">
        <w:trPr>
          <w:trHeight w:val="207"/>
          <w:jc w:val="center"/>
        </w:trPr>
        <w:tc>
          <w:tcPr>
            <w:tcW w:w="1980" w:type="dxa"/>
            <w:gridSpan w:val="2"/>
            <w:vMerge w:val="restart"/>
            <w:tcBorders>
              <w:top w:val="single" w:sz="4" w:space="0" w:color="FFFFFF"/>
              <w:left w:val="single" w:sz="4" w:space="0" w:color="FFFFFF"/>
              <w:bottom w:val="single" w:sz="4" w:space="0" w:color="FFFFFF"/>
              <w:right w:val="single" w:sz="4" w:space="0" w:color="FFFFFF"/>
            </w:tcBorders>
            <w:shd w:val="clear" w:color="auto" w:fill="54638E"/>
          </w:tcPr>
          <w:p w14:paraId="78714687" w14:textId="77777777" w:rsidR="002B2ED6" w:rsidRPr="003726BE" w:rsidRDefault="002B2ED6" w:rsidP="00AA71F1">
            <w:pPr>
              <w:suppressAutoHyphens/>
              <w:spacing w:before="40" w:after="40" w:line="240" w:lineRule="auto"/>
              <w:rPr>
                <w:rFonts w:cs="Arial"/>
                <w:b/>
                <w:color w:val="FFFFFF"/>
                <w:szCs w:val="18"/>
              </w:rPr>
            </w:pPr>
            <w:r w:rsidRPr="003726BE">
              <w:rPr>
                <w:b/>
                <w:color w:val="FFFFFF"/>
              </w:rPr>
              <w:t>Preparing evaluation</w:t>
            </w:r>
          </w:p>
        </w:tc>
        <w:tc>
          <w:tcPr>
            <w:tcW w:w="1201" w:type="dxa"/>
            <w:tcBorders>
              <w:top w:val="single" w:sz="4" w:space="0" w:color="FFFFFF"/>
              <w:left w:val="single" w:sz="4" w:space="0" w:color="FFFFFF"/>
              <w:bottom w:val="single" w:sz="4" w:space="0" w:color="6F6F6F"/>
              <w:right w:val="single" w:sz="4" w:space="0" w:color="6F6F6F"/>
            </w:tcBorders>
            <w:shd w:val="clear" w:color="auto" w:fill="FBDCAD"/>
          </w:tcPr>
          <w:p w14:paraId="2CABB3BD" w14:textId="77777777" w:rsidR="002B2ED6" w:rsidRPr="003726BE" w:rsidRDefault="002B2ED6" w:rsidP="00AA71F1">
            <w:pPr>
              <w:suppressAutoHyphens/>
              <w:spacing w:before="40" w:after="40" w:line="240" w:lineRule="auto"/>
              <w:rPr>
                <w:rFonts w:cs="Arial"/>
                <w:szCs w:val="18"/>
              </w:rPr>
            </w:pPr>
            <w:r w:rsidRPr="003726BE">
              <w:t>CEQ-FA</w:t>
            </w:r>
          </w:p>
        </w:tc>
        <w:tc>
          <w:tcPr>
            <w:tcW w:w="1201" w:type="dxa"/>
            <w:tcBorders>
              <w:top w:val="single" w:sz="4" w:space="0" w:color="FFFFFF"/>
              <w:left w:val="single" w:sz="4" w:space="0" w:color="6F6F6F"/>
              <w:bottom w:val="single" w:sz="4" w:space="0" w:color="6F6F6F"/>
              <w:right w:val="single" w:sz="4" w:space="0" w:color="6F6F6F"/>
            </w:tcBorders>
            <w:shd w:val="clear" w:color="auto" w:fill="FBDCAD"/>
          </w:tcPr>
          <w:p w14:paraId="521B1587" w14:textId="77777777" w:rsidR="002B2ED6" w:rsidRPr="003726BE" w:rsidRDefault="002B2ED6" w:rsidP="00AA71F1">
            <w:pPr>
              <w:suppressAutoHyphens/>
              <w:spacing w:before="40" w:after="40" w:line="240" w:lineRule="auto"/>
              <w:rPr>
                <w:rFonts w:cs="Arial"/>
                <w:szCs w:val="18"/>
              </w:rPr>
            </w:pPr>
            <w:r w:rsidRPr="003726BE">
              <w:t>CEQ-FA</w:t>
            </w:r>
          </w:p>
        </w:tc>
        <w:tc>
          <w:tcPr>
            <w:tcW w:w="1202" w:type="dxa"/>
            <w:tcBorders>
              <w:top w:val="single" w:sz="4" w:space="0" w:color="FFFFFF"/>
              <w:left w:val="single" w:sz="4" w:space="0" w:color="6F6F6F"/>
              <w:bottom w:val="single" w:sz="4" w:space="0" w:color="6F6F6F"/>
              <w:right w:val="single" w:sz="4" w:space="0" w:color="6F6F6F"/>
            </w:tcBorders>
            <w:shd w:val="clear" w:color="auto" w:fill="auto"/>
          </w:tcPr>
          <w:p w14:paraId="7415BAE6" w14:textId="77777777" w:rsidR="002B2ED6" w:rsidRPr="003726BE" w:rsidRDefault="002B2ED6" w:rsidP="00AA71F1">
            <w:pPr>
              <w:suppressAutoHyphens/>
              <w:spacing w:before="40" w:after="40" w:line="240" w:lineRule="auto"/>
              <w:rPr>
                <w:rFonts w:cs="Arial"/>
                <w:szCs w:val="18"/>
              </w:rPr>
            </w:pPr>
          </w:p>
        </w:tc>
        <w:tc>
          <w:tcPr>
            <w:tcW w:w="1201" w:type="dxa"/>
            <w:tcBorders>
              <w:top w:val="single" w:sz="4" w:space="0" w:color="FFFFFF"/>
              <w:left w:val="single" w:sz="4" w:space="0" w:color="6F6F6F"/>
              <w:bottom w:val="single" w:sz="4" w:space="0" w:color="6F6F6F"/>
              <w:right w:val="single" w:sz="4" w:space="0" w:color="6F6F6F"/>
            </w:tcBorders>
            <w:shd w:val="clear" w:color="auto" w:fill="FBDCAD"/>
          </w:tcPr>
          <w:p w14:paraId="00B0081D" w14:textId="77777777" w:rsidR="002B2ED6" w:rsidRPr="003726BE" w:rsidRDefault="002B2ED6" w:rsidP="00AA71F1">
            <w:pPr>
              <w:suppressAutoHyphens/>
              <w:spacing w:before="40" w:after="40" w:line="240" w:lineRule="auto"/>
              <w:rPr>
                <w:rFonts w:cs="Arial"/>
                <w:szCs w:val="18"/>
              </w:rPr>
            </w:pPr>
            <w:r w:rsidRPr="003726BE">
              <w:t>CEQ-FA</w:t>
            </w:r>
          </w:p>
        </w:tc>
        <w:tc>
          <w:tcPr>
            <w:tcW w:w="1202" w:type="dxa"/>
            <w:tcBorders>
              <w:top w:val="single" w:sz="4" w:space="0" w:color="FFFFFF"/>
              <w:left w:val="single" w:sz="4" w:space="0" w:color="6F6F6F"/>
              <w:bottom w:val="single" w:sz="4" w:space="0" w:color="6F6F6F"/>
              <w:right w:val="single" w:sz="4" w:space="0" w:color="6F6F6F"/>
            </w:tcBorders>
            <w:shd w:val="clear" w:color="auto" w:fill="auto"/>
          </w:tcPr>
          <w:p w14:paraId="7C33EC11" w14:textId="77777777" w:rsidR="002B2ED6" w:rsidRPr="003726BE" w:rsidRDefault="002B2ED6" w:rsidP="00AA71F1">
            <w:pPr>
              <w:suppressAutoHyphens/>
              <w:spacing w:before="40" w:after="40" w:line="240" w:lineRule="auto"/>
              <w:rPr>
                <w:rFonts w:cs="Arial"/>
                <w:szCs w:val="18"/>
              </w:rPr>
            </w:pPr>
          </w:p>
        </w:tc>
        <w:tc>
          <w:tcPr>
            <w:tcW w:w="1201" w:type="dxa"/>
            <w:tcBorders>
              <w:top w:val="single" w:sz="4" w:space="0" w:color="FFFFFF"/>
              <w:left w:val="single" w:sz="4" w:space="0" w:color="6F6F6F"/>
              <w:bottom w:val="single" w:sz="4" w:space="0" w:color="6F6F6F"/>
              <w:right w:val="single" w:sz="4" w:space="0" w:color="6F6F6F"/>
            </w:tcBorders>
            <w:shd w:val="clear" w:color="auto" w:fill="auto"/>
          </w:tcPr>
          <w:p w14:paraId="6EF43678" w14:textId="77777777" w:rsidR="002B2ED6" w:rsidRPr="003726BE" w:rsidRDefault="002B2ED6" w:rsidP="00AA71F1">
            <w:pPr>
              <w:suppressAutoHyphens/>
              <w:spacing w:before="40" w:after="40" w:line="240" w:lineRule="auto"/>
              <w:rPr>
                <w:rFonts w:cs="Arial"/>
                <w:szCs w:val="18"/>
              </w:rPr>
            </w:pPr>
          </w:p>
        </w:tc>
        <w:tc>
          <w:tcPr>
            <w:tcW w:w="1201" w:type="dxa"/>
            <w:tcBorders>
              <w:top w:val="single" w:sz="4" w:space="0" w:color="FFFFFF"/>
              <w:left w:val="single" w:sz="4" w:space="0" w:color="6F6F6F"/>
              <w:bottom w:val="single" w:sz="4" w:space="0" w:color="6F6F6F"/>
              <w:right w:val="single" w:sz="4" w:space="0" w:color="6F6F6F"/>
            </w:tcBorders>
            <w:shd w:val="clear" w:color="auto" w:fill="auto"/>
          </w:tcPr>
          <w:p w14:paraId="29DA8D5C" w14:textId="77777777" w:rsidR="002B2ED6" w:rsidRPr="003726BE" w:rsidRDefault="002B2ED6" w:rsidP="00AA71F1">
            <w:pPr>
              <w:suppressAutoHyphens/>
              <w:spacing w:before="40" w:after="40" w:line="240" w:lineRule="auto"/>
              <w:rPr>
                <w:rFonts w:cs="Arial"/>
                <w:szCs w:val="18"/>
              </w:rPr>
            </w:pPr>
          </w:p>
        </w:tc>
        <w:tc>
          <w:tcPr>
            <w:tcW w:w="1202" w:type="dxa"/>
            <w:tcBorders>
              <w:top w:val="single" w:sz="4" w:space="0" w:color="FFFFFF"/>
              <w:left w:val="single" w:sz="4" w:space="0" w:color="6F6F6F"/>
              <w:bottom w:val="single" w:sz="4" w:space="0" w:color="6F6F6F"/>
              <w:right w:val="single" w:sz="4" w:space="0" w:color="6F6F6F"/>
            </w:tcBorders>
            <w:shd w:val="clear" w:color="auto" w:fill="auto"/>
          </w:tcPr>
          <w:p w14:paraId="406DCE53" w14:textId="77777777" w:rsidR="002B2ED6" w:rsidRPr="003726BE" w:rsidRDefault="002B2ED6" w:rsidP="00AA71F1">
            <w:pPr>
              <w:suppressAutoHyphens/>
              <w:spacing w:before="40" w:after="40" w:line="240" w:lineRule="auto"/>
              <w:rPr>
                <w:rFonts w:cs="Arial"/>
                <w:szCs w:val="18"/>
              </w:rPr>
            </w:pPr>
          </w:p>
        </w:tc>
        <w:tc>
          <w:tcPr>
            <w:tcW w:w="1201" w:type="dxa"/>
            <w:tcBorders>
              <w:top w:val="single" w:sz="4" w:space="0" w:color="FFFFFF"/>
              <w:left w:val="single" w:sz="4" w:space="0" w:color="6F6F6F"/>
              <w:bottom w:val="single" w:sz="4" w:space="0" w:color="6F6F6F"/>
              <w:right w:val="single" w:sz="4" w:space="0" w:color="6F6F6F"/>
            </w:tcBorders>
            <w:shd w:val="clear" w:color="auto" w:fill="FBDCAD"/>
          </w:tcPr>
          <w:p w14:paraId="4F912011" w14:textId="77777777" w:rsidR="002B2ED6" w:rsidRPr="003726BE" w:rsidRDefault="002B2ED6" w:rsidP="00AA71F1">
            <w:pPr>
              <w:suppressAutoHyphens/>
              <w:spacing w:before="40" w:after="40" w:line="240" w:lineRule="auto"/>
              <w:rPr>
                <w:rFonts w:cs="Arial"/>
                <w:szCs w:val="18"/>
              </w:rPr>
            </w:pPr>
            <w:r w:rsidRPr="003726BE">
              <w:t>CEQ-FA</w:t>
            </w:r>
          </w:p>
        </w:tc>
        <w:tc>
          <w:tcPr>
            <w:tcW w:w="1202" w:type="dxa"/>
            <w:tcBorders>
              <w:top w:val="single" w:sz="4" w:space="0" w:color="FFFFFF"/>
              <w:left w:val="single" w:sz="4" w:space="0" w:color="6F6F6F"/>
              <w:bottom w:val="single" w:sz="4" w:space="0" w:color="6F6F6F"/>
              <w:right w:val="single" w:sz="4" w:space="0" w:color="6F6F6F"/>
            </w:tcBorders>
            <w:shd w:val="clear" w:color="auto" w:fill="auto"/>
          </w:tcPr>
          <w:p w14:paraId="0D8804D2" w14:textId="77777777" w:rsidR="002B2ED6" w:rsidRPr="003726BE" w:rsidRDefault="002B2ED6" w:rsidP="00AA71F1">
            <w:pPr>
              <w:suppressAutoHyphens/>
              <w:spacing w:before="40" w:after="40" w:line="240" w:lineRule="auto"/>
              <w:rPr>
                <w:rFonts w:cs="Arial"/>
                <w:szCs w:val="18"/>
              </w:rPr>
            </w:pPr>
          </w:p>
        </w:tc>
      </w:tr>
      <w:tr w:rsidR="002B2ED6" w:rsidRPr="003726BE" w14:paraId="1DD054CB" w14:textId="77777777" w:rsidTr="00AA71F1">
        <w:trPr>
          <w:trHeight w:val="315"/>
          <w:jc w:val="center"/>
        </w:trPr>
        <w:tc>
          <w:tcPr>
            <w:tcW w:w="1980" w:type="dxa"/>
            <w:gridSpan w:val="2"/>
            <w:vMerge/>
            <w:tcBorders>
              <w:top w:val="single" w:sz="4" w:space="0" w:color="FFFFFF"/>
              <w:left w:val="single" w:sz="4" w:space="0" w:color="FFFFFF"/>
              <w:bottom w:val="single" w:sz="4" w:space="0" w:color="FFFFFF"/>
              <w:right w:val="single" w:sz="4" w:space="0" w:color="FFFFFF"/>
            </w:tcBorders>
            <w:shd w:val="clear" w:color="auto" w:fill="54638E"/>
          </w:tcPr>
          <w:p w14:paraId="0EA79BC4" w14:textId="77777777" w:rsidR="002B2ED6" w:rsidRPr="003726BE" w:rsidRDefault="002B2ED6" w:rsidP="00AA71F1">
            <w:pPr>
              <w:suppressAutoHyphens/>
              <w:spacing w:before="40" w:after="40" w:line="240" w:lineRule="auto"/>
              <w:rPr>
                <w:rFonts w:cs="Arial"/>
                <w:b/>
                <w:color w:val="FFFFFF"/>
                <w:szCs w:val="18"/>
              </w:rPr>
            </w:pPr>
          </w:p>
        </w:tc>
        <w:tc>
          <w:tcPr>
            <w:tcW w:w="1201" w:type="dxa"/>
            <w:tcBorders>
              <w:top w:val="single" w:sz="4" w:space="0" w:color="6F6F6F"/>
              <w:left w:val="single" w:sz="4" w:space="0" w:color="FFFFFF"/>
              <w:bottom w:val="single" w:sz="4" w:space="0" w:color="6F6F6F"/>
              <w:right w:val="single" w:sz="4" w:space="0" w:color="6F6F6F"/>
            </w:tcBorders>
            <w:shd w:val="clear" w:color="auto" w:fill="F6B183"/>
          </w:tcPr>
          <w:p w14:paraId="4F0F766F" w14:textId="77777777" w:rsidR="002B2ED6" w:rsidRPr="003726BE" w:rsidRDefault="002B2ED6" w:rsidP="00AA71F1">
            <w:pPr>
              <w:suppressAutoHyphens/>
              <w:spacing w:before="40" w:after="40" w:line="240" w:lineRule="auto"/>
              <w:rPr>
                <w:rFonts w:cs="Arial"/>
                <w:szCs w:val="18"/>
              </w:rPr>
            </w:pPr>
            <w:r w:rsidRPr="003726BE">
              <w:t>CEQ–OA</w:t>
            </w:r>
          </w:p>
        </w:tc>
        <w:tc>
          <w:tcPr>
            <w:tcW w:w="1201" w:type="dxa"/>
            <w:tcBorders>
              <w:top w:val="single" w:sz="4" w:space="0" w:color="6F6F6F"/>
              <w:left w:val="single" w:sz="4" w:space="0" w:color="6F6F6F"/>
              <w:bottom w:val="single" w:sz="4" w:space="0" w:color="6F6F6F"/>
              <w:right w:val="single" w:sz="4" w:space="0" w:color="6F6F6F"/>
            </w:tcBorders>
            <w:shd w:val="clear" w:color="auto" w:fill="F6B183"/>
          </w:tcPr>
          <w:p w14:paraId="1F3F5E10" w14:textId="77777777" w:rsidR="002B2ED6" w:rsidRPr="003726BE" w:rsidRDefault="002B2ED6" w:rsidP="00AA71F1">
            <w:pPr>
              <w:suppressAutoHyphens/>
              <w:spacing w:before="40" w:after="40" w:line="240" w:lineRule="auto"/>
              <w:rPr>
                <w:rFonts w:cs="Arial"/>
                <w:szCs w:val="18"/>
              </w:rPr>
            </w:pPr>
            <w:r w:rsidRPr="003726BE">
              <w:t>CEQ–OA</w:t>
            </w: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14:paraId="5D084834" w14:textId="77777777" w:rsidR="002B2ED6" w:rsidRPr="003726BE"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F6B183"/>
          </w:tcPr>
          <w:p w14:paraId="21C6DC2B" w14:textId="77777777" w:rsidR="002B2ED6" w:rsidRPr="003726BE" w:rsidRDefault="002B2ED6" w:rsidP="00AA71F1">
            <w:pPr>
              <w:suppressAutoHyphens/>
              <w:spacing w:before="40" w:after="40" w:line="240" w:lineRule="auto"/>
              <w:rPr>
                <w:rFonts w:cs="Arial"/>
                <w:szCs w:val="18"/>
              </w:rPr>
            </w:pPr>
            <w:r w:rsidRPr="003726BE">
              <w:t>CEQ–OA</w:t>
            </w: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14:paraId="64F918F6" w14:textId="77777777" w:rsidR="002B2ED6" w:rsidRPr="003726BE"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14:paraId="433F902D" w14:textId="77777777" w:rsidR="002B2ED6" w:rsidRPr="003726BE"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14:paraId="788ADD05" w14:textId="77777777" w:rsidR="002B2ED6" w:rsidRPr="003726BE"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14:paraId="024DFE62" w14:textId="77777777" w:rsidR="002B2ED6" w:rsidRPr="003726BE"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F6B183"/>
          </w:tcPr>
          <w:p w14:paraId="0524A8EE" w14:textId="77777777" w:rsidR="002B2ED6" w:rsidRPr="003726BE" w:rsidRDefault="002B2ED6" w:rsidP="00AA71F1">
            <w:pPr>
              <w:suppressAutoHyphens/>
              <w:spacing w:before="40" w:after="40" w:line="240" w:lineRule="auto"/>
              <w:rPr>
                <w:rFonts w:cs="Arial"/>
                <w:szCs w:val="18"/>
              </w:rPr>
            </w:pPr>
            <w:r w:rsidRPr="003726BE">
              <w:t>CEQ–OA</w:t>
            </w: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14:paraId="6A717632" w14:textId="77777777" w:rsidR="002B2ED6" w:rsidRPr="003726BE" w:rsidRDefault="002B2ED6" w:rsidP="00AA71F1">
            <w:pPr>
              <w:suppressAutoHyphens/>
              <w:spacing w:before="40" w:after="40" w:line="240" w:lineRule="auto"/>
              <w:rPr>
                <w:rFonts w:cs="Arial"/>
                <w:szCs w:val="18"/>
              </w:rPr>
            </w:pPr>
          </w:p>
        </w:tc>
      </w:tr>
      <w:tr w:rsidR="002B2ED6" w:rsidRPr="003726BE" w14:paraId="179DC3F0" w14:textId="77777777" w:rsidTr="00AA71F1">
        <w:trPr>
          <w:trHeight w:val="320"/>
          <w:jc w:val="center"/>
        </w:trPr>
        <w:tc>
          <w:tcPr>
            <w:tcW w:w="1980" w:type="dxa"/>
            <w:gridSpan w:val="2"/>
            <w:vMerge/>
            <w:tcBorders>
              <w:top w:val="single" w:sz="4" w:space="0" w:color="FFFFFF"/>
              <w:left w:val="single" w:sz="4" w:space="0" w:color="FFFFFF"/>
              <w:bottom w:val="single" w:sz="4" w:space="0" w:color="FFFFFF"/>
              <w:right w:val="single" w:sz="4" w:space="0" w:color="FFFFFF"/>
            </w:tcBorders>
            <w:shd w:val="clear" w:color="auto" w:fill="54638E"/>
          </w:tcPr>
          <w:p w14:paraId="5C51A4DE" w14:textId="77777777" w:rsidR="002B2ED6" w:rsidRPr="003726BE" w:rsidRDefault="002B2ED6" w:rsidP="00AA71F1">
            <w:pPr>
              <w:suppressAutoHyphens/>
              <w:spacing w:before="40" w:after="40" w:line="240" w:lineRule="auto"/>
              <w:rPr>
                <w:rFonts w:cs="Arial"/>
                <w:b/>
                <w:color w:val="FFFFFF"/>
                <w:szCs w:val="18"/>
              </w:rPr>
            </w:pPr>
          </w:p>
        </w:tc>
        <w:tc>
          <w:tcPr>
            <w:tcW w:w="1201" w:type="dxa"/>
            <w:tcBorders>
              <w:top w:val="single" w:sz="4" w:space="0" w:color="6F6F6F"/>
              <w:left w:val="single" w:sz="4" w:space="0" w:color="FFFFFF"/>
              <w:bottom w:val="single" w:sz="4" w:space="0" w:color="6F6F6F"/>
              <w:right w:val="single" w:sz="4" w:space="0" w:color="6F6F6F"/>
            </w:tcBorders>
            <w:shd w:val="clear" w:color="auto" w:fill="DC8F81"/>
          </w:tcPr>
          <w:p w14:paraId="432ED089" w14:textId="77777777" w:rsidR="002B2ED6" w:rsidRPr="003726BE" w:rsidRDefault="002B2ED6" w:rsidP="00AA71F1">
            <w:pPr>
              <w:suppressAutoHyphens/>
              <w:spacing w:before="40" w:after="40" w:line="240" w:lineRule="auto"/>
              <w:rPr>
                <w:rFonts w:cs="Arial"/>
                <w:szCs w:val="18"/>
              </w:rPr>
            </w:pPr>
            <w:r w:rsidRPr="003726BE">
              <w:t>CEQ–EU</w:t>
            </w:r>
          </w:p>
        </w:tc>
        <w:tc>
          <w:tcPr>
            <w:tcW w:w="1201" w:type="dxa"/>
            <w:tcBorders>
              <w:top w:val="single" w:sz="4" w:space="0" w:color="6F6F6F"/>
              <w:left w:val="single" w:sz="4" w:space="0" w:color="6F6F6F"/>
              <w:bottom w:val="single" w:sz="4" w:space="0" w:color="6F6F6F"/>
              <w:right w:val="single" w:sz="4" w:space="0" w:color="6F6F6F"/>
            </w:tcBorders>
            <w:shd w:val="clear" w:color="auto" w:fill="DC8F81"/>
          </w:tcPr>
          <w:p w14:paraId="7602E338" w14:textId="77777777" w:rsidR="002B2ED6" w:rsidRPr="003726BE" w:rsidRDefault="002B2ED6" w:rsidP="00AA71F1">
            <w:pPr>
              <w:suppressAutoHyphens/>
              <w:spacing w:before="40" w:after="40" w:line="240" w:lineRule="auto"/>
              <w:rPr>
                <w:rFonts w:cs="Arial"/>
                <w:szCs w:val="18"/>
              </w:rPr>
            </w:pPr>
            <w:r w:rsidRPr="003726BE">
              <w:t>CEQ–EU</w:t>
            </w: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14:paraId="67D3D82C" w14:textId="77777777" w:rsidR="002B2ED6" w:rsidRPr="003726BE"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DC8F81"/>
          </w:tcPr>
          <w:p w14:paraId="45190180" w14:textId="77777777" w:rsidR="002B2ED6" w:rsidRPr="003726BE" w:rsidRDefault="002B2ED6" w:rsidP="00AA71F1">
            <w:pPr>
              <w:suppressAutoHyphens/>
              <w:spacing w:before="40" w:after="40" w:line="240" w:lineRule="auto"/>
              <w:rPr>
                <w:rFonts w:cs="Arial"/>
                <w:szCs w:val="18"/>
              </w:rPr>
            </w:pPr>
            <w:r w:rsidRPr="003726BE">
              <w:t>CEQ–EU</w:t>
            </w: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14:paraId="6B5B6C74" w14:textId="77777777" w:rsidR="002B2ED6" w:rsidRPr="003726BE"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14:paraId="2D5C9FFE" w14:textId="77777777" w:rsidR="002B2ED6" w:rsidRPr="003726BE"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14:paraId="5572A4DF" w14:textId="77777777" w:rsidR="002B2ED6" w:rsidRPr="003726BE"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14:paraId="2A2BD16F" w14:textId="77777777" w:rsidR="002B2ED6" w:rsidRPr="003726BE"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DC8F81"/>
          </w:tcPr>
          <w:p w14:paraId="6E0E61AB" w14:textId="77777777" w:rsidR="002B2ED6" w:rsidRPr="003726BE" w:rsidRDefault="002B2ED6" w:rsidP="00AA71F1">
            <w:pPr>
              <w:suppressAutoHyphens/>
              <w:spacing w:before="40" w:after="40" w:line="240" w:lineRule="auto"/>
              <w:rPr>
                <w:rFonts w:cs="Arial"/>
                <w:szCs w:val="18"/>
              </w:rPr>
            </w:pPr>
            <w:r w:rsidRPr="003726BE">
              <w:t>CEQ–EU</w:t>
            </w: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14:paraId="38C5CEDD" w14:textId="77777777" w:rsidR="002B2ED6" w:rsidRPr="003726BE" w:rsidRDefault="002B2ED6" w:rsidP="00AA71F1">
            <w:pPr>
              <w:suppressAutoHyphens/>
              <w:spacing w:before="40" w:after="40" w:line="240" w:lineRule="auto"/>
              <w:rPr>
                <w:rFonts w:cs="Arial"/>
                <w:szCs w:val="18"/>
              </w:rPr>
            </w:pPr>
          </w:p>
        </w:tc>
      </w:tr>
      <w:tr w:rsidR="002B2ED6" w:rsidRPr="003726BE" w14:paraId="26FAD770" w14:textId="77777777" w:rsidTr="00AA71F1">
        <w:trPr>
          <w:trHeight w:val="177"/>
          <w:jc w:val="center"/>
        </w:trPr>
        <w:tc>
          <w:tcPr>
            <w:tcW w:w="1980" w:type="dxa"/>
            <w:gridSpan w:val="2"/>
            <w:vMerge w:val="restart"/>
            <w:tcBorders>
              <w:top w:val="single" w:sz="4" w:space="0" w:color="FFFFFF"/>
              <w:left w:val="single" w:sz="4" w:space="0" w:color="FFFFFF"/>
              <w:bottom w:val="single" w:sz="4" w:space="0" w:color="FFFFFF"/>
              <w:right w:val="single" w:sz="4" w:space="0" w:color="FFFFFF"/>
            </w:tcBorders>
            <w:shd w:val="clear" w:color="auto" w:fill="54638E"/>
          </w:tcPr>
          <w:p w14:paraId="1A7284E3" w14:textId="77777777" w:rsidR="002B2ED6" w:rsidRPr="003726BE" w:rsidRDefault="002B2ED6" w:rsidP="00AA71F1">
            <w:pPr>
              <w:suppressAutoHyphens/>
              <w:spacing w:before="40" w:after="40" w:line="240" w:lineRule="auto"/>
              <w:rPr>
                <w:rFonts w:cs="Arial"/>
                <w:b/>
                <w:color w:val="FFFFFF"/>
                <w:szCs w:val="18"/>
              </w:rPr>
            </w:pPr>
            <w:r w:rsidRPr="003726BE">
              <w:rPr>
                <w:b/>
                <w:color w:val="FFFFFF"/>
              </w:rPr>
              <w:t>Structuring evaluation</w:t>
            </w:r>
          </w:p>
        </w:tc>
        <w:tc>
          <w:tcPr>
            <w:tcW w:w="1201" w:type="dxa"/>
            <w:tcBorders>
              <w:top w:val="single" w:sz="4" w:space="0" w:color="6F6F6F"/>
              <w:left w:val="single" w:sz="4" w:space="0" w:color="FFFFFF"/>
              <w:bottom w:val="single" w:sz="4" w:space="0" w:color="6F6F6F"/>
              <w:right w:val="single" w:sz="4" w:space="0" w:color="6F6F6F"/>
            </w:tcBorders>
            <w:shd w:val="clear" w:color="auto" w:fill="FBDCAD"/>
          </w:tcPr>
          <w:p w14:paraId="3660C2DF" w14:textId="77777777" w:rsidR="002B2ED6" w:rsidRPr="003726BE" w:rsidRDefault="002B2ED6" w:rsidP="00AA71F1">
            <w:pPr>
              <w:suppressAutoHyphens/>
              <w:spacing w:before="40" w:after="40" w:line="240" w:lineRule="auto"/>
              <w:rPr>
                <w:rFonts w:cs="Arial"/>
                <w:szCs w:val="18"/>
              </w:rPr>
            </w:pPr>
            <w:r w:rsidRPr="003726BE">
              <w:t>CEQ-FA</w:t>
            </w:r>
          </w:p>
        </w:tc>
        <w:tc>
          <w:tcPr>
            <w:tcW w:w="1201" w:type="dxa"/>
            <w:tcBorders>
              <w:top w:val="single" w:sz="4" w:space="0" w:color="6F6F6F"/>
              <w:left w:val="single" w:sz="4" w:space="0" w:color="6F6F6F"/>
              <w:bottom w:val="single" w:sz="4" w:space="0" w:color="6F6F6F"/>
              <w:right w:val="single" w:sz="4" w:space="0" w:color="6F6F6F"/>
            </w:tcBorders>
            <w:shd w:val="clear" w:color="auto" w:fill="FBDCAD"/>
          </w:tcPr>
          <w:p w14:paraId="3920A6A6" w14:textId="77777777" w:rsidR="002B2ED6" w:rsidRPr="003726BE" w:rsidRDefault="002B2ED6" w:rsidP="00AA71F1">
            <w:pPr>
              <w:suppressAutoHyphens/>
              <w:spacing w:before="40" w:after="40" w:line="240" w:lineRule="auto"/>
              <w:rPr>
                <w:rFonts w:cs="Arial"/>
                <w:szCs w:val="18"/>
              </w:rPr>
            </w:pPr>
            <w:r w:rsidRPr="003726BE">
              <w:t>CEQ-FA</w:t>
            </w: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14:paraId="34A60CA4" w14:textId="77777777" w:rsidR="002B2ED6" w:rsidRPr="003726BE"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FBDCAD"/>
          </w:tcPr>
          <w:p w14:paraId="613FBD5A" w14:textId="77777777" w:rsidR="002B2ED6" w:rsidRPr="003726BE" w:rsidRDefault="002B2ED6" w:rsidP="00AA71F1">
            <w:pPr>
              <w:suppressAutoHyphens/>
              <w:spacing w:before="40" w:after="40" w:line="240" w:lineRule="auto"/>
              <w:rPr>
                <w:rFonts w:cs="Arial"/>
                <w:szCs w:val="18"/>
              </w:rPr>
            </w:pPr>
            <w:r w:rsidRPr="003726BE">
              <w:t>CEQ-FA</w:t>
            </w: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14:paraId="6550145D" w14:textId="77777777" w:rsidR="002B2ED6" w:rsidRPr="003726BE"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14:paraId="4C2A187D" w14:textId="77777777" w:rsidR="002B2ED6" w:rsidRPr="003726BE"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14:paraId="05FA520C" w14:textId="77777777" w:rsidR="002B2ED6" w:rsidRPr="003726BE"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14:paraId="6F2A59A4" w14:textId="77777777" w:rsidR="002B2ED6" w:rsidRPr="003726BE"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FBDCAD"/>
          </w:tcPr>
          <w:p w14:paraId="46BDED20" w14:textId="77777777" w:rsidR="002B2ED6" w:rsidRPr="003726BE" w:rsidRDefault="002B2ED6" w:rsidP="00AA71F1">
            <w:pPr>
              <w:suppressAutoHyphens/>
              <w:spacing w:before="40" w:after="40" w:line="240" w:lineRule="auto"/>
              <w:rPr>
                <w:rFonts w:cs="Arial"/>
                <w:szCs w:val="18"/>
              </w:rPr>
            </w:pPr>
            <w:r w:rsidRPr="003726BE">
              <w:t>CEQ-FA</w:t>
            </w: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14:paraId="7F3ECAE6" w14:textId="77777777" w:rsidR="002B2ED6" w:rsidRPr="003726BE" w:rsidRDefault="002B2ED6" w:rsidP="00AA71F1">
            <w:pPr>
              <w:suppressAutoHyphens/>
              <w:spacing w:before="40" w:after="40" w:line="240" w:lineRule="auto"/>
              <w:rPr>
                <w:rFonts w:cs="Arial"/>
                <w:szCs w:val="18"/>
              </w:rPr>
            </w:pPr>
          </w:p>
        </w:tc>
      </w:tr>
      <w:tr w:rsidR="002B2ED6" w:rsidRPr="003726BE" w14:paraId="7D2BD94D" w14:textId="77777777" w:rsidTr="00AA71F1">
        <w:trPr>
          <w:trHeight w:val="345"/>
          <w:jc w:val="center"/>
        </w:trPr>
        <w:tc>
          <w:tcPr>
            <w:tcW w:w="1980" w:type="dxa"/>
            <w:gridSpan w:val="2"/>
            <w:vMerge/>
            <w:tcBorders>
              <w:top w:val="single" w:sz="4" w:space="0" w:color="FFFFFF"/>
              <w:left w:val="single" w:sz="4" w:space="0" w:color="FFFFFF"/>
              <w:bottom w:val="single" w:sz="4" w:space="0" w:color="FFFFFF"/>
              <w:right w:val="single" w:sz="4" w:space="0" w:color="FFFFFF"/>
            </w:tcBorders>
            <w:shd w:val="clear" w:color="auto" w:fill="54638E"/>
          </w:tcPr>
          <w:p w14:paraId="00279D29" w14:textId="77777777" w:rsidR="002B2ED6" w:rsidRPr="003726BE" w:rsidRDefault="002B2ED6" w:rsidP="00AA71F1">
            <w:pPr>
              <w:suppressAutoHyphens/>
              <w:spacing w:before="40" w:after="40" w:line="240" w:lineRule="auto"/>
              <w:rPr>
                <w:rFonts w:cs="Arial"/>
                <w:b/>
                <w:color w:val="FFFFFF"/>
                <w:szCs w:val="18"/>
              </w:rPr>
            </w:pPr>
          </w:p>
        </w:tc>
        <w:tc>
          <w:tcPr>
            <w:tcW w:w="1201" w:type="dxa"/>
            <w:tcBorders>
              <w:top w:val="single" w:sz="4" w:space="0" w:color="6F6F6F"/>
              <w:left w:val="single" w:sz="4" w:space="0" w:color="FFFFFF"/>
              <w:bottom w:val="single" w:sz="4" w:space="0" w:color="6F6F6F"/>
              <w:right w:val="single" w:sz="4" w:space="0" w:color="6F6F6F"/>
            </w:tcBorders>
            <w:shd w:val="clear" w:color="auto" w:fill="F6B183"/>
          </w:tcPr>
          <w:p w14:paraId="0AC4ED96" w14:textId="77777777" w:rsidR="002B2ED6" w:rsidRPr="003726BE" w:rsidRDefault="002B2ED6" w:rsidP="00AA71F1">
            <w:pPr>
              <w:suppressAutoHyphens/>
              <w:spacing w:before="40" w:after="40" w:line="240" w:lineRule="auto"/>
              <w:rPr>
                <w:rFonts w:cs="Arial"/>
                <w:szCs w:val="18"/>
              </w:rPr>
            </w:pPr>
            <w:r w:rsidRPr="003726BE">
              <w:t>CEQ–OA</w:t>
            </w:r>
          </w:p>
        </w:tc>
        <w:tc>
          <w:tcPr>
            <w:tcW w:w="1201" w:type="dxa"/>
            <w:tcBorders>
              <w:top w:val="single" w:sz="4" w:space="0" w:color="6F6F6F"/>
              <w:left w:val="single" w:sz="4" w:space="0" w:color="6F6F6F"/>
              <w:bottom w:val="single" w:sz="4" w:space="0" w:color="6F6F6F"/>
              <w:right w:val="single" w:sz="4" w:space="0" w:color="6F6F6F"/>
            </w:tcBorders>
            <w:shd w:val="clear" w:color="auto" w:fill="F6B183"/>
          </w:tcPr>
          <w:p w14:paraId="3FDB561B" w14:textId="77777777" w:rsidR="002B2ED6" w:rsidRPr="003726BE" w:rsidRDefault="002B2ED6" w:rsidP="00AA71F1">
            <w:pPr>
              <w:suppressAutoHyphens/>
              <w:spacing w:before="40" w:after="40" w:line="240" w:lineRule="auto"/>
              <w:rPr>
                <w:rFonts w:cs="Arial"/>
                <w:szCs w:val="18"/>
              </w:rPr>
            </w:pPr>
            <w:r w:rsidRPr="003726BE">
              <w:t>CEQ–OA</w:t>
            </w: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14:paraId="5C831E04" w14:textId="77777777" w:rsidR="002B2ED6" w:rsidRPr="003726BE"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F6B183"/>
          </w:tcPr>
          <w:p w14:paraId="2D2376AA" w14:textId="77777777" w:rsidR="002B2ED6" w:rsidRPr="003726BE" w:rsidRDefault="002B2ED6" w:rsidP="00AA71F1">
            <w:pPr>
              <w:suppressAutoHyphens/>
              <w:spacing w:before="40" w:after="40" w:line="240" w:lineRule="auto"/>
              <w:rPr>
                <w:rFonts w:cs="Arial"/>
                <w:szCs w:val="18"/>
              </w:rPr>
            </w:pPr>
            <w:r w:rsidRPr="003726BE">
              <w:t>CEQ–OA</w:t>
            </w: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14:paraId="448C3139" w14:textId="77777777" w:rsidR="002B2ED6" w:rsidRPr="003726BE"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14:paraId="51492CE6" w14:textId="77777777" w:rsidR="002B2ED6" w:rsidRPr="003726BE"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14:paraId="7F4C618C" w14:textId="77777777" w:rsidR="002B2ED6" w:rsidRPr="003726BE"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14:paraId="30472A93" w14:textId="77777777" w:rsidR="002B2ED6" w:rsidRPr="003726BE"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F6B183"/>
          </w:tcPr>
          <w:p w14:paraId="353926D7" w14:textId="77777777" w:rsidR="002B2ED6" w:rsidRPr="003726BE" w:rsidRDefault="002B2ED6" w:rsidP="00AA71F1">
            <w:pPr>
              <w:suppressAutoHyphens/>
              <w:spacing w:before="40" w:after="40" w:line="240" w:lineRule="auto"/>
              <w:rPr>
                <w:rFonts w:cs="Arial"/>
                <w:szCs w:val="18"/>
              </w:rPr>
            </w:pPr>
            <w:r w:rsidRPr="003726BE">
              <w:t>CEQ–OA</w:t>
            </w: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14:paraId="6C93CCFC" w14:textId="77777777" w:rsidR="002B2ED6" w:rsidRPr="003726BE" w:rsidRDefault="002B2ED6" w:rsidP="00AA71F1">
            <w:pPr>
              <w:suppressAutoHyphens/>
              <w:spacing w:before="40" w:after="40" w:line="240" w:lineRule="auto"/>
              <w:rPr>
                <w:rFonts w:cs="Arial"/>
                <w:szCs w:val="18"/>
              </w:rPr>
            </w:pPr>
          </w:p>
        </w:tc>
      </w:tr>
      <w:tr w:rsidR="002B2ED6" w:rsidRPr="003726BE" w14:paraId="603E4625" w14:textId="77777777" w:rsidTr="00AA71F1">
        <w:trPr>
          <w:trHeight w:val="304"/>
          <w:jc w:val="center"/>
        </w:trPr>
        <w:tc>
          <w:tcPr>
            <w:tcW w:w="1980" w:type="dxa"/>
            <w:gridSpan w:val="2"/>
            <w:vMerge/>
            <w:tcBorders>
              <w:top w:val="single" w:sz="4" w:space="0" w:color="FFFFFF"/>
              <w:left w:val="single" w:sz="4" w:space="0" w:color="FFFFFF"/>
              <w:bottom w:val="single" w:sz="4" w:space="0" w:color="FFFFFF"/>
              <w:right w:val="single" w:sz="4" w:space="0" w:color="FFFFFF"/>
            </w:tcBorders>
            <w:shd w:val="clear" w:color="auto" w:fill="54638E"/>
          </w:tcPr>
          <w:p w14:paraId="163C659F" w14:textId="77777777" w:rsidR="002B2ED6" w:rsidRPr="003726BE" w:rsidRDefault="002B2ED6" w:rsidP="00AA71F1">
            <w:pPr>
              <w:suppressAutoHyphens/>
              <w:spacing w:before="40" w:after="40" w:line="240" w:lineRule="auto"/>
              <w:rPr>
                <w:rFonts w:cs="Arial"/>
                <w:b/>
                <w:color w:val="FFFFFF"/>
                <w:szCs w:val="18"/>
              </w:rPr>
            </w:pPr>
          </w:p>
        </w:tc>
        <w:tc>
          <w:tcPr>
            <w:tcW w:w="1201" w:type="dxa"/>
            <w:tcBorders>
              <w:top w:val="single" w:sz="4" w:space="0" w:color="6F6F6F"/>
              <w:left w:val="single" w:sz="4" w:space="0" w:color="FFFFFF"/>
              <w:bottom w:val="single" w:sz="4" w:space="0" w:color="6F6F6F"/>
              <w:right w:val="single" w:sz="4" w:space="0" w:color="6F6F6F"/>
            </w:tcBorders>
            <w:shd w:val="clear" w:color="auto" w:fill="DC8F81"/>
          </w:tcPr>
          <w:p w14:paraId="261347F9" w14:textId="77777777" w:rsidR="002B2ED6" w:rsidRPr="003726BE" w:rsidRDefault="002B2ED6" w:rsidP="00AA71F1">
            <w:pPr>
              <w:suppressAutoHyphens/>
              <w:spacing w:before="40" w:after="40" w:line="240" w:lineRule="auto"/>
              <w:rPr>
                <w:rFonts w:cs="Arial"/>
                <w:szCs w:val="18"/>
              </w:rPr>
            </w:pPr>
            <w:r w:rsidRPr="003726BE">
              <w:t>CEQ–EU</w:t>
            </w:r>
          </w:p>
        </w:tc>
        <w:tc>
          <w:tcPr>
            <w:tcW w:w="1201" w:type="dxa"/>
            <w:tcBorders>
              <w:top w:val="single" w:sz="4" w:space="0" w:color="6F6F6F"/>
              <w:left w:val="single" w:sz="4" w:space="0" w:color="6F6F6F"/>
              <w:bottom w:val="single" w:sz="4" w:space="0" w:color="6F6F6F"/>
              <w:right w:val="single" w:sz="4" w:space="0" w:color="6F6F6F"/>
            </w:tcBorders>
            <w:shd w:val="clear" w:color="auto" w:fill="DC8F81"/>
          </w:tcPr>
          <w:p w14:paraId="4CBCF2AC" w14:textId="77777777" w:rsidR="002B2ED6" w:rsidRPr="003726BE" w:rsidRDefault="002B2ED6" w:rsidP="00AA71F1">
            <w:pPr>
              <w:suppressAutoHyphens/>
              <w:spacing w:before="40" w:after="40" w:line="240" w:lineRule="auto"/>
              <w:rPr>
                <w:rFonts w:cs="Arial"/>
                <w:szCs w:val="18"/>
              </w:rPr>
            </w:pPr>
            <w:r w:rsidRPr="003726BE">
              <w:t>CEQ–EU</w:t>
            </w: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14:paraId="07B69AD0" w14:textId="77777777" w:rsidR="002B2ED6" w:rsidRPr="003726BE"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DC8F81"/>
          </w:tcPr>
          <w:p w14:paraId="035DC760" w14:textId="77777777" w:rsidR="002B2ED6" w:rsidRPr="003726BE" w:rsidRDefault="002B2ED6" w:rsidP="00AA71F1">
            <w:pPr>
              <w:suppressAutoHyphens/>
              <w:spacing w:before="40" w:after="40" w:line="240" w:lineRule="auto"/>
              <w:rPr>
                <w:rFonts w:cs="Arial"/>
                <w:szCs w:val="18"/>
              </w:rPr>
            </w:pPr>
            <w:r w:rsidRPr="003726BE">
              <w:t>CEQ–EU</w:t>
            </w: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14:paraId="3FB66EFD" w14:textId="77777777" w:rsidR="002B2ED6" w:rsidRPr="003726BE"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14:paraId="54CCB3D4" w14:textId="77777777" w:rsidR="002B2ED6" w:rsidRPr="003726BE"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14:paraId="4C1BB6A3" w14:textId="77777777" w:rsidR="002B2ED6" w:rsidRPr="003726BE"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14:paraId="5E3A7743" w14:textId="77777777" w:rsidR="002B2ED6" w:rsidRPr="003726BE"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DC8F81"/>
          </w:tcPr>
          <w:p w14:paraId="03FE1C56" w14:textId="77777777" w:rsidR="002B2ED6" w:rsidRPr="003726BE" w:rsidRDefault="002B2ED6" w:rsidP="00AA71F1">
            <w:pPr>
              <w:suppressAutoHyphens/>
              <w:spacing w:before="40" w:after="40" w:line="240" w:lineRule="auto"/>
              <w:rPr>
                <w:rFonts w:cs="Arial"/>
                <w:szCs w:val="18"/>
              </w:rPr>
            </w:pPr>
            <w:r w:rsidRPr="003726BE">
              <w:t>CEQ–EU</w:t>
            </w: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14:paraId="4691BE4C" w14:textId="77777777" w:rsidR="002B2ED6" w:rsidRPr="003726BE" w:rsidRDefault="002B2ED6" w:rsidP="00AA71F1">
            <w:pPr>
              <w:suppressAutoHyphens/>
              <w:spacing w:before="40" w:after="40" w:line="240" w:lineRule="auto"/>
              <w:rPr>
                <w:rFonts w:cs="Arial"/>
                <w:szCs w:val="18"/>
              </w:rPr>
            </w:pPr>
          </w:p>
        </w:tc>
      </w:tr>
      <w:tr w:rsidR="002B2ED6" w:rsidRPr="003726BE" w14:paraId="06237268" w14:textId="77777777" w:rsidTr="00AA71F1">
        <w:trPr>
          <w:trHeight w:val="268"/>
          <w:jc w:val="center"/>
        </w:trPr>
        <w:tc>
          <w:tcPr>
            <w:tcW w:w="562" w:type="dxa"/>
            <w:vMerge w:val="restart"/>
            <w:tcBorders>
              <w:top w:val="single" w:sz="4" w:space="0" w:color="FFFFFF"/>
              <w:left w:val="single" w:sz="4" w:space="0" w:color="FFFFFF"/>
              <w:bottom w:val="single" w:sz="4" w:space="0" w:color="FFFFFF"/>
              <w:right w:val="single" w:sz="4" w:space="0" w:color="FFFFFF"/>
            </w:tcBorders>
            <w:shd w:val="clear" w:color="auto" w:fill="54638E"/>
            <w:textDirection w:val="btLr"/>
          </w:tcPr>
          <w:p w14:paraId="5015DFCB" w14:textId="77777777" w:rsidR="002B2ED6" w:rsidRPr="003726BE" w:rsidRDefault="002B2ED6" w:rsidP="00AA71F1">
            <w:pPr>
              <w:suppressAutoHyphens/>
              <w:spacing w:before="40" w:after="40" w:line="240" w:lineRule="auto"/>
              <w:jc w:val="center"/>
              <w:rPr>
                <w:rFonts w:cs="Arial"/>
                <w:b/>
                <w:color w:val="FFFFFF"/>
                <w:szCs w:val="18"/>
              </w:rPr>
            </w:pPr>
            <w:r w:rsidRPr="003726BE">
              <w:rPr>
                <w:b/>
                <w:color w:val="FFFFFF"/>
              </w:rPr>
              <w:t>Conducting evaluation</w:t>
            </w:r>
          </w:p>
        </w:tc>
        <w:tc>
          <w:tcPr>
            <w:tcW w:w="1418" w:type="dxa"/>
            <w:vMerge w:val="restart"/>
            <w:tcBorders>
              <w:top w:val="single" w:sz="4" w:space="0" w:color="FFFFFF"/>
              <w:left w:val="single" w:sz="4" w:space="0" w:color="FFFFFF"/>
              <w:bottom w:val="single" w:sz="4" w:space="0" w:color="FFFFFF"/>
              <w:right w:val="single" w:sz="4" w:space="0" w:color="FFFFFF"/>
            </w:tcBorders>
            <w:shd w:val="clear" w:color="auto" w:fill="54638E"/>
          </w:tcPr>
          <w:p w14:paraId="72374D3A" w14:textId="77777777" w:rsidR="002B2ED6" w:rsidRPr="003726BE" w:rsidRDefault="002B2ED6" w:rsidP="00AA71F1">
            <w:pPr>
              <w:suppressAutoHyphens/>
              <w:spacing w:before="40" w:after="40" w:line="240" w:lineRule="auto"/>
              <w:rPr>
                <w:rFonts w:cs="Arial"/>
                <w:b/>
                <w:color w:val="FFFFFF"/>
                <w:szCs w:val="18"/>
              </w:rPr>
            </w:pPr>
            <w:r w:rsidRPr="003726BE">
              <w:rPr>
                <w:b/>
                <w:color w:val="FFFFFF"/>
              </w:rPr>
              <w:t>Observing</w:t>
            </w:r>
          </w:p>
          <w:p w14:paraId="4E9AAC25" w14:textId="77777777" w:rsidR="002B2ED6" w:rsidRPr="003726BE" w:rsidRDefault="002B2ED6" w:rsidP="00AA71F1">
            <w:pPr>
              <w:suppressAutoHyphens/>
              <w:spacing w:before="40" w:after="40" w:line="240" w:lineRule="auto"/>
              <w:rPr>
                <w:rFonts w:cs="Arial"/>
                <w:b/>
                <w:color w:val="FFFFFF"/>
                <w:szCs w:val="18"/>
              </w:rPr>
            </w:pPr>
          </w:p>
        </w:tc>
        <w:tc>
          <w:tcPr>
            <w:tcW w:w="1201" w:type="dxa"/>
            <w:tcBorders>
              <w:top w:val="single" w:sz="4" w:space="0" w:color="6F6F6F"/>
              <w:left w:val="single" w:sz="4" w:space="0" w:color="FFFFFF"/>
              <w:bottom w:val="single" w:sz="4" w:space="0" w:color="6F6F6F"/>
              <w:right w:val="single" w:sz="4" w:space="0" w:color="6F6F6F"/>
            </w:tcBorders>
            <w:shd w:val="clear" w:color="auto" w:fill="auto"/>
          </w:tcPr>
          <w:p w14:paraId="1ECAEDDF" w14:textId="77777777" w:rsidR="002B2ED6" w:rsidRPr="003726BE"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FBDCAD"/>
          </w:tcPr>
          <w:p w14:paraId="6A144319" w14:textId="77777777" w:rsidR="002B2ED6" w:rsidRPr="003726BE" w:rsidRDefault="002B2ED6" w:rsidP="00AA71F1">
            <w:pPr>
              <w:suppressAutoHyphens/>
              <w:spacing w:before="40" w:after="40" w:line="240" w:lineRule="auto"/>
              <w:rPr>
                <w:rFonts w:cs="Arial"/>
                <w:szCs w:val="18"/>
              </w:rPr>
            </w:pPr>
            <w:r w:rsidRPr="003726BE">
              <w:t>CEQ-FA</w:t>
            </w:r>
          </w:p>
        </w:tc>
        <w:tc>
          <w:tcPr>
            <w:tcW w:w="1202" w:type="dxa"/>
            <w:tcBorders>
              <w:top w:val="single" w:sz="4" w:space="0" w:color="6F6F6F"/>
              <w:left w:val="single" w:sz="4" w:space="0" w:color="6F6F6F"/>
              <w:bottom w:val="single" w:sz="4" w:space="0" w:color="6F6F6F"/>
              <w:right w:val="single" w:sz="4" w:space="0" w:color="6F6F6F"/>
            </w:tcBorders>
            <w:shd w:val="clear" w:color="auto" w:fill="FBDCAD"/>
          </w:tcPr>
          <w:p w14:paraId="265F140A" w14:textId="77777777" w:rsidR="002B2ED6" w:rsidRPr="003726BE" w:rsidRDefault="002B2ED6" w:rsidP="00AA71F1">
            <w:pPr>
              <w:suppressAutoHyphens/>
              <w:spacing w:before="40" w:after="40" w:line="240" w:lineRule="auto"/>
              <w:rPr>
                <w:rFonts w:cs="Arial"/>
                <w:szCs w:val="18"/>
              </w:rPr>
            </w:pPr>
            <w:r w:rsidRPr="003726BE">
              <w:t>CEQ-FA</w:t>
            </w:r>
          </w:p>
        </w:tc>
        <w:tc>
          <w:tcPr>
            <w:tcW w:w="1201" w:type="dxa"/>
            <w:tcBorders>
              <w:top w:val="single" w:sz="4" w:space="0" w:color="6F6F6F"/>
              <w:left w:val="single" w:sz="4" w:space="0" w:color="6F6F6F"/>
              <w:bottom w:val="single" w:sz="4" w:space="0" w:color="6F6F6F"/>
              <w:right w:val="single" w:sz="4" w:space="0" w:color="6F6F6F"/>
            </w:tcBorders>
            <w:shd w:val="clear" w:color="auto" w:fill="FBDCAD"/>
          </w:tcPr>
          <w:p w14:paraId="28908413" w14:textId="77777777" w:rsidR="002B2ED6" w:rsidRPr="003726BE" w:rsidRDefault="002B2ED6" w:rsidP="00AA71F1">
            <w:pPr>
              <w:suppressAutoHyphens/>
              <w:spacing w:before="40" w:after="40" w:line="240" w:lineRule="auto"/>
              <w:rPr>
                <w:rFonts w:cs="Arial"/>
                <w:szCs w:val="18"/>
              </w:rPr>
            </w:pPr>
            <w:r w:rsidRPr="003726BE">
              <w:t>CEQ-FA</w:t>
            </w:r>
          </w:p>
        </w:tc>
        <w:tc>
          <w:tcPr>
            <w:tcW w:w="1202" w:type="dxa"/>
            <w:tcBorders>
              <w:top w:val="single" w:sz="4" w:space="0" w:color="6F6F6F"/>
              <w:left w:val="single" w:sz="4" w:space="0" w:color="6F6F6F"/>
              <w:bottom w:val="single" w:sz="4" w:space="0" w:color="6F6F6F"/>
              <w:right w:val="single" w:sz="4" w:space="0" w:color="6F6F6F"/>
            </w:tcBorders>
            <w:shd w:val="clear" w:color="auto" w:fill="FBDCAD"/>
          </w:tcPr>
          <w:p w14:paraId="4B278878" w14:textId="77777777" w:rsidR="002B2ED6" w:rsidRPr="003726BE" w:rsidRDefault="002B2ED6" w:rsidP="00AA71F1">
            <w:pPr>
              <w:suppressAutoHyphens/>
              <w:spacing w:before="40" w:after="40" w:line="240" w:lineRule="auto"/>
              <w:rPr>
                <w:rFonts w:cs="Arial"/>
                <w:szCs w:val="18"/>
              </w:rPr>
            </w:pPr>
            <w:r w:rsidRPr="003726BE">
              <w:t>CEQ-FA</w:t>
            </w:r>
          </w:p>
        </w:tc>
        <w:tc>
          <w:tcPr>
            <w:tcW w:w="1201" w:type="dxa"/>
            <w:tcBorders>
              <w:top w:val="single" w:sz="4" w:space="0" w:color="6F6F6F"/>
              <w:left w:val="single" w:sz="4" w:space="0" w:color="6F6F6F"/>
              <w:bottom w:val="single" w:sz="4" w:space="0" w:color="6F6F6F"/>
              <w:right w:val="single" w:sz="4" w:space="0" w:color="6F6F6F"/>
            </w:tcBorders>
            <w:shd w:val="clear" w:color="auto" w:fill="FBDCAD"/>
          </w:tcPr>
          <w:p w14:paraId="46AB4CF1" w14:textId="77777777" w:rsidR="002B2ED6" w:rsidRPr="003726BE" w:rsidRDefault="002B2ED6" w:rsidP="00AA71F1">
            <w:pPr>
              <w:suppressAutoHyphens/>
              <w:spacing w:before="40" w:after="40" w:line="240" w:lineRule="auto"/>
              <w:rPr>
                <w:rFonts w:cs="Arial"/>
                <w:szCs w:val="18"/>
              </w:rPr>
            </w:pPr>
            <w:r w:rsidRPr="003726BE">
              <w:t>CEQ-FA</w:t>
            </w:r>
          </w:p>
        </w:tc>
        <w:tc>
          <w:tcPr>
            <w:tcW w:w="1201" w:type="dxa"/>
            <w:tcBorders>
              <w:top w:val="single" w:sz="4" w:space="0" w:color="6F6F6F"/>
              <w:left w:val="single" w:sz="4" w:space="0" w:color="6F6F6F"/>
              <w:bottom w:val="single" w:sz="4" w:space="0" w:color="6F6F6F"/>
              <w:right w:val="single" w:sz="4" w:space="0" w:color="6F6F6F"/>
            </w:tcBorders>
            <w:shd w:val="clear" w:color="auto" w:fill="FBDCAD"/>
          </w:tcPr>
          <w:p w14:paraId="34B3A23A" w14:textId="77777777" w:rsidR="002B2ED6" w:rsidRPr="003726BE" w:rsidRDefault="002B2ED6" w:rsidP="00AA71F1">
            <w:pPr>
              <w:suppressAutoHyphens/>
              <w:spacing w:before="40" w:after="40" w:line="240" w:lineRule="auto"/>
              <w:rPr>
                <w:rFonts w:cs="Arial"/>
                <w:szCs w:val="18"/>
              </w:rPr>
            </w:pPr>
            <w:r w:rsidRPr="003726BE">
              <w:t>CEQ-FA</w:t>
            </w:r>
          </w:p>
        </w:tc>
        <w:tc>
          <w:tcPr>
            <w:tcW w:w="1202" w:type="dxa"/>
            <w:tcBorders>
              <w:top w:val="single" w:sz="4" w:space="0" w:color="6F6F6F"/>
              <w:left w:val="single" w:sz="4" w:space="0" w:color="6F6F6F"/>
              <w:bottom w:val="single" w:sz="4" w:space="0" w:color="6F6F6F"/>
              <w:right w:val="single" w:sz="4" w:space="0" w:color="6F6F6F"/>
            </w:tcBorders>
            <w:shd w:val="clear" w:color="auto" w:fill="FBDCAD"/>
          </w:tcPr>
          <w:p w14:paraId="6A635B64" w14:textId="77777777" w:rsidR="002B2ED6" w:rsidRPr="003726BE" w:rsidRDefault="002B2ED6" w:rsidP="00AA71F1">
            <w:pPr>
              <w:suppressAutoHyphens/>
              <w:spacing w:before="40" w:after="40" w:line="240" w:lineRule="auto"/>
              <w:rPr>
                <w:rFonts w:cs="Arial"/>
                <w:szCs w:val="18"/>
              </w:rPr>
            </w:pPr>
            <w:r w:rsidRPr="003726BE">
              <w:t>CEQ-FA</w:t>
            </w:r>
          </w:p>
        </w:tc>
        <w:tc>
          <w:tcPr>
            <w:tcW w:w="1201" w:type="dxa"/>
            <w:tcBorders>
              <w:top w:val="single" w:sz="4" w:space="0" w:color="6F6F6F"/>
              <w:left w:val="single" w:sz="4" w:space="0" w:color="6F6F6F"/>
              <w:bottom w:val="single" w:sz="4" w:space="0" w:color="6F6F6F"/>
              <w:right w:val="single" w:sz="4" w:space="0" w:color="6F6F6F"/>
            </w:tcBorders>
            <w:shd w:val="clear" w:color="auto" w:fill="FBDCAD"/>
          </w:tcPr>
          <w:p w14:paraId="00B600BF" w14:textId="77777777" w:rsidR="002B2ED6" w:rsidRPr="003726BE" w:rsidRDefault="002B2ED6" w:rsidP="00AA71F1">
            <w:pPr>
              <w:suppressAutoHyphens/>
              <w:spacing w:before="40" w:after="40" w:line="240" w:lineRule="auto"/>
              <w:rPr>
                <w:rFonts w:cs="Arial"/>
                <w:szCs w:val="18"/>
              </w:rPr>
            </w:pPr>
            <w:r w:rsidRPr="003726BE">
              <w:t>CEQ-FA</w:t>
            </w:r>
          </w:p>
        </w:tc>
        <w:tc>
          <w:tcPr>
            <w:tcW w:w="1202" w:type="dxa"/>
            <w:tcBorders>
              <w:top w:val="single" w:sz="4" w:space="0" w:color="6F6F6F"/>
              <w:left w:val="single" w:sz="4" w:space="0" w:color="6F6F6F"/>
              <w:bottom w:val="single" w:sz="4" w:space="0" w:color="6F6F6F"/>
              <w:right w:val="single" w:sz="4" w:space="0" w:color="6F6F6F"/>
            </w:tcBorders>
            <w:shd w:val="clear" w:color="auto" w:fill="FBDCAD"/>
          </w:tcPr>
          <w:p w14:paraId="614744B3" w14:textId="77777777" w:rsidR="002B2ED6" w:rsidRPr="003726BE" w:rsidRDefault="002B2ED6" w:rsidP="00AA71F1">
            <w:pPr>
              <w:suppressAutoHyphens/>
              <w:spacing w:before="40" w:after="40" w:line="240" w:lineRule="auto"/>
              <w:rPr>
                <w:rFonts w:cs="Arial"/>
                <w:szCs w:val="18"/>
              </w:rPr>
            </w:pPr>
            <w:r w:rsidRPr="003726BE">
              <w:t>CEQ-FA</w:t>
            </w:r>
          </w:p>
        </w:tc>
      </w:tr>
      <w:tr w:rsidR="002B2ED6" w:rsidRPr="003726BE" w14:paraId="2B3A7C20" w14:textId="77777777" w:rsidTr="00AA71F1">
        <w:trPr>
          <w:trHeight w:val="146"/>
          <w:jc w:val="center"/>
        </w:trPr>
        <w:tc>
          <w:tcPr>
            <w:tcW w:w="562" w:type="dxa"/>
            <w:vMerge/>
            <w:tcBorders>
              <w:top w:val="single" w:sz="4" w:space="0" w:color="FFFFFF"/>
              <w:left w:val="single" w:sz="4" w:space="0" w:color="FFFFFF"/>
              <w:bottom w:val="single" w:sz="4" w:space="0" w:color="FFFFFF"/>
              <w:right w:val="single" w:sz="4" w:space="0" w:color="FFFFFF"/>
            </w:tcBorders>
            <w:shd w:val="clear" w:color="auto" w:fill="54638E"/>
            <w:textDirection w:val="btLr"/>
          </w:tcPr>
          <w:p w14:paraId="18E8A386" w14:textId="77777777" w:rsidR="002B2ED6" w:rsidRPr="003726BE" w:rsidRDefault="002B2ED6" w:rsidP="00AA71F1">
            <w:pPr>
              <w:suppressAutoHyphens/>
              <w:spacing w:before="40" w:after="40" w:line="240" w:lineRule="auto"/>
              <w:rPr>
                <w:rFonts w:cs="Arial"/>
                <w:b/>
                <w:color w:val="FFFFFF"/>
                <w:szCs w:val="18"/>
              </w:rPr>
            </w:pPr>
          </w:p>
        </w:tc>
        <w:tc>
          <w:tcPr>
            <w:tcW w:w="1418" w:type="dxa"/>
            <w:vMerge/>
            <w:tcBorders>
              <w:top w:val="single" w:sz="4" w:space="0" w:color="FFFFFF"/>
              <w:left w:val="single" w:sz="4" w:space="0" w:color="FFFFFF"/>
              <w:bottom w:val="single" w:sz="4" w:space="0" w:color="FFFFFF"/>
              <w:right w:val="single" w:sz="4" w:space="0" w:color="FFFFFF"/>
            </w:tcBorders>
            <w:shd w:val="clear" w:color="auto" w:fill="54638E"/>
          </w:tcPr>
          <w:p w14:paraId="2FD617CF" w14:textId="77777777" w:rsidR="002B2ED6" w:rsidRPr="003726BE" w:rsidRDefault="002B2ED6" w:rsidP="00AA71F1">
            <w:pPr>
              <w:suppressAutoHyphens/>
              <w:spacing w:before="40" w:after="40" w:line="240" w:lineRule="auto"/>
              <w:rPr>
                <w:rFonts w:cs="Arial"/>
                <w:b/>
                <w:color w:val="FFFFFF"/>
                <w:szCs w:val="18"/>
              </w:rPr>
            </w:pPr>
          </w:p>
        </w:tc>
        <w:tc>
          <w:tcPr>
            <w:tcW w:w="1201" w:type="dxa"/>
            <w:tcBorders>
              <w:top w:val="single" w:sz="4" w:space="0" w:color="6F6F6F"/>
              <w:left w:val="single" w:sz="4" w:space="0" w:color="FFFFFF"/>
              <w:bottom w:val="single" w:sz="4" w:space="0" w:color="6F6F6F"/>
              <w:right w:val="single" w:sz="4" w:space="0" w:color="6F6F6F"/>
            </w:tcBorders>
            <w:shd w:val="clear" w:color="auto" w:fill="auto"/>
          </w:tcPr>
          <w:p w14:paraId="435C28A8" w14:textId="77777777" w:rsidR="002B2ED6" w:rsidRPr="003726BE"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F6B183"/>
          </w:tcPr>
          <w:p w14:paraId="4190814F" w14:textId="77777777" w:rsidR="002B2ED6" w:rsidRPr="003726BE" w:rsidRDefault="002B2ED6" w:rsidP="00AA71F1">
            <w:pPr>
              <w:suppressAutoHyphens/>
              <w:spacing w:before="40" w:after="40" w:line="240" w:lineRule="auto"/>
              <w:rPr>
                <w:rFonts w:cs="Arial"/>
                <w:szCs w:val="18"/>
              </w:rPr>
            </w:pPr>
            <w:r w:rsidRPr="003726BE">
              <w:t>CEQ–OA</w:t>
            </w:r>
          </w:p>
        </w:tc>
        <w:tc>
          <w:tcPr>
            <w:tcW w:w="1202" w:type="dxa"/>
            <w:tcBorders>
              <w:top w:val="single" w:sz="4" w:space="0" w:color="6F6F6F"/>
              <w:left w:val="single" w:sz="4" w:space="0" w:color="6F6F6F"/>
              <w:bottom w:val="single" w:sz="4" w:space="0" w:color="6F6F6F"/>
              <w:right w:val="single" w:sz="4" w:space="0" w:color="6F6F6F"/>
            </w:tcBorders>
            <w:shd w:val="clear" w:color="auto" w:fill="F6B183"/>
          </w:tcPr>
          <w:p w14:paraId="5FBD8A17" w14:textId="77777777" w:rsidR="002B2ED6" w:rsidRPr="003726BE" w:rsidRDefault="002B2ED6" w:rsidP="00AA71F1">
            <w:pPr>
              <w:suppressAutoHyphens/>
              <w:spacing w:before="40" w:after="40" w:line="240" w:lineRule="auto"/>
              <w:rPr>
                <w:rFonts w:cs="Arial"/>
                <w:szCs w:val="18"/>
              </w:rPr>
            </w:pPr>
            <w:r w:rsidRPr="003726BE">
              <w:t>CEQ–OA</w:t>
            </w:r>
          </w:p>
        </w:tc>
        <w:tc>
          <w:tcPr>
            <w:tcW w:w="1201" w:type="dxa"/>
            <w:tcBorders>
              <w:top w:val="single" w:sz="4" w:space="0" w:color="6F6F6F"/>
              <w:left w:val="single" w:sz="4" w:space="0" w:color="6F6F6F"/>
              <w:bottom w:val="single" w:sz="4" w:space="0" w:color="6F6F6F"/>
              <w:right w:val="single" w:sz="4" w:space="0" w:color="6F6F6F"/>
            </w:tcBorders>
            <w:shd w:val="clear" w:color="auto" w:fill="F6B183"/>
          </w:tcPr>
          <w:p w14:paraId="05677EC2" w14:textId="77777777" w:rsidR="002B2ED6" w:rsidRPr="003726BE" w:rsidRDefault="002B2ED6" w:rsidP="00AA71F1">
            <w:pPr>
              <w:suppressAutoHyphens/>
              <w:spacing w:before="40" w:after="40" w:line="240" w:lineRule="auto"/>
              <w:rPr>
                <w:rFonts w:cs="Arial"/>
                <w:szCs w:val="18"/>
              </w:rPr>
            </w:pPr>
            <w:r w:rsidRPr="003726BE">
              <w:t>CEQ–OA</w:t>
            </w:r>
          </w:p>
        </w:tc>
        <w:tc>
          <w:tcPr>
            <w:tcW w:w="1202" w:type="dxa"/>
            <w:tcBorders>
              <w:top w:val="single" w:sz="4" w:space="0" w:color="6F6F6F"/>
              <w:left w:val="single" w:sz="4" w:space="0" w:color="6F6F6F"/>
              <w:bottom w:val="single" w:sz="4" w:space="0" w:color="6F6F6F"/>
              <w:right w:val="single" w:sz="4" w:space="0" w:color="6F6F6F"/>
            </w:tcBorders>
            <w:shd w:val="clear" w:color="auto" w:fill="F6B183"/>
          </w:tcPr>
          <w:p w14:paraId="6E768941" w14:textId="77777777" w:rsidR="002B2ED6" w:rsidRPr="003726BE" w:rsidRDefault="002B2ED6" w:rsidP="00AA71F1">
            <w:pPr>
              <w:suppressAutoHyphens/>
              <w:spacing w:before="40" w:after="40" w:line="240" w:lineRule="auto"/>
              <w:rPr>
                <w:rFonts w:cs="Arial"/>
                <w:szCs w:val="18"/>
              </w:rPr>
            </w:pPr>
            <w:r w:rsidRPr="003726BE">
              <w:t>CEQ–OA</w:t>
            </w:r>
          </w:p>
        </w:tc>
        <w:tc>
          <w:tcPr>
            <w:tcW w:w="1201" w:type="dxa"/>
            <w:tcBorders>
              <w:top w:val="single" w:sz="4" w:space="0" w:color="6F6F6F"/>
              <w:left w:val="single" w:sz="4" w:space="0" w:color="6F6F6F"/>
              <w:bottom w:val="single" w:sz="4" w:space="0" w:color="6F6F6F"/>
              <w:right w:val="single" w:sz="4" w:space="0" w:color="6F6F6F"/>
            </w:tcBorders>
            <w:shd w:val="clear" w:color="auto" w:fill="F6B183"/>
          </w:tcPr>
          <w:p w14:paraId="547C65F8" w14:textId="77777777" w:rsidR="002B2ED6" w:rsidRPr="003726BE" w:rsidRDefault="002B2ED6" w:rsidP="00AA71F1">
            <w:pPr>
              <w:suppressAutoHyphens/>
              <w:spacing w:before="40" w:after="40" w:line="240" w:lineRule="auto"/>
              <w:rPr>
                <w:rFonts w:cs="Arial"/>
                <w:szCs w:val="18"/>
              </w:rPr>
            </w:pPr>
            <w:r w:rsidRPr="003726BE">
              <w:t>CEQ–OA</w:t>
            </w:r>
          </w:p>
        </w:tc>
        <w:tc>
          <w:tcPr>
            <w:tcW w:w="1201" w:type="dxa"/>
            <w:tcBorders>
              <w:top w:val="single" w:sz="4" w:space="0" w:color="6F6F6F"/>
              <w:left w:val="single" w:sz="4" w:space="0" w:color="6F6F6F"/>
              <w:bottom w:val="single" w:sz="4" w:space="0" w:color="6F6F6F"/>
              <w:right w:val="single" w:sz="4" w:space="0" w:color="6F6F6F"/>
            </w:tcBorders>
            <w:shd w:val="clear" w:color="auto" w:fill="F6B183"/>
          </w:tcPr>
          <w:p w14:paraId="4360AF8A" w14:textId="77777777" w:rsidR="002B2ED6" w:rsidRPr="003726BE" w:rsidRDefault="002B2ED6" w:rsidP="00AA71F1">
            <w:pPr>
              <w:suppressAutoHyphens/>
              <w:spacing w:before="40" w:after="40" w:line="240" w:lineRule="auto"/>
              <w:rPr>
                <w:rFonts w:cs="Arial"/>
                <w:szCs w:val="18"/>
              </w:rPr>
            </w:pPr>
            <w:r w:rsidRPr="003726BE">
              <w:t>CEQ–OA</w:t>
            </w:r>
          </w:p>
        </w:tc>
        <w:tc>
          <w:tcPr>
            <w:tcW w:w="1202" w:type="dxa"/>
            <w:tcBorders>
              <w:top w:val="single" w:sz="4" w:space="0" w:color="6F6F6F"/>
              <w:left w:val="single" w:sz="4" w:space="0" w:color="6F6F6F"/>
              <w:bottom w:val="single" w:sz="4" w:space="0" w:color="6F6F6F"/>
              <w:right w:val="single" w:sz="4" w:space="0" w:color="6F6F6F"/>
            </w:tcBorders>
            <w:shd w:val="clear" w:color="auto" w:fill="F6B183"/>
          </w:tcPr>
          <w:p w14:paraId="6F3B0FCE" w14:textId="77777777" w:rsidR="002B2ED6" w:rsidRPr="003726BE" w:rsidRDefault="002B2ED6" w:rsidP="00AA71F1">
            <w:pPr>
              <w:suppressAutoHyphens/>
              <w:spacing w:before="40" w:after="40" w:line="240" w:lineRule="auto"/>
              <w:rPr>
                <w:rFonts w:cs="Arial"/>
                <w:szCs w:val="18"/>
              </w:rPr>
            </w:pPr>
            <w:r w:rsidRPr="003726BE">
              <w:t>CEQ–OA</w:t>
            </w:r>
          </w:p>
        </w:tc>
        <w:tc>
          <w:tcPr>
            <w:tcW w:w="1201" w:type="dxa"/>
            <w:tcBorders>
              <w:top w:val="single" w:sz="4" w:space="0" w:color="6F6F6F"/>
              <w:left w:val="single" w:sz="4" w:space="0" w:color="6F6F6F"/>
              <w:bottom w:val="single" w:sz="4" w:space="0" w:color="6F6F6F"/>
              <w:right w:val="single" w:sz="4" w:space="0" w:color="6F6F6F"/>
            </w:tcBorders>
            <w:shd w:val="clear" w:color="auto" w:fill="F6B183"/>
          </w:tcPr>
          <w:p w14:paraId="47DA4766" w14:textId="77777777" w:rsidR="002B2ED6" w:rsidRPr="003726BE" w:rsidRDefault="002B2ED6" w:rsidP="00AA71F1">
            <w:pPr>
              <w:suppressAutoHyphens/>
              <w:spacing w:before="40" w:after="40" w:line="240" w:lineRule="auto"/>
              <w:rPr>
                <w:rFonts w:cs="Arial"/>
                <w:szCs w:val="18"/>
              </w:rPr>
            </w:pPr>
            <w:r w:rsidRPr="003726BE">
              <w:t>CEQ–OA</w:t>
            </w:r>
          </w:p>
        </w:tc>
        <w:tc>
          <w:tcPr>
            <w:tcW w:w="1202" w:type="dxa"/>
            <w:tcBorders>
              <w:top w:val="single" w:sz="4" w:space="0" w:color="6F6F6F"/>
              <w:left w:val="single" w:sz="4" w:space="0" w:color="6F6F6F"/>
              <w:bottom w:val="single" w:sz="4" w:space="0" w:color="6F6F6F"/>
              <w:right w:val="single" w:sz="4" w:space="0" w:color="6F6F6F"/>
            </w:tcBorders>
            <w:shd w:val="clear" w:color="auto" w:fill="F6B183"/>
          </w:tcPr>
          <w:p w14:paraId="1BF1EDBF" w14:textId="77777777" w:rsidR="002B2ED6" w:rsidRPr="003726BE" w:rsidRDefault="002B2ED6" w:rsidP="00AA71F1">
            <w:pPr>
              <w:suppressAutoHyphens/>
              <w:spacing w:before="40" w:after="40" w:line="240" w:lineRule="auto"/>
              <w:rPr>
                <w:rFonts w:cs="Arial"/>
                <w:szCs w:val="18"/>
              </w:rPr>
            </w:pPr>
            <w:r w:rsidRPr="003726BE">
              <w:t>CEQ–OA</w:t>
            </w:r>
          </w:p>
        </w:tc>
      </w:tr>
      <w:tr w:rsidR="002B2ED6" w:rsidRPr="003726BE" w14:paraId="46134CE8" w14:textId="77777777" w:rsidTr="00AA71F1">
        <w:trPr>
          <w:trHeight w:val="312"/>
          <w:jc w:val="center"/>
        </w:trPr>
        <w:tc>
          <w:tcPr>
            <w:tcW w:w="562" w:type="dxa"/>
            <w:vMerge/>
            <w:tcBorders>
              <w:top w:val="single" w:sz="4" w:space="0" w:color="FFFFFF"/>
              <w:left w:val="single" w:sz="4" w:space="0" w:color="FFFFFF"/>
              <w:bottom w:val="single" w:sz="4" w:space="0" w:color="FFFFFF"/>
              <w:right w:val="single" w:sz="4" w:space="0" w:color="FFFFFF"/>
            </w:tcBorders>
            <w:shd w:val="clear" w:color="auto" w:fill="54638E"/>
            <w:textDirection w:val="btLr"/>
          </w:tcPr>
          <w:p w14:paraId="7DB892E4" w14:textId="77777777" w:rsidR="002B2ED6" w:rsidRPr="003726BE" w:rsidRDefault="002B2ED6" w:rsidP="00AA71F1">
            <w:pPr>
              <w:suppressAutoHyphens/>
              <w:spacing w:before="40" w:after="40" w:line="240" w:lineRule="auto"/>
              <w:rPr>
                <w:rFonts w:cs="Arial"/>
                <w:b/>
                <w:color w:val="FFFFFF"/>
                <w:szCs w:val="18"/>
              </w:rPr>
            </w:pPr>
          </w:p>
        </w:tc>
        <w:tc>
          <w:tcPr>
            <w:tcW w:w="1418" w:type="dxa"/>
            <w:vMerge/>
            <w:tcBorders>
              <w:top w:val="single" w:sz="4" w:space="0" w:color="FFFFFF"/>
              <w:left w:val="single" w:sz="4" w:space="0" w:color="FFFFFF"/>
              <w:bottom w:val="single" w:sz="4" w:space="0" w:color="FFFFFF"/>
              <w:right w:val="single" w:sz="4" w:space="0" w:color="FFFFFF"/>
            </w:tcBorders>
            <w:shd w:val="clear" w:color="auto" w:fill="54638E"/>
          </w:tcPr>
          <w:p w14:paraId="2CE828AB" w14:textId="77777777" w:rsidR="002B2ED6" w:rsidRPr="003726BE" w:rsidRDefault="002B2ED6" w:rsidP="00AA71F1">
            <w:pPr>
              <w:suppressAutoHyphens/>
              <w:spacing w:before="40" w:after="40" w:line="240" w:lineRule="auto"/>
              <w:rPr>
                <w:rFonts w:cs="Arial"/>
                <w:b/>
                <w:color w:val="FFFFFF"/>
                <w:szCs w:val="18"/>
              </w:rPr>
            </w:pPr>
          </w:p>
        </w:tc>
        <w:tc>
          <w:tcPr>
            <w:tcW w:w="1201" w:type="dxa"/>
            <w:tcBorders>
              <w:top w:val="single" w:sz="4" w:space="0" w:color="6F6F6F"/>
              <w:left w:val="single" w:sz="4" w:space="0" w:color="FFFFFF"/>
              <w:bottom w:val="single" w:sz="4" w:space="0" w:color="6F6F6F"/>
              <w:right w:val="single" w:sz="4" w:space="0" w:color="6F6F6F"/>
            </w:tcBorders>
            <w:shd w:val="clear" w:color="auto" w:fill="auto"/>
          </w:tcPr>
          <w:p w14:paraId="616CFB11" w14:textId="77777777" w:rsidR="002B2ED6" w:rsidRPr="003726BE"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DC8F81"/>
          </w:tcPr>
          <w:p w14:paraId="2CE897F0" w14:textId="77777777" w:rsidR="002B2ED6" w:rsidRPr="003726BE" w:rsidRDefault="002B2ED6" w:rsidP="00AA71F1">
            <w:pPr>
              <w:suppressAutoHyphens/>
              <w:spacing w:before="40" w:after="40" w:line="240" w:lineRule="auto"/>
              <w:rPr>
                <w:rFonts w:cs="Arial"/>
                <w:szCs w:val="18"/>
              </w:rPr>
            </w:pPr>
            <w:r w:rsidRPr="003726BE">
              <w:t>CEQ–EU</w:t>
            </w:r>
          </w:p>
        </w:tc>
        <w:tc>
          <w:tcPr>
            <w:tcW w:w="1202" w:type="dxa"/>
            <w:tcBorders>
              <w:top w:val="single" w:sz="4" w:space="0" w:color="6F6F6F"/>
              <w:left w:val="single" w:sz="4" w:space="0" w:color="6F6F6F"/>
              <w:bottom w:val="single" w:sz="4" w:space="0" w:color="6F6F6F"/>
              <w:right w:val="single" w:sz="4" w:space="0" w:color="6F6F6F"/>
            </w:tcBorders>
            <w:shd w:val="clear" w:color="auto" w:fill="DC8F81"/>
          </w:tcPr>
          <w:p w14:paraId="7219A714" w14:textId="77777777" w:rsidR="002B2ED6" w:rsidRPr="003726BE" w:rsidRDefault="002B2ED6" w:rsidP="00AA71F1">
            <w:pPr>
              <w:suppressAutoHyphens/>
              <w:spacing w:before="40" w:after="40" w:line="240" w:lineRule="auto"/>
              <w:rPr>
                <w:rFonts w:cs="Arial"/>
                <w:szCs w:val="18"/>
              </w:rPr>
            </w:pPr>
            <w:r w:rsidRPr="003726BE">
              <w:t xml:space="preserve">CEQ–EU </w:t>
            </w:r>
          </w:p>
        </w:tc>
        <w:tc>
          <w:tcPr>
            <w:tcW w:w="1201" w:type="dxa"/>
            <w:tcBorders>
              <w:top w:val="single" w:sz="4" w:space="0" w:color="6F6F6F"/>
              <w:left w:val="single" w:sz="4" w:space="0" w:color="6F6F6F"/>
              <w:bottom w:val="single" w:sz="4" w:space="0" w:color="6F6F6F"/>
              <w:right w:val="single" w:sz="4" w:space="0" w:color="6F6F6F"/>
            </w:tcBorders>
            <w:shd w:val="clear" w:color="auto" w:fill="DC8F81"/>
          </w:tcPr>
          <w:p w14:paraId="5D2BA2C0" w14:textId="77777777" w:rsidR="002B2ED6" w:rsidRPr="003726BE" w:rsidRDefault="002B2ED6" w:rsidP="00AA71F1">
            <w:pPr>
              <w:suppressAutoHyphens/>
              <w:spacing w:before="40" w:after="40" w:line="240" w:lineRule="auto"/>
              <w:rPr>
                <w:rFonts w:cs="Arial"/>
                <w:szCs w:val="18"/>
              </w:rPr>
            </w:pPr>
            <w:r w:rsidRPr="003726BE">
              <w:t>CEQ–EU</w:t>
            </w:r>
          </w:p>
        </w:tc>
        <w:tc>
          <w:tcPr>
            <w:tcW w:w="1202" w:type="dxa"/>
            <w:tcBorders>
              <w:top w:val="single" w:sz="4" w:space="0" w:color="6F6F6F"/>
              <w:left w:val="single" w:sz="4" w:space="0" w:color="6F6F6F"/>
              <w:bottom w:val="single" w:sz="4" w:space="0" w:color="6F6F6F"/>
              <w:right w:val="single" w:sz="4" w:space="0" w:color="6F6F6F"/>
            </w:tcBorders>
            <w:shd w:val="clear" w:color="auto" w:fill="DC8F81"/>
          </w:tcPr>
          <w:p w14:paraId="6E0F7C95" w14:textId="77777777" w:rsidR="002B2ED6" w:rsidRPr="003726BE" w:rsidRDefault="002B2ED6" w:rsidP="00AA71F1">
            <w:pPr>
              <w:suppressAutoHyphens/>
              <w:spacing w:before="40" w:after="40" w:line="240" w:lineRule="auto"/>
              <w:rPr>
                <w:rFonts w:cs="Arial"/>
                <w:szCs w:val="18"/>
              </w:rPr>
            </w:pPr>
            <w:r w:rsidRPr="003726BE">
              <w:t>CEQ–EU</w:t>
            </w:r>
          </w:p>
        </w:tc>
        <w:tc>
          <w:tcPr>
            <w:tcW w:w="1201" w:type="dxa"/>
            <w:tcBorders>
              <w:top w:val="single" w:sz="4" w:space="0" w:color="6F6F6F"/>
              <w:left w:val="single" w:sz="4" w:space="0" w:color="6F6F6F"/>
              <w:bottom w:val="single" w:sz="4" w:space="0" w:color="6F6F6F"/>
              <w:right w:val="single" w:sz="4" w:space="0" w:color="6F6F6F"/>
            </w:tcBorders>
            <w:shd w:val="clear" w:color="auto" w:fill="DC8F81"/>
          </w:tcPr>
          <w:p w14:paraId="632B625A" w14:textId="77777777" w:rsidR="002B2ED6" w:rsidRPr="003726BE" w:rsidRDefault="002B2ED6" w:rsidP="00AA71F1">
            <w:pPr>
              <w:suppressAutoHyphens/>
              <w:spacing w:before="40" w:after="40" w:line="240" w:lineRule="auto"/>
              <w:rPr>
                <w:rFonts w:cs="Arial"/>
                <w:szCs w:val="18"/>
              </w:rPr>
            </w:pPr>
            <w:r w:rsidRPr="003726BE">
              <w:t>CEQ–EU</w:t>
            </w:r>
          </w:p>
        </w:tc>
        <w:tc>
          <w:tcPr>
            <w:tcW w:w="1201" w:type="dxa"/>
            <w:tcBorders>
              <w:top w:val="single" w:sz="4" w:space="0" w:color="6F6F6F"/>
              <w:left w:val="single" w:sz="4" w:space="0" w:color="6F6F6F"/>
              <w:bottom w:val="single" w:sz="4" w:space="0" w:color="6F6F6F"/>
              <w:right w:val="single" w:sz="4" w:space="0" w:color="6F6F6F"/>
            </w:tcBorders>
            <w:shd w:val="clear" w:color="auto" w:fill="DC8F81"/>
          </w:tcPr>
          <w:p w14:paraId="12690B36" w14:textId="77777777" w:rsidR="002B2ED6" w:rsidRPr="003726BE" w:rsidRDefault="002B2ED6" w:rsidP="00AA71F1">
            <w:pPr>
              <w:suppressAutoHyphens/>
              <w:spacing w:before="40" w:after="40" w:line="240" w:lineRule="auto"/>
              <w:rPr>
                <w:rFonts w:cs="Arial"/>
                <w:szCs w:val="18"/>
              </w:rPr>
            </w:pPr>
            <w:r w:rsidRPr="003726BE">
              <w:t>CEQ–EU</w:t>
            </w:r>
          </w:p>
        </w:tc>
        <w:tc>
          <w:tcPr>
            <w:tcW w:w="1202" w:type="dxa"/>
            <w:tcBorders>
              <w:top w:val="single" w:sz="4" w:space="0" w:color="6F6F6F"/>
              <w:left w:val="single" w:sz="4" w:space="0" w:color="6F6F6F"/>
              <w:bottom w:val="single" w:sz="4" w:space="0" w:color="6F6F6F"/>
              <w:right w:val="single" w:sz="4" w:space="0" w:color="6F6F6F"/>
            </w:tcBorders>
            <w:shd w:val="clear" w:color="auto" w:fill="DC8F81"/>
          </w:tcPr>
          <w:p w14:paraId="62DFDB66" w14:textId="77777777" w:rsidR="002B2ED6" w:rsidRPr="003726BE" w:rsidRDefault="002B2ED6" w:rsidP="00AA71F1">
            <w:pPr>
              <w:suppressAutoHyphens/>
              <w:spacing w:before="40" w:after="40" w:line="240" w:lineRule="auto"/>
              <w:rPr>
                <w:rFonts w:cs="Arial"/>
                <w:szCs w:val="18"/>
              </w:rPr>
            </w:pPr>
            <w:r w:rsidRPr="003726BE">
              <w:t>CEQ–EU</w:t>
            </w:r>
          </w:p>
        </w:tc>
        <w:tc>
          <w:tcPr>
            <w:tcW w:w="1201" w:type="dxa"/>
            <w:tcBorders>
              <w:top w:val="single" w:sz="4" w:space="0" w:color="6F6F6F"/>
              <w:left w:val="single" w:sz="4" w:space="0" w:color="6F6F6F"/>
              <w:bottom w:val="single" w:sz="4" w:space="0" w:color="6F6F6F"/>
              <w:right w:val="single" w:sz="4" w:space="0" w:color="6F6F6F"/>
            </w:tcBorders>
            <w:shd w:val="clear" w:color="auto" w:fill="DC8F81"/>
          </w:tcPr>
          <w:p w14:paraId="40F0CE84" w14:textId="77777777" w:rsidR="002B2ED6" w:rsidRPr="003726BE" w:rsidRDefault="002B2ED6" w:rsidP="00AA71F1">
            <w:pPr>
              <w:suppressAutoHyphens/>
              <w:spacing w:before="40" w:after="40" w:line="240" w:lineRule="auto"/>
              <w:rPr>
                <w:rFonts w:cs="Arial"/>
                <w:szCs w:val="18"/>
              </w:rPr>
            </w:pPr>
            <w:r w:rsidRPr="003726BE">
              <w:t>CEQ–EU</w:t>
            </w:r>
          </w:p>
        </w:tc>
        <w:tc>
          <w:tcPr>
            <w:tcW w:w="1202" w:type="dxa"/>
            <w:tcBorders>
              <w:top w:val="single" w:sz="4" w:space="0" w:color="6F6F6F"/>
              <w:left w:val="single" w:sz="4" w:space="0" w:color="6F6F6F"/>
              <w:bottom w:val="single" w:sz="4" w:space="0" w:color="6F6F6F"/>
              <w:right w:val="single" w:sz="4" w:space="0" w:color="6F6F6F"/>
            </w:tcBorders>
            <w:shd w:val="clear" w:color="auto" w:fill="DC8F81"/>
          </w:tcPr>
          <w:p w14:paraId="712F7E75" w14:textId="77777777" w:rsidR="002B2ED6" w:rsidRPr="003726BE" w:rsidRDefault="002B2ED6" w:rsidP="00AA71F1">
            <w:pPr>
              <w:suppressAutoHyphens/>
              <w:spacing w:before="40" w:after="40" w:line="240" w:lineRule="auto"/>
              <w:rPr>
                <w:rFonts w:cs="Arial"/>
                <w:szCs w:val="18"/>
              </w:rPr>
            </w:pPr>
            <w:r w:rsidRPr="003726BE">
              <w:t>CEQ–EU</w:t>
            </w:r>
          </w:p>
        </w:tc>
      </w:tr>
      <w:tr w:rsidR="002B2ED6" w:rsidRPr="003726BE" w14:paraId="0AE950EE" w14:textId="77777777" w:rsidTr="00AA71F1">
        <w:trPr>
          <w:trHeight w:val="237"/>
          <w:jc w:val="center"/>
        </w:trPr>
        <w:tc>
          <w:tcPr>
            <w:tcW w:w="562" w:type="dxa"/>
            <w:vMerge/>
            <w:tcBorders>
              <w:top w:val="single" w:sz="4" w:space="0" w:color="FFFFFF"/>
              <w:left w:val="single" w:sz="4" w:space="0" w:color="FFFFFF"/>
              <w:bottom w:val="single" w:sz="4" w:space="0" w:color="FFFFFF"/>
              <w:right w:val="single" w:sz="4" w:space="0" w:color="FFFFFF"/>
            </w:tcBorders>
            <w:shd w:val="clear" w:color="auto" w:fill="54638E"/>
          </w:tcPr>
          <w:p w14:paraId="6D7A4A9A" w14:textId="77777777" w:rsidR="002B2ED6" w:rsidRPr="003726BE" w:rsidRDefault="002B2ED6" w:rsidP="00AA71F1">
            <w:pPr>
              <w:suppressAutoHyphens/>
              <w:spacing w:before="40" w:after="40" w:line="240" w:lineRule="auto"/>
              <w:rPr>
                <w:rFonts w:cs="Arial"/>
                <w:b/>
                <w:color w:val="FFFFFF"/>
                <w:szCs w:val="18"/>
              </w:rPr>
            </w:pPr>
          </w:p>
        </w:tc>
        <w:tc>
          <w:tcPr>
            <w:tcW w:w="1418" w:type="dxa"/>
            <w:vMerge w:val="restart"/>
            <w:tcBorders>
              <w:top w:val="single" w:sz="4" w:space="0" w:color="FFFFFF"/>
              <w:left w:val="single" w:sz="4" w:space="0" w:color="FFFFFF"/>
              <w:bottom w:val="single" w:sz="4" w:space="0" w:color="FFFFFF"/>
              <w:right w:val="single" w:sz="4" w:space="0" w:color="FFFFFF"/>
            </w:tcBorders>
            <w:shd w:val="clear" w:color="auto" w:fill="54638E"/>
          </w:tcPr>
          <w:p w14:paraId="078CEC7C" w14:textId="77777777" w:rsidR="002B2ED6" w:rsidRPr="003726BE" w:rsidRDefault="002B2ED6" w:rsidP="00AA71F1">
            <w:pPr>
              <w:suppressAutoHyphens/>
              <w:spacing w:before="40" w:after="40" w:line="240" w:lineRule="auto"/>
              <w:rPr>
                <w:rFonts w:cs="Arial"/>
                <w:b/>
                <w:color w:val="FFFFFF"/>
                <w:szCs w:val="18"/>
              </w:rPr>
            </w:pPr>
            <w:r w:rsidRPr="003726BE">
              <w:rPr>
                <w:b/>
                <w:color w:val="FFFFFF"/>
              </w:rPr>
              <w:t>Analysing</w:t>
            </w:r>
          </w:p>
        </w:tc>
        <w:tc>
          <w:tcPr>
            <w:tcW w:w="1201" w:type="dxa"/>
            <w:tcBorders>
              <w:top w:val="single" w:sz="4" w:space="0" w:color="6F6F6F"/>
              <w:left w:val="single" w:sz="4" w:space="0" w:color="FFFFFF"/>
              <w:bottom w:val="single" w:sz="4" w:space="0" w:color="6F6F6F"/>
              <w:right w:val="single" w:sz="4" w:space="0" w:color="6F6F6F"/>
            </w:tcBorders>
            <w:shd w:val="clear" w:color="auto" w:fill="auto"/>
          </w:tcPr>
          <w:p w14:paraId="4459124F" w14:textId="77777777" w:rsidR="002B2ED6" w:rsidRPr="003726BE"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FBDCAD"/>
          </w:tcPr>
          <w:p w14:paraId="2820428F" w14:textId="77777777" w:rsidR="002B2ED6" w:rsidRPr="003726BE" w:rsidRDefault="002B2ED6" w:rsidP="00AA71F1">
            <w:pPr>
              <w:suppressAutoHyphens/>
              <w:spacing w:before="40" w:after="40" w:line="240" w:lineRule="auto"/>
              <w:rPr>
                <w:rFonts w:cs="Arial"/>
                <w:szCs w:val="18"/>
              </w:rPr>
            </w:pPr>
            <w:r w:rsidRPr="003726BE">
              <w:t>CEQ-FA</w:t>
            </w:r>
          </w:p>
        </w:tc>
        <w:tc>
          <w:tcPr>
            <w:tcW w:w="1202" w:type="dxa"/>
            <w:tcBorders>
              <w:top w:val="single" w:sz="4" w:space="0" w:color="6F6F6F"/>
              <w:left w:val="single" w:sz="4" w:space="0" w:color="6F6F6F"/>
              <w:bottom w:val="single" w:sz="4" w:space="0" w:color="6F6F6F"/>
              <w:right w:val="single" w:sz="4" w:space="0" w:color="6F6F6F"/>
            </w:tcBorders>
            <w:shd w:val="clear" w:color="auto" w:fill="FBDCAD"/>
          </w:tcPr>
          <w:p w14:paraId="78A623F7" w14:textId="77777777" w:rsidR="002B2ED6" w:rsidRPr="003726BE" w:rsidRDefault="002B2ED6" w:rsidP="00AA71F1">
            <w:pPr>
              <w:suppressAutoHyphens/>
              <w:spacing w:before="40" w:after="40" w:line="240" w:lineRule="auto"/>
              <w:rPr>
                <w:rFonts w:cs="Arial"/>
                <w:szCs w:val="18"/>
              </w:rPr>
            </w:pPr>
            <w:r w:rsidRPr="003726BE">
              <w:t>CEQ-FA</w:t>
            </w:r>
          </w:p>
        </w:tc>
        <w:tc>
          <w:tcPr>
            <w:tcW w:w="1201" w:type="dxa"/>
            <w:tcBorders>
              <w:top w:val="single" w:sz="4" w:space="0" w:color="6F6F6F"/>
              <w:left w:val="single" w:sz="4" w:space="0" w:color="6F6F6F"/>
              <w:bottom w:val="single" w:sz="4" w:space="0" w:color="6F6F6F"/>
              <w:right w:val="single" w:sz="4" w:space="0" w:color="6F6F6F"/>
            </w:tcBorders>
            <w:shd w:val="clear" w:color="auto" w:fill="FBDCAD"/>
          </w:tcPr>
          <w:p w14:paraId="18BEA787" w14:textId="77777777" w:rsidR="002B2ED6" w:rsidRPr="003726BE" w:rsidRDefault="002B2ED6" w:rsidP="00AA71F1">
            <w:pPr>
              <w:suppressAutoHyphens/>
              <w:spacing w:before="40" w:after="40" w:line="240" w:lineRule="auto"/>
              <w:rPr>
                <w:rFonts w:cs="Arial"/>
                <w:szCs w:val="18"/>
              </w:rPr>
            </w:pPr>
            <w:r w:rsidRPr="003726BE">
              <w:t>CEQ-FA</w:t>
            </w:r>
          </w:p>
        </w:tc>
        <w:tc>
          <w:tcPr>
            <w:tcW w:w="1202" w:type="dxa"/>
            <w:tcBorders>
              <w:top w:val="single" w:sz="4" w:space="0" w:color="6F6F6F"/>
              <w:left w:val="single" w:sz="4" w:space="0" w:color="6F6F6F"/>
              <w:bottom w:val="single" w:sz="4" w:space="0" w:color="6F6F6F"/>
              <w:right w:val="single" w:sz="4" w:space="0" w:color="6F6F6F"/>
            </w:tcBorders>
            <w:shd w:val="clear" w:color="auto" w:fill="FBDCAD"/>
          </w:tcPr>
          <w:p w14:paraId="652DB5FD" w14:textId="77777777" w:rsidR="002B2ED6" w:rsidRPr="003726BE" w:rsidRDefault="002B2ED6" w:rsidP="00AA71F1">
            <w:pPr>
              <w:suppressAutoHyphens/>
              <w:spacing w:before="40" w:after="40" w:line="240" w:lineRule="auto"/>
              <w:rPr>
                <w:rFonts w:cs="Arial"/>
                <w:szCs w:val="18"/>
              </w:rPr>
            </w:pPr>
            <w:r w:rsidRPr="003726BE">
              <w:t>CEQ-FA</w:t>
            </w: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14:paraId="25ABA3D9" w14:textId="77777777" w:rsidR="002B2ED6" w:rsidRPr="003726BE"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14:paraId="44B975C0" w14:textId="77777777" w:rsidR="002B2ED6" w:rsidRPr="003726BE"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14:paraId="19E73040" w14:textId="77777777" w:rsidR="002B2ED6" w:rsidRPr="003726BE"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FBDCAD"/>
          </w:tcPr>
          <w:p w14:paraId="5532D77F" w14:textId="77777777" w:rsidR="002B2ED6" w:rsidRPr="003726BE" w:rsidRDefault="002B2ED6" w:rsidP="00AA71F1">
            <w:pPr>
              <w:suppressAutoHyphens/>
              <w:spacing w:before="40" w:after="40" w:line="240" w:lineRule="auto"/>
              <w:rPr>
                <w:rFonts w:cs="Arial"/>
                <w:szCs w:val="18"/>
              </w:rPr>
            </w:pPr>
            <w:r w:rsidRPr="003726BE">
              <w:t>CEQ-FA</w:t>
            </w:r>
          </w:p>
        </w:tc>
        <w:tc>
          <w:tcPr>
            <w:tcW w:w="1202" w:type="dxa"/>
            <w:tcBorders>
              <w:top w:val="single" w:sz="4" w:space="0" w:color="6F6F6F"/>
              <w:left w:val="single" w:sz="4" w:space="0" w:color="6F6F6F"/>
              <w:bottom w:val="single" w:sz="4" w:space="0" w:color="6F6F6F"/>
              <w:right w:val="single" w:sz="4" w:space="0" w:color="6F6F6F"/>
            </w:tcBorders>
            <w:shd w:val="clear" w:color="auto" w:fill="FBDCAD"/>
          </w:tcPr>
          <w:p w14:paraId="1A821195" w14:textId="77777777" w:rsidR="002B2ED6" w:rsidRPr="003726BE" w:rsidRDefault="002B2ED6" w:rsidP="00AA71F1">
            <w:pPr>
              <w:suppressAutoHyphens/>
              <w:spacing w:before="40" w:after="40" w:line="240" w:lineRule="auto"/>
              <w:rPr>
                <w:rFonts w:cs="Arial"/>
                <w:szCs w:val="18"/>
              </w:rPr>
            </w:pPr>
            <w:r w:rsidRPr="003726BE">
              <w:t>CEQ-FA</w:t>
            </w:r>
          </w:p>
        </w:tc>
      </w:tr>
      <w:tr w:rsidR="002B2ED6" w:rsidRPr="003726BE" w14:paraId="478C6034" w14:textId="77777777" w:rsidTr="00AA71F1">
        <w:trPr>
          <w:trHeight w:val="285"/>
          <w:jc w:val="center"/>
        </w:trPr>
        <w:tc>
          <w:tcPr>
            <w:tcW w:w="562" w:type="dxa"/>
            <w:vMerge/>
            <w:tcBorders>
              <w:top w:val="single" w:sz="4" w:space="0" w:color="FFFFFF"/>
              <w:left w:val="single" w:sz="4" w:space="0" w:color="FFFFFF"/>
              <w:bottom w:val="single" w:sz="4" w:space="0" w:color="FFFFFF"/>
              <w:right w:val="single" w:sz="4" w:space="0" w:color="FFFFFF"/>
            </w:tcBorders>
            <w:shd w:val="clear" w:color="auto" w:fill="54638E"/>
          </w:tcPr>
          <w:p w14:paraId="33D27F19" w14:textId="77777777" w:rsidR="002B2ED6" w:rsidRPr="003726BE" w:rsidRDefault="002B2ED6" w:rsidP="00AA71F1">
            <w:pPr>
              <w:suppressAutoHyphens/>
              <w:spacing w:before="40" w:after="40" w:line="240" w:lineRule="auto"/>
              <w:rPr>
                <w:rFonts w:cs="Arial"/>
                <w:b/>
                <w:color w:val="FFFFFF"/>
                <w:szCs w:val="18"/>
              </w:rPr>
            </w:pPr>
          </w:p>
        </w:tc>
        <w:tc>
          <w:tcPr>
            <w:tcW w:w="1418" w:type="dxa"/>
            <w:vMerge/>
            <w:tcBorders>
              <w:top w:val="single" w:sz="4" w:space="0" w:color="FFFFFF"/>
              <w:left w:val="single" w:sz="4" w:space="0" w:color="FFFFFF"/>
              <w:bottom w:val="single" w:sz="4" w:space="0" w:color="FFFFFF"/>
              <w:right w:val="single" w:sz="4" w:space="0" w:color="FFFFFF"/>
            </w:tcBorders>
            <w:shd w:val="clear" w:color="auto" w:fill="54638E"/>
          </w:tcPr>
          <w:p w14:paraId="2D62A43F" w14:textId="77777777" w:rsidR="002B2ED6" w:rsidRPr="003726BE" w:rsidRDefault="002B2ED6" w:rsidP="00AA71F1">
            <w:pPr>
              <w:suppressAutoHyphens/>
              <w:spacing w:before="40" w:after="40" w:line="240" w:lineRule="auto"/>
              <w:rPr>
                <w:rFonts w:cs="Arial"/>
                <w:b/>
                <w:color w:val="FFFFFF"/>
                <w:szCs w:val="18"/>
              </w:rPr>
            </w:pPr>
          </w:p>
        </w:tc>
        <w:tc>
          <w:tcPr>
            <w:tcW w:w="1201" w:type="dxa"/>
            <w:tcBorders>
              <w:top w:val="single" w:sz="4" w:space="0" w:color="6F6F6F"/>
              <w:left w:val="single" w:sz="4" w:space="0" w:color="FFFFFF"/>
              <w:bottom w:val="single" w:sz="4" w:space="0" w:color="6F6F6F"/>
              <w:right w:val="single" w:sz="4" w:space="0" w:color="6F6F6F"/>
            </w:tcBorders>
            <w:shd w:val="clear" w:color="auto" w:fill="auto"/>
          </w:tcPr>
          <w:p w14:paraId="3C43C746" w14:textId="77777777" w:rsidR="002B2ED6" w:rsidRPr="003726BE"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F6B183"/>
          </w:tcPr>
          <w:p w14:paraId="0F409FB9" w14:textId="77777777" w:rsidR="002B2ED6" w:rsidRPr="003726BE" w:rsidRDefault="002B2ED6" w:rsidP="00AA71F1">
            <w:pPr>
              <w:suppressAutoHyphens/>
              <w:spacing w:before="40" w:after="40" w:line="240" w:lineRule="auto"/>
              <w:rPr>
                <w:rFonts w:cs="Arial"/>
                <w:szCs w:val="18"/>
              </w:rPr>
            </w:pPr>
            <w:r w:rsidRPr="003726BE">
              <w:t>CEQ–OA</w:t>
            </w:r>
          </w:p>
        </w:tc>
        <w:tc>
          <w:tcPr>
            <w:tcW w:w="1202" w:type="dxa"/>
            <w:tcBorders>
              <w:top w:val="single" w:sz="4" w:space="0" w:color="6F6F6F"/>
              <w:left w:val="single" w:sz="4" w:space="0" w:color="6F6F6F"/>
              <w:bottom w:val="single" w:sz="4" w:space="0" w:color="6F6F6F"/>
              <w:right w:val="single" w:sz="4" w:space="0" w:color="6F6F6F"/>
            </w:tcBorders>
            <w:shd w:val="clear" w:color="auto" w:fill="F6B183"/>
          </w:tcPr>
          <w:p w14:paraId="3D3C4723" w14:textId="77777777" w:rsidR="002B2ED6" w:rsidRPr="003726BE" w:rsidRDefault="002B2ED6" w:rsidP="00AA71F1">
            <w:pPr>
              <w:suppressAutoHyphens/>
              <w:spacing w:before="40" w:after="40" w:line="240" w:lineRule="auto"/>
              <w:rPr>
                <w:rFonts w:cs="Arial"/>
                <w:szCs w:val="18"/>
              </w:rPr>
            </w:pPr>
            <w:r w:rsidRPr="003726BE">
              <w:t>CEQ–OA</w:t>
            </w:r>
          </w:p>
        </w:tc>
        <w:tc>
          <w:tcPr>
            <w:tcW w:w="1201" w:type="dxa"/>
            <w:tcBorders>
              <w:top w:val="single" w:sz="4" w:space="0" w:color="6F6F6F"/>
              <w:left w:val="single" w:sz="4" w:space="0" w:color="6F6F6F"/>
              <w:bottom w:val="single" w:sz="4" w:space="0" w:color="6F6F6F"/>
              <w:right w:val="single" w:sz="4" w:space="0" w:color="6F6F6F"/>
            </w:tcBorders>
            <w:shd w:val="clear" w:color="auto" w:fill="F6B183"/>
          </w:tcPr>
          <w:p w14:paraId="4C81D5C4" w14:textId="77777777" w:rsidR="002B2ED6" w:rsidRPr="003726BE" w:rsidRDefault="002B2ED6" w:rsidP="00AA71F1">
            <w:pPr>
              <w:suppressAutoHyphens/>
              <w:spacing w:before="40" w:after="40" w:line="240" w:lineRule="auto"/>
              <w:rPr>
                <w:rFonts w:cs="Arial"/>
                <w:szCs w:val="18"/>
              </w:rPr>
            </w:pPr>
            <w:r w:rsidRPr="003726BE">
              <w:t>CEQ–OA</w:t>
            </w:r>
          </w:p>
        </w:tc>
        <w:tc>
          <w:tcPr>
            <w:tcW w:w="1202" w:type="dxa"/>
            <w:tcBorders>
              <w:top w:val="single" w:sz="4" w:space="0" w:color="6F6F6F"/>
              <w:left w:val="single" w:sz="4" w:space="0" w:color="6F6F6F"/>
              <w:bottom w:val="single" w:sz="4" w:space="0" w:color="6F6F6F"/>
              <w:right w:val="single" w:sz="4" w:space="0" w:color="6F6F6F"/>
            </w:tcBorders>
            <w:shd w:val="clear" w:color="auto" w:fill="F6B183"/>
          </w:tcPr>
          <w:p w14:paraId="2BF2A80E" w14:textId="77777777" w:rsidR="002B2ED6" w:rsidRPr="003726BE" w:rsidRDefault="002B2ED6" w:rsidP="00AA71F1">
            <w:pPr>
              <w:suppressAutoHyphens/>
              <w:spacing w:before="40" w:after="40" w:line="240" w:lineRule="auto"/>
              <w:rPr>
                <w:rFonts w:cs="Arial"/>
                <w:szCs w:val="18"/>
              </w:rPr>
            </w:pPr>
            <w:r w:rsidRPr="003726BE">
              <w:t>CEQ–OA</w:t>
            </w: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14:paraId="1725F17D" w14:textId="77777777" w:rsidR="002B2ED6" w:rsidRPr="003726BE"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14:paraId="25ADF811" w14:textId="77777777" w:rsidR="002B2ED6" w:rsidRPr="003726BE"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14:paraId="1E126BBC" w14:textId="77777777" w:rsidR="002B2ED6" w:rsidRPr="003726BE"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F6B183"/>
          </w:tcPr>
          <w:p w14:paraId="43BBD0AE" w14:textId="77777777" w:rsidR="002B2ED6" w:rsidRPr="003726BE" w:rsidRDefault="002B2ED6" w:rsidP="00AA71F1">
            <w:pPr>
              <w:suppressAutoHyphens/>
              <w:spacing w:before="40" w:after="40" w:line="240" w:lineRule="auto"/>
              <w:rPr>
                <w:rFonts w:cs="Arial"/>
                <w:szCs w:val="18"/>
              </w:rPr>
            </w:pPr>
            <w:r w:rsidRPr="003726BE">
              <w:t>CEQ–OA</w:t>
            </w:r>
          </w:p>
        </w:tc>
        <w:tc>
          <w:tcPr>
            <w:tcW w:w="1202" w:type="dxa"/>
            <w:tcBorders>
              <w:top w:val="single" w:sz="4" w:space="0" w:color="6F6F6F"/>
              <w:left w:val="single" w:sz="4" w:space="0" w:color="6F6F6F"/>
              <w:bottom w:val="single" w:sz="4" w:space="0" w:color="6F6F6F"/>
              <w:right w:val="single" w:sz="4" w:space="0" w:color="6F6F6F"/>
            </w:tcBorders>
            <w:shd w:val="clear" w:color="auto" w:fill="F6B183"/>
          </w:tcPr>
          <w:p w14:paraId="174184B2" w14:textId="77777777" w:rsidR="002B2ED6" w:rsidRPr="003726BE" w:rsidRDefault="002B2ED6" w:rsidP="00AA71F1">
            <w:pPr>
              <w:suppressAutoHyphens/>
              <w:spacing w:before="40" w:after="40" w:line="240" w:lineRule="auto"/>
              <w:rPr>
                <w:rFonts w:cs="Arial"/>
                <w:szCs w:val="18"/>
              </w:rPr>
            </w:pPr>
            <w:r w:rsidRPr="003726BE">
              <w:t>CEQ–OA</w:t>
            </w:r>
          </w:p>
        </w:tc>
      </w:tr>
      <w:tr w:rsidR="002B2ED6" w:rsidRPr="003726BE" w14:paraId="200680C1" w14:textId="77777777" w:rsidTr="00AA71F1">
        <w:trPr>
          <w:trHeight w:val="232"/>
          <w:jc w:val="center"/>
        </w:trPr>
        <w:tc>
          <w:tcPr>
            <w:tcW w:w="562" w:type="dxa"/>
            <w:vMerge/>
            <w:tcBorders>
              <w:top w:val="single" w:sz="4" w:space="0" w:color="FFFFFF"/>
              <w:left w:val="single" w:sz="4" w:space="0" w:color="FFFFFF"/>
              <w:bottom w:val="single" w:sz="4" w:space="0" w:color="FFFFFF"/>
              <w:right w:val="single" w:sz="4" w:space="0" w:color="FFFFFF"/>
            </w:tcBorders>
            <w:shd w:val="clear" w:color="auto" w:fill="54638E"/>
          </w:tcPr>
          <w:p w14:paraId="6F5385ED" w14:textId="77777777" w:rsidR="002B2ED6" w:rsidRPr="003726BE" w:rsidRDefault="002B2ED6" w:rsidP="00AA71F1">
            <w:pPr>
              <w:suppressAutoHyphens/>
              <w:spacing w:before="40" w:after="40" w:line="240" w:lineRule="auto"/>
              <w:rPr>
                <w:rFonts w:cs="Arial"/>
                <w:b/>
                <w:color w:val="FFFFFF"/>
                <w:szCs w:val="18"/>
              </w:rPr>
            </w:pPr>
          </w:p>
        </w:tc>
        <w:tc>
          <w:tcPr>
            <w:tcW w:w="1418" w:type="dxa"/>
            <w:vMerge/>
            <w:tcBorders>
              <w:top w:val="single" w:sz="4" w:space="0" w:color="FFFFFF"/>
              <w:left w:val="single" w:sz="4" w:space="0" w:color="FFFFFF"/>
              <w:bottom w:val="single" w:sz="4" w:space="0" w:color="FFFFFF"/>
              <w:right w:val="single" w:sz="4" w:space="0" w:color="FFFFFF"/>
            </w:tcBorders>
            <w:shd w:val="clear" w:color="auto" w:fill="54638E"/>
          </w:tcPr>
          <w:p w14:paraId="7245C989" w14:textId="77777777" w:rsidR="002B2ED6" w:rsidRPr="003726BE" w:rsidRDefault="002B2ED6" w:rsidP="00AA71F1">
            <w:pPr>
              <w:suppressAutoHyphens/>
              <w:spacing w:before="40" w:after="40" w:line="240" w:lineRule="auto"/>
              <w:rPr>
                <w:rFonts w:cs="Arial"/>
                <w:b/>
                <w:color w:val="FFFFFF"/>
                <w:szCs w:val="18"/>
              </w:rPr>
            </w:pPr>
          </w:p>
        </w:tc>
        <w:tc>
          <w:tcPr>
            <w:tcW w:w="1201" w:type="dxa"/>
            <w:tcBorders>
              <w:top w:val="single" w:sz="4" w:space="0" w:color="6F6F6F"/>
              <w:left w:val="single" w:sz="4" w:space="0" w:color="FFFFFF"/>
              <w:bottom w:val="single" w:sz="4" w:space="0" w:color="6F6F6F"/>
              <w:right w:val="single" w:sz="4" w:space="0" w:color="6F6F6F"/>
            </w:tcBorders>
            <w:shd w:val="clear" w:color="auto" w:fill="auto"/>
          </w:tcPr>
          <w:p w14:paraId="7A517118" w14:textId="77777777" w:rsidR="002B2ED6" w:rsidRPr="003726BE"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14:paraId="216CAE51" w14:textId="77777777" w:rsidR="002B2ED6" w:rsidRPr="003726BE"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14:paraId="616811FF" w14:textId="77777777" w:rsidR="002B2ED6" w:rsidRPr="003726BE"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DC8F81"/>
          </w:tcPr>
          <w:p w14:paraId="708742CB" w14:textId="77777777" w:rsidR="002B2ED6" w:rsidRPr="003726BE" w:rsidRDefault="002B2ED6" w:rsidP="00AA71F1">
            <w:pPr>
              <w:suppressAutoHyphens/>
              <w:spacing w:before="40" w:after="40" w:line="240" w:lineRule="auto"/>
              <w:rPr>
                <w:rFonts w:cs="Arial"/>
                <w:szCs w:val="18"/>
              </w:rPr>
            </w:pPr>
            <w:r w:rsidRPr="003726BE">
              <w:t>CEQ–EU</w:t>
            </w:r>
          </w:p>
        </w:tc>
        <w:tc>
          <w:tcPr>
            <w:tcW w:w="1202" w:type="dxa"/>
            <w:tcBorders>
              <w:top w:val="single" w:sz="4" w:space="0" w:color="6F6F6F"/>
              <w:left w:val="single" w:sz="4" w:space="0" w:color="6F6F6F"/>
              <w:bottom w:val="single" w:sz="4" w:space="0" w:color="6F6F6F"/>
              <w:right w:val="single" w:sz="4" w:space="0" w:color="6F6F6F"/>
            </w:tcBorders>
            <w:shd w:val="clear" w:color="auto" w:fill="DC8F81"/>
          </w:tcPr>
          <w:p w14:paraId="101A59D0" w14:textId="77777777" w:rsidR="002B2ED6" w:rsidRPr="003726BE" w:rsidRDefault="002B2ED6" w:rsidP="00AA71F1">
            <w:pPr>
              <w:suppressAutoHyphens/>
              <w:spacing w:before="40" w:after="40" w:line="240" w:lineRule="auto"/>
              <w:rPr>
                <w:rFonts w:cs="Arial"/>
                <w:szCs w:val="18"/>
              </w:rPr>
            </w:pPr>
            <w:r w:rsidRPr="003726BE">
              <w:t>CEQ–EU</w:t>
            </w: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14:paraId="5DF441F9" w14:textId="77777777" w:rsidR="002B2ED6" w:rsidRPr="003726BE"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14:paraId="7E93DD3F" w14:textId="77777777" w:rsidR="002B2ED6" w:rsidRPr="003726BE"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14:paraId="099BBA64" w14:textId="77777777" w:rsidR="002B2ED6" w:rsidRPr="003726BE"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DC8F81"/>
          </w:tcPr>
          <w:p w14:paraId="364A5596" w14:textId="77777777" w:rsidR="002B2ED6" w:rsidRPr="003726BE" w:rsidRDefault="002B2ED6" w:rsidP="00AA71F1">
            <w:pPr>
              <w:suppressAutoHyphens/>
              <w:spacing w:before="40" w:after="40" w:line="240" w:lineRule="auto"/>
              <w:rPr>
                <w:rFonts w:cs="Arial"/>
                <w:szCs w:val="18"/>
              </w:rPr>
            </w:pPr>
            <w:r w:rsidRPr="003726BE">
              <w:t>CEQ–EU</w:t>
            </w:r>
          </w:p>
        </w:tc>
        <w:tc>
          <w:tcPr>
            <w:tcW w:w="1202" w:type="dxa"/>
            <w:tcBorders>
              <w:top w:val="single" w:sz="4" w:space="0" w:color="6F6F6F"/>
              <w:left w:val="single" w:sz="4" w:space="0" w:color="6F6F6F"/>
              <w:bottom w:val="single" w:sz="4" w:space="0" w:color="6F6F6F"/>
              <w:right w:val="single" w:sz="4" w:space="0" w:color="6F6F6F"/>
            </w:tcBorders>
            <w:shd w:val="clear" w:color="auto" w:fill="DC8F81"/>
          </w:tcPr>
          <w:p w14:paraId="5CC22B5D" w14:textId="77777777" w:rsidR="002B2ED6" w:rsidRPr="003726BE" w:rsidRDefault="002B2ED6" w:rsidP="00AA71F1">
            <w:pPr>
              <w:suppressAutoHyphens/>
              <w:spacing w:before="40" w:after="40" w:line="240" w:lineRule="auto"/>
              <w:rPr>
                <w:rFonts w:cs="Arial"/>
                <w:szCs w:val="18"/>
              </w:rPr>
            </w:pPr>
            <w:r w:rsidRPr="003726BE">
              <w:t>CEQ–EU</w:t>
            </w:r>
          </w:p>
        </w:tc>
      </w:tr>
      <w:tr w:rsidR="002B2ED6" w:rsidRPr="003726BE" w14:paraId="209FCF5F" w14:textId="77777777" w:rsidTr="00AA71F1">
        <w:trPr>
          <w:trHeight w:val="236"/>
          <w:jc w:val="center"/>
        </w:trPr>
        <w:tc>
          <w:tcPr>
            <w:tcW w:w="562" w:type="dxa"/>
            <w:vMerge/>
            <w:tcBorders>
              <w:top w:val="single" w:sz="4" w:space="0" w:color="FFFFFF"/>
              <w:left w:val="single" w:sz="4" w:space="0" w:color="FFFFFF"/>
              <w:bottom w:val="single" w:sz="4" w:space="0" w:color="FFFFFF"/>
              <w:right w:val="single" w:sz="4" w:space="0" w:color="FFFFFF"/>
            </w:tcBorders>
            <w:shd w:val="clear" w:color="auto" w:fill="54638E"/>
          </w:tcPr>
          <w:p w14:paraId="34862A28" w14:textId="77777777" w:rsidR="002B2ED6" w:rsidRPr="003726BE" w:rsidRDefault="002B2ED6" w:rsidP="00AA71F1">
            <w:pPr>
              <w:suppressAutoHyphens/>
              <w:spacing w:before="40" w:after="40" w:line="240" w:lineRule="auto"/>
              <w:rPr>
                <w:rFonts w:cs="Arial"/>
                <w:b/>
                <w:color w:val="FFFFFF"/>
                <w:szCs w:val="18"/>
              </w:rPr>
            </w:pPr>
          </w:p>
        </w:tc>
        <w:tc>
          <w:tcPr>
            <w:tcW w:w="1418" w:type="dxa"/>
            <w:vMerge w:val="restart"/>
            <w:tcBorders>
              <w:top w:val="single" w:sz="4" w:space="0" w:color="FFFFFF"/>
              <w:left w:val="single" w:sz="4" w:space="0" w:color="FFFFFF"/>
              <w:bottom w:val="single" w:sz="4" w:space="0" w:color="FFFFFF"/>
              <w:right w:val="single" w:sz="4" w:space="0" w:color="FFFFFF"/>
            </w:tcBorders>
            <w:shd w:val="clear" w:color="auto" w:fill="54638E"/>
          </w:tcPr>
          <w:p w14:paraId="1A0C034C" w14:textId="77777777" w:rsidR="002B2ED6" w:rsidRPr="003726BE" w:rsidRDefault="002B2ED6" w:rsidP="00AA71F1">
            <w:pPr>
              <w:suppressAutoHyphens/>
              <w:spacing w:before="40" w:after="40" w:line="240" w:lineRule="auto"/>
              <w:rPr>
                <w:rFonts w:cs="Arial"/>
                <w:b/>
                <w:color w:val="FFFFFF"/>
                <w:szCs w:val="18"/>
              </w:rPr>
            </w:pPr>
            <w:r w:rsidRPr="003726BE">
              <w:rPr>
                <w:b/>
                <w:color w:val="FFFFFF"/>
              </w:rPr>
              <w:t>Judging</w:t>
            </w:r>
          </w:p>
          <w:p w14:paraId="59E72804" w14:textId="77777777" w:rsidR="002B2ED6" w:rsidRPr="003726BE" w:rsidRDefault="002B2ED6" w:rsidP="00AA71F1">
            <w:pPr>
              <w:suppressAutoHyphens/>
              <w:spacing w:before="40" w:after="40" w:line="240" w:lineRule="auto"/>
              <w:rPr>
                <w:rFonts w:cs="Arial"/>
                <w:b/>
                <w:color w:val="FFFFFF"/>
                <w:szCs w:val="18"/>
              </w:rPr>
            </w:pPr>
          </w:p>
        </w:tc>
        <w:tc>
          <w:tcPr>
            <w:tcW w:w="1201" w:type="dxa"/>
            <w:tcBorders>
              <w:top w:val="single" w:sz="4" w:space="0" w:color="6F6F6F"/>
              <w:left w:val="single" w:sz="4" w:space="0" w:color="FFFFFF"/>
              <w:bottom w:val="single" w:sz="4" w:space="0" w:color="6F6F6F"/>
              <w:right w:val="single" w:sz="4" w:space="0" w:color="6F6F6F"/>
            </w:tcBorders>
            <w:shd w:val="clear" w:color="auto" w:fill="auto"/>
          </w:tcPr>
          <w:p w14:paraId="13F6FE24" w14:textId="77777777" w:rsidR="002B2ED6" w:rsidRPr="003726BE"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14:paraId="05807902" w14:textId="77777777" w:rsidR="002B2ED6" w:rsidRPr="003726BE"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FBDCAD"/>
          </w:tcPr>
          <w:p w14:paraId="2CAEF19B" w14:textId="77777777" w:rsidR="002B2ED6" w:rsidRPr="003726BE" w:rsidRDefault="002B2ED6" w:rsidP="00AA71F1">
            <w:pPr>
              <w:suppressAutoHyphens/>
              <w:spacing w:before="40" w:after="40" w:line="240" w:lineRule="auto"/>
              <w:rPr>
                <w:rFonts w:cs="Arial"/>
                <w:szCs w:val="18"/>
              </w:rPr>
            </w:pPr>
            <w:r w:rsidRPr="003726BE">
              <w:t>CEQ-FA</w:t>
            </w: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14:paraId="4E77A3C5" w14:textId="77777777" w:rsidR="002B2ED6" w:rsidRPr="003726BE"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FBDCAD"/>
          </w:tcPr>
          <w:p w14:paraId="5ED29BF3" w14:textId="77777777" w:rsidR="002B2ED6" w:rsidRPr="003726BE" w:rsidRDefault="002B2ED6" w:rsidP="00AA71F1">
            <w:pPr>
              <w:suppressAutoHyphens/>
              <w:spacing w:before="40" w:after="40" w:line="240" w:lineRule="auto"/>
              <w:rPr>
                <w:rFonts w:cs="Arial"/>
                <w:szCs w:val="18"/>
              </w:rPr>
            </w:pPr>
            <w:r w:rsidRPr="003726BE">
              <w:t>CEQ-FA</w:t>
            </w: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14:paraId="50B59BE2" w14:textId="77777777" w:rsidR="002B2ED6" w:rsidRPr="003726BE"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14:paraId="622A0870" w14:textId="77777777" w:rsidR="002B2ED6" w:rsidRPr="003726BE"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14:paraId="01929AA4" w14:textId="77777777" w:rsidR="002B2ED6" w:rsidRPr="003726BE"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14:paraId="704332E8" w14:textId="77777777" w:rsidR="002B2ED6" w:rsidRPr="003726BE"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FBDCAD"/>
          </w:tcPr>
          <w:p w14:paraId="5D04EA5D" w14:textId="77777777" w:rsidR="002B2ED6" w:rsidRPr="003726BE" w:rsidRDefault="002B2ED6" w:rsidP="00AA71F1">
            <w:pPr>
              <w:suppressAutoHyphens/>
              <w:spacing w:before="40" w:after="40" w:line="240" w:lineRule="auto"/>
              <w:rPr>
                <w:rFonts w:cs="Arial"/>
                <w:szCs w:val="18"/>
              </w:rPr>
            </w:pPr>
            <w:r w:rsidRPr="003726BE">
              <w:t>CEQ-FA</w:t>
            </w:r>
          </w:p>
        </w:tc>
      </w:tr>
      <w:tr w:rsidR="002B2ED6" w:rsidRPr="003726BE" w14:paraId="0AFF19B2" w14:textId="77777777" w:rsidTr="00AA71F1">
        <w:trPr>
          <w:trHeight w:val="225"/>
          <w:jc w:val="center"/>
        </w:trPr>
        <w:tc>
          <w:tcPr>
            <w:tcW w:w="562" w:type="dxa"/>
            <w:vMerge/>
            <w:tcBorders>
              <w:top w:val="single" w:sz="4" w:space="0" w:color="FFFFFF"/>
              <w:left w:val="single" w:sz="4" w:space="0" w:color="FFFFFF"/>
              <w:bottom w:val="single" w:sz="4" w:space="0" w:color="FFFFFF"/>
              <w:right w:val="single" w:sz="4" w:space="0" w:color="FFFFFF"/>
            </w:tcBorders>
            <w:shd w:val="clear" w:color="auto" w:fill="54638E"/>
          </w:tcPr>
          <w:p w14:paraId="2DE34455" w14:textId="77777777" w:rsidR="002B2ED6" w:rsidRPr="003726BE" w:rsidRDefault="002B2ED6" w:rsidP="00AA71F1">
            <w:pPr>
              <w:suppressAutoHyphens/>
              <w:spacing w:before="40" w:after="40" w:line="240" w:lineRule="auto"/>
              <w:rPr>
                <w:rFonts w:cs="Arial"/>
                <w:b/>
                <w:color w:val="FFFFFF"/>
                <w:szCs w:val="18"/>
              </w:rPr>
            </w:pPr>
          </w:p>
        </w:tc>
        <w:tc>
          <w:tcPr>
            <w:tcW w:w="1418" w:type="dxa"/>
            <w:vMerge/>
            <w:tcBorders>
              <w:top w:val="single" w:sz="4" w:space="0" w:color="FFFFFF"/>
              <w:left w:val="single" w:sz="4" w:space="0" w:color="FFFFFF"/>
              <w:bottom w:val="single" w:sz="4" w:space="0" w:color="FFFFFF"/>
              <w:right w:val="single" w:sz="4" w:space="0" w:color="FFFFFF"/>
            </w:tcBorders>
            <w:shd w:val="clear" w:color="auto" w:fill="54638E"/>
          </w:tcPr>
          <w:p w14:paraId="02C13C09" w14:textId="77777777" w:rsidR="002B2ED6" w:rsidRPr="003726BE" w:rsidRDefault="002B2ED6" w:rsidP="00AA71F1">
            <w:pPr>
              <w:suppressAutoHyphens/>
              <w:spacing w:before="40" w:after="40" w:line="240" w:lineRule="auto"/>
              <w:rPr>
                <w:rFonts w:cs="Arial"/>
                <w:b/>
                <w:color w:val="FFFFFF"/>
                <w:szCs w:val="18"/>
              </w:rPr>
            </w:pPr>
          </w:p>
        </w:tc>
        <w:tc>
          <w:tcPr>
            <w:tcW w:w="1201" w:type="dxa"/>
            <w:tcBorders>
              <w:top w:val="single" w:sz="4" w:space="0" w:color="6F6F6F"/>
              <w:left w:val="single" w:sz="4" w:space="0" w:color="FFFFFF"/>
              <w:bottom w:val="single" w:sz="4" w:space="0" w:color="6F6F6F"/>
              <w:right w:val="single" w:sz="4" w:space="0" w:color="6F6F6F"/>
            </w:tcBorders>
            <w:shd w:val="clear" w:color="auto" w:fill="auto"/>
          </w:tcPr>
          <w:p w14:paraId="4A28DFDD" w14:textId="77777777" w:rsidR="002B2ED6" w:rsidRPr="003726BE"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14:paraId="1D20FCC7" w14:textId="77777777" w:rsidR="002B2ED6" w:rsidRPr="003726BE"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F6B183"/>
          </w:tcPr>
          <w:p w14:paraId="158E2075" w14:textId="77777777" w:rsidR="002B2ED6" w:rsidRPr="003726BE" w:rsidRDefault="002B2ED6" w:rsidP="00AA71F1">
            <w:pPr>
              <w:suppressAutoHyphens/>
              <w:spacing w:before="40" w:after="40" w:line="240" w:lineRule="auto"/>
              <w:rPr>
                <w:rFonts w:cs="Arial"/>
                <w:szCs w:val="18"/>
              </w:rPr>
            </w:pPr>
            <w:r w:rsidRPr="003726BE">
              <w:t>CEQ–OA</w:t>
            </w: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14:paraId="087FEAE5" w14:textId="77777777" w:rsidR="002B2ED6" w:rsidRPr="003726BE"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F6B183"/>
          </w:tcPr>
          <w:p w14:paraId="2E63041F" w14:textId="77777777" w:rsidR="002B2ED6" w:rsidRPr="003726BE" w:rsidRDefault="002B2ED6" w:rsidP="00AA71F1">
            <w:pPr>
              <w:suppressAutoHyphens/>
              <w:spacing w:before="40" w:after="40" w:line="240" w:lineRule="auto"/>
              <w:rPr>
                <w:rFonts w:cs="Arial"/>
                <w:szCs w:val="18"/>
              </w:rPr>
            </w:pPr>
            <w:r w:rsidRPr="003726BE">
              <w:t>CEQ–OA</w:t>
            </w: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14:paraId="27A1E431" w14:textId="77777777" w:rsidR="002B2ED6" w:rsidRPr="003726BE"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14:paraId="08BBF7DB" w14:textId="77777777" w:rsidR="002B2ED6" w:rsidRPr="003726BE"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14:paraId="2E204E0C" w14:textId="77777777" w:rsidR="002B2ED6" w:rsidRPr="003726BE"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14:paraId="285EF2C2" w14:textId="77777777" w:rsidR="002B2ED6" w:rsidRPr="003726BE"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F6B183"/>
          </w:tcPr>
          <w:p w14:paraId="5D93D27E" w14:textId="77777777" w:rsidR="002B2ED6" w:rsidRPr="003726BE" w:rsidRDefault="002B2ED6" w:rsidP="00AA71F1">
            <w:pPr>
              <w:suppressAutoHyphens/>
              <w:spacing w:before="40" w:after="40" w:line="240" w:lineRule="auto"/>
              <w:rPr>
                <w:rFonts w:cs="Arial"/>
                <w:szCs w:val="18"/>
              </w:rPr>
            </w:pPr>
            <w:r w:rsidRPr="003726BE">
              <w:t>CEQ–OA</w:t>
            </w:r>
          </w:p>
        </w:tc>
      </w:tr>
      <w:tr w:rsidR="002B2ED6" w:rsidRPr="003726BE" w14:paraId="7A7B1490" w14:textId="77777777" w:rsidTr="00AA71F1">
        <w:trPr>
          <w:trHeight w:val="315"/>
          <w:jc w:val="center"/>
        </w:trPr>
        <w:tc>
          <w:tcPr>
            <w:tcW w:w="562" w:type="dxa"/>
            <w:vMerge/>
            <w:tcBorders>
              <w:top w:val="single" w:sz="4" w:space="0" w:color="FFFFFF"/>
              <w:left w:val="single" w:sz="4" w:space="0" w:color="FFFFFF"/>
              <w:bottom w:val="single" w:sz="4" w:space="0" w:color="FFFFFF"/>
              <w:right w:val="single" w:sz="4" w:space="0" w:color="FFFFFF"/>
            </w:tcBorders>
            <w:shd w:val="clear" w:color="auto" w:fill="54638E"/>
          </w:tcPr>
          <w:p w14:paraId="7789870B" w14:textId="77777777" w:rsidR="002B2ED6" w:rsidRPr="003726BE" w:rsidRDefault="002B2ED6" w:rsidP="00AA71F1">
            <w:pPr>
              <w:suppressAutoHyphens/>
              <w:spacing w:before="40" w:after="40" w:line="240" w:lineRule="auto"/>
              <w:rPr>
                <w:rFonts w:cs="Arial"/>
                <w:b/>
                <w:color w:val="FFFFFF"/>
                <w:szCs w:val="18"/>
              </w:rPr>
            </w:pPr>
          </w:p>
        </w:tc>
        <w:tc>
          <w:tcPr>
            <w:tcW w:w="1418" w:type="dxa"/>
            <w:vMerge/>
            <w:tcBorders>
              <w:top w:val="single" w:sz="4" w:space="0" w:color="FFFFFF"/>
              <w:left w:val="single" w:sz="4" w:space="0" w:color="FFFFFF"/>
              <w:bottom w:val="single" w:sz="4" w:space="0" w:color="FFFFFF"/>
              <w:right w:val="single" w:sz="4" w:space="0" w:color="FFFFFF"/>
            </w:tcBorders>
            <w:shd w:val="clear" w:color="auto" w:fill="54638E"/>
          </w:tcPr>
          <w:p w14:paraId="720EB8D7" w14:textId="77777777" w:rsidR="002B2ED6" w:rsidRPr="003726BE" w:rsidRDefault="002B2ED6" w:rsidP="00AA71F1">
            <w:pPr>
              <w:suppressAutoHyphens/>
              <w:spacing w:before="40" w:after="40" w:line="240" w:lineRule="auto"/>
              <w:rPr>
                <w:rFonts w:cs="Arial"/>
                <w:b/>
                <w:color w:val="FFFFFF"/>
                <w:szCs w:val="18"/>
              </w:rPr>
            </w:pPr>
          </w:p>
        </w:tc>
        <w:tc>
          <w:tcPr>
            <w:tcW w:w="1201" w:type="dxa"/>
            <w:tcBorders>
              <w:top w:val="single" w:sz="4" w:space="0" w:color="6F6F6F"/>
              <w:left w:val="single" w:sz="4" w:space="0" w:color="FFFFFF"/>
              <w:bottom w:val="single" w:sz="4" w:space="0" w:color="6F6F6F"/>
              <w:right w:val="single" w:sz="4" w:space="0" w:color="6F6F6F"/>
            </w:tcBorders>
            <w:shd w:val="clear" w:color="auto" w:fill="auto"/>
          </w:tcPr>
          <w:p w14:paraId="39D5F615" w14:textId="77777777" w:rsidR="002B2ED6" w:rsidRPr="003726BE"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14:paraId="604E65B5" w14:textId="77777777" w:rsidR="002B2ED6" w:rsidRPr="003726BE"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14:paraId="3AA0C80A" w14:textId="77777777" w:rsidR="002B2ED6" w:rsidRPr="003726BE"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14:paraId="45270811" w14:textId="77777777" w:rsidR="002B2ED6" w:rsidRPr="003726BE"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DC8F81"/>
          </w:tcPr>
          <w:p w14:paraId="056D4541" w14:textId="77777777" w:rsidR="002B2ED6" w:rsidRPr="003726BE" w:rsidRDefault="002B2ED6" w:rsidP="00AA71F1">
            <w:pPr>
              <w:suppressAutoHyphens/>
              <w:spacing w:before="40" w:after="40" w:line="240" w:lineRule="auto"/>
              <w:rPr>
                <w:rFonts w:cs="Arial"/>
                <w:szCs w:val="18"/>
              </w:rPr>
            </w:pPr>
            <w:r w:rsidRPr="003726BE">
              <w:t>CEQ–EU</w:t>
            </w: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14:paraId="4C067041" w14:textId="77777777" w:rsidR="002B2ED6" w:rsidRPr="003726BE"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14:paraId="2E0D5CCF" w14:textId="77777777" w:rsidR="002B2ED6" w:rsidRPr="003726BE"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14:paraId="51AE39F4" w14:textId="77777777" w:rsidR="002B2ED6" w:rsidRPr="003726BE"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14:paraId="23F22DCB" w14:textId="77777777" w:rsidR="002B2ED6" w:rsidRPr="003726BE"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DC8F81"/>
          </w:tcPr>
          <w:p w14:paraId="1CD38AA8" w14:textId="77777777" w:rsidR="002B2ED6" w:rsidRPr="003726BE" w:rsidRDefault="002B2ED6" w:rsidP="00AA71F1">
            <w:pPr>
              <w:suppressAutoHyphens/>
              <w:spacing w:before="40" w:after="40" w:line="240" w:lineRule="auto"/>
              <w:rPr>
                <w:rFonts w:cs="Arial"/>
                <w:szCs w:val="18"/>
              </w:rPr>
            </w:pPr>
            <w:r w:rsidRPr="003726BE">
              <w:t>CEQ–EU</w:t>
            </w:r>
          </w:p>
        </w:tc>
      </w:tr>
      <w:tr w:rsidR="002B2ED6" w:rsidRPr="003726BE" w14:paraId="77B61F45" w14:textId="77777777" w:rsidTr="00AA71F1">
        <w:trPr>
          <w:trHeight w:val="177"/>
          <w:jc w:val="center"/>
        </w:trPr>
        <w:tc>
          <w:tcPr>
            <w:tcW w:w="1980" w:type="dxa"/>
            <w:gridSpan w:val="2"/>
            <w:vMerge w:val="restart"/>
            <w:tcBorders>
              <w:top w:val="single" w:sz="4" w:space="0" w:color="FFFFFF"/>
              <w:left w:val="single" w:sz="4" w:space="0" w:color="FFFFFF"/>
              <w:bottom w:val="single" w:sz="4" w:space="0" w:color="FFFFFF"/>
              <w:right w:val="single" w:sz="4" w:space="0" w:color="FFFFFF"/>
            </w:tcBorders>
            <w:shd w:val="clear" w:color="auto" w:fill="54638E"/>
          </w:tcPr>
          <w:p w14:paraId="5ED0C7BB" w14:textId="77777777" w:rsidR="002B2ED6" w:rsidRPr="003726BE" w:rsidRDefault="002B2ED6" w:rsidP="00AA71F1">
            <w:pPr>
              <w:suppressAutoHyphens/>
              <w:spacing w:before="40" w:after="40" w:line="240" w:lineRule="auto"/>
              <w:rPr>
                <w:rFonts w:cs="Arial"/>
                <w:b/>
                <w:color w:val="FFFFFF"/>
                <w:szCs w:val="18"/>
              </w:rPr>
            </w:pPr>
            <w:r w:rsidRPr="003726BE">
              <w:rPr>
                <w:b/>
                <w:color w:val="FFFFFF"/>
              </w:rPr>
              <w:t xml:space="preserve">Reporting evaluation </w:t>
            </w:r>
          </w:p>
        </w:tc>
        <w:tc>
          <w:tcPr>
            <w:tcW w:w="1201" w:type="dxa"/>
            <w:tcBorders>
              <w:top w:val="single" w:sz="4" w:space="0" w:color="6F6F6F"/>
              <w:left w:val="single" w:sz="4" w:space="0" w:color="FFFFFF"/>
              <w:bottom w:val="single" w:sz="4" w:space="0" w:color="6F6F6F"/>
              <w:right w:val="single" w:sz="4" w:space="0" w:color="6F6F6F"/>
            </w:tcBorders>
            <w:shd w:val="clear" w:color="auto" w:fill="auto"/>
          </w:tcPr>
          <w:p w14:paraId="0A8B2EAC" w14:textId="77777777" w:rsidR="002B2ED6" w:rsidRPr="003726BE"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14:paraId="188A38E1" w14:textId="77777777" w:rsidR="002B2ED6" w:rsidRPr="003726BE"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FBDCAD"/>
          </w:tcPr>
          <w:p w14:paraId="09B4D2A7" w14:textId="77777777" w:rsidR="002B2ED6" w:rsidRPr="003726BE" w:rsidRDefault="002B2ED6" w:rsidP="00AA71F1">
            <w:pPr>
              <w:suppressAutoHyphens/>
              <w:spacing w:before="40" w:after="40" w:line="240" w:lineRule="auto"/>
              <w:rPr>
                <w:rFonts w:cs="Arial"/>
                <w:szCs w:val="18"/>
              </w:rPr>
            </w:pPr>
            <w:r w:rsidRPr="003726BE">
              <w:t>CEQ-FA</w:t>
            </w: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14:paraId="79020C02" w14:textId="77777777" w:rsidR="002B2ED6" w:rsidRPr="003726BE"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FBDCAD"/>
          </w:tcPr>
          <w:p w14:paraId="5E93A388" w14:textId="77777777" w:rsidR="002B2ED6" w:rsidRPr="003726BE" w:rsidRDefault="002B2ED6" w:rsidP="00AA71F1">
            <w:pPr>
              <w:suppressAutoHyphens/>
              <w:spacing w:before="40" w:after="40" w:line="240" w:lineRule="auto"/>
              <w:rPr>
                <w:rFonts w:cs="Arial"/>
                <w:szCs w:val="18"/>
              </w:rPr>
            </w:pPr>
            <w:r w:rsidRPr="003726BE">
              <w:t>CEQ-FA</w:t>
            </w: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14:paraId="60F58D84" w14:textId="77777777" w:rsidR="002B2ED6" w:rsidRPr="003726BE"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14:paraId="4742FD7C" w14:textId="77777777" w:rsidR="002B2ED6" w:rsidRPr="003726BE"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14:paraId="7003538A" w14:textId="77777777" w:rsidR="002B2ED6" w:rsidRPr="003726BE"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14:paraId="4AA8B8A3" w14:textId="77777777" w:rsidR="002B2ED6" w:rsidRPr="003726BE"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FBDCAD"/>
          </w:tcPr>
          <w:p w14:paraId="45C02772" w14:textId="77777777" w:rsidR="002B2ED6" w:rsidRPr="003726BE" w:rsidRDefault="002B2ED6" w:rsidP="00AA71F1">
            <w:pPr>
              <w:suppressAutoHyphens/>
              <w:spacing w:before="40" w:after="40" w:line="240" w:lineRule="auto"/>
              <w:rPr>
                <w:rFonts w:cs="Arial"/>
                <w:szCs w:val="18"/>
              </w:rPr>
            </w:pPr>
            <w:r w:rsidRPr="003726BE">
              <w:t>CEQ-FA</w:t>
            </w:r>
          </w:p>
        </w:tc>
      </w:tr>
      <w:tr w:rsidR="002B2ED6" w:rsidRPr="003726BE" w14:paraId="0EB54ECB" w14:textId="77777777" w:rsidTr="00AA71F1">
        <w:trPr>
          <w:trHeight w:val="345"/>
          <w:jc w:val="center"/>
        </w:trPr>
        <w:tc>
          <w:tcPr>
            <w:tcW w:w="1980" w:type="dxa"/>
            <w:gridSpan w:val="2"/>
            <w:vMerge/>
            <w:tcBorders>
              <w:top w:val="single" w:sz="4" w:space="0" w:color="FFFFFF"/>
              <w:left w:val="single" w:sz="4" w:space="0" w:color="FFFFFF"/>
              <w:bottom w:val="single" w:sz="4" w:space="0" w:color="FFFFFF"/>
              <w:right w:val="single" w:sz="4" w:space="0" w:color="FFFFFF"/>
            </w:tcBorders>
            <w:shd w:val="clear" w:color="auto" w:fill="54638E"/>
          </w:tcPr>
          <w:p w14:paraId="20DA989F" w14:textId="77777777" w:rsidR="002B2ED6" w:rsidRPr="003726BE" w:rsidRDefault="002B2ED6" w:rsidP="00AA71F1">
            <w:pPr>
              <w:suppressAutoHyphens/>
              <w:spacing w:before="40" w:after="40" w:line="240" w:lineRule="auto"/>
              <w:rPr>
                <w:rFonts w:cs="Arial"/>
                <w:b/>
                <w:color w:val="FFFFFF"/>
                <w:szCs w:val="18"/>
              </w:rPr>
            </w:pPr>
          </w:p>
        </w:tc>
        <w:tc>
          <w:tcPr>
            <w:tcW w:w="1201" w:type="dxa"/>
            <w:tcBorders>
              <w:top w:val="single" w:sz="4" w:space="0" w:color="6F6F6F"/>
              <w:left w:val="single" w:sz="4" w:space="0" w:color="FFFFFF"/>
              <w:bottom w:val="single" w:sz="4" w:space="0" w:color="6F6F6F"/>
              <w:right w:val="single" w:sz="4" w:space="0" w:color="6F6F6F"/>
            </w:tcBorders>
            <w:shd w:val="clear" w:color="auto" w:fill="auto"/>
          </w:tcPr>
          <w:p w14:paraId="7D1DDDA8" w14:textId="77777777" w:rsidR="002B2ED6" w:rsidRPr="003726BE"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14:paraId="7DCD6452" w14:textId="77777777" w:rsidR="002B2ED6" w:rsidRPr="003726BE"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F6B183"/>
          </w:tcPr>
          <w:p w14:paraId="4B8EAC61" w14:textId="77777777" w:rsidR="002B2ED6" w:rsidRPr="003726BE" w:rsidRDefault="002B2ED6" w:rsidP="00AA71F1">
            <w:pPr>
              <w:suppressAutoHyphens/>
              <w:spacing w:before="40" w:after="40" w:line="240" w:lineRule="auto"/>
              <w:rPr>
                <w:rFonts w:cs="Arial"/>
                <w:szCs w:val="18"/>
              </w:rPr>
            </w:pPr>
            <w:r w:rsidRPr="003726BE">
              <w:t>CEQ–OA</w:t>
            </w: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14:paraId="3B77D231" w14:textId="77777777" w:rsidR="002B2ED6" w:rsidRPr="003726BE"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F6B183"/>
          </w:tcPr>
          <w:p w14:paraId="7EC76A2E" w14:textId="77777777" w:rsidR="002B2ED6" w:rsidRPr="003726BE" w:rsidRDefault="002B2ED6" w:rsidP="00AA71F1">
            <w:pPr>
              <w:suppressAutoHyphens/>
              <w:spacing w:before="40" w:after="40" w:line="240" w:lineRule="auto"/>
              <w:rPr>
                <w:rFonts w:cs="Arial"/>
                <w:szCs w:val="18"/>
              </w:rPr>
            </w:pPr>
            <w:r w:rsidRPr="003726BE">
              <w:t>CEQ–OA</w:t>
            </w: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14:paraId="43415262" w14:textId="77777777" w:rsidR="002B2ED6" w:rsidRPr="003726BE"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14:paraId="3C025431" w14:textId="77777777" w:rsidR="002B2ED6" w:rsidRPr="003726BE"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14:paraId="4064A66E" w14:textId="77777777" w:rsidR="002B2ED6" w:rsidRPr="003726BE"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14:paraId="7051A080" w14:textId="77777777" w:rsidR="002B2ED6" w:rsidRPr="003726BE"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F6B183"/>
          </w:tcPr>
          <w:p w14:paraId="068746D7" w14:textId="77777777" w:rsidR="002B2ED6" w:rsidRPr="003726BE" w:rsidRDefault="002B2ED6" w:rsidP="00AA71F1">
            <w:pPr>
              <w:suppressAutoHyphens/>
              <w:spacing w:before="40" w:after="40" w:line="240" w:lineRule="auto"/>
              <w:rPr>
                <w:rFonts w:cs="Arial"/>
                <w:szCs w:val="18"/>
              </w:rPr>
            </w:pPr>
            <w:r w:rsidRPr="003726BE">
              <w:t>CEQ–OA</w:t>
            </w:r>
          </w:p>
        </w:tc>
      </w:tr>
      <w:tr w:rsidR="002B2ED6" w:rsidRPr="003726BE" w14:paraId="1DF41946" w14:textId="77777777" w:rsidTr="00AA71F1">
        <w:trPr>
          <w:trHeight w:val="308"/>
          <w:jc w:val="center"/>
        </w:trPr>
        <w:tc>
          <w:tcPr>
            <w:tcW w:w="1980" w:type="dxa"/>
            <w:gridSpan w:val="2"/>
            <w:vMerge/>
            <w:tcBorders>
              <w:top w:val="single" w:sz="4" w:space="0" w:color="FFFFFF"/>
              <w:left w:val="single" w:sz="4" w:space="0" w:color="FFFFFF"/>
              <w:bottom w:val="single" w:sz="4" w:space="0" w:color="FFFFFF"/>
              <w:right w:val="single" w:sz="4" w:space="0" w:color="FFFFFF"/>
            </w:tcBorders>
            <w:shd w:val="clear" w:color="auto" w:fill="54638E"/>
          </w:tcPr>
          <w:p w14:paraId="5C9C8D6C" w14:textId="77777777" w:rsidR="002B2ED6" w:rsidRPr="003726BE" w:rsidRDefault="002B2ED6" w:rsidP="00AA71F1">
            <w:pPr>
              <w:suppressAutoHyphens/>
              <w:spacing w:before="40" w:after="40" w:line="240" w:lineRule="auto"/>
              <w:rPr>
                <w:rFonts w:cs="Arial"/>
                <w:b/>
                <w:color w:val="FFFFFF"/>
                <w:szCs w:val="18"/>
              </w:rPr>
            </w:pPr>
          </w:p>
        </w:tc>
        <w:tc>
          <w:tcPr>
            <w:tcW w:w="1201" w:type="dxa"/>
            <w:tcBorders>
              <w:top w:val="single" w:sz="4" w:space="0" w:color="6F6F6F"/>
              <w:left w:val="single" w:sz="4" w:space="0" w:color="FFFFFF"/>
              <w:bottom w:val="single" w:sz="4" w:space="0" w:color="6F6F6F"/>
              <w:right w:val="single" w:sz="4" w:space="0" w:color="6F6F6F"/>
            </w:tcBorders>
            <w:shd w:val="clear" w:color="auto" w:fill="auto"/>
          </w:tcPr>
          <w:p w14:paraId="7CEA539A" w14:textId="77777777" w:rsidR="002B2ED6" w:rsidRPr="003726BE"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14:paraId="44964650" w14:textId="77777777" w:rsidR="002B2ED6" w:rsidRPr="003726BE"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14:paraId="54143F35" w14:textId="77777777" w:rsidR="002B2ED6" w:rsidRPr="003726BE"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14:paraId="27C9AD6C" w14:textId="77777777" w:rsidR="002B2ED6" w:rsidRPr="003726BE"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DC8F81"/>
          </w:tcPr>
          <w:p w14:paraId="7F0EC18D" w14:textId="77777777" w:rsidR="002B2ED6" w:rsidRPr="003726BE" w:rsidRDefault="002B2ED6" w:rsidP="00AA71F1">
            <w:pPr>
              <w:suppressAutoHyphens/>
              <w:spacing w:before="40" w:after="40" w:line="240" w:lineRule="auto"/>
              <w:rPr>
                <w:rFonts w:cs="Arial"/>
                <w:szCs w:val="18"/>
              </w:rPr>
            </w:pPr>
            <w:r w:rsidRPr="003726BE">
              <w:t>CEQ–EU</w:t>
            </w: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14:paraId="74243CB3" w14:textId="77777777" w:rsidR="002B2ED6" w:rsidRPr="003726BE"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14:paraId="2D39903F" w14:textId="77777777" w:rsidR="002B2ED6" w:rsidRPr="003726BE"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14:paraId="145F860C" w14:textId="77777777" w:rsidR="002B2ED6" w:rsidRPr="003726BE"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14:paraId="2FA646F0" w14:textId="77777777" w:rsidR="002B2ED6" w:rsidRPr="003726BE"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DC8F81"/>
          </w:tcPr>
          <w:p w14:paraId="18FC3118" w14:textId="77777777" w:rsidR="002B2ED6" w:rsidRPr="003726BE" w:rsidRDefault="002B2ED6" w:rsidP="00AA71F1">
            <w:pPr>
              <w:suppressAutoHyphens/>
              <w:spacing w:before="40" w:after="40" w:line="240" w:lineRule="auto"/>
              <w:rPr>
                <w:rFonts w:cs="Arial"/>
                <w:szCs w:val="18"/>
              </w:rPr>
            </w:pPr>
            <w:r w:rsidRPr="003726BE">
              <w:t>CEQ–EU</w:t>
            </w:r>
          </w:p>
        </w:tc>
      </w:tr>
    </w:tbl>
    <w:tbl>
      <w:tblPr>
        <w:tblStyle w:val="TableGrid5"/>
        <w:tblW w:w="0" w:type="auto"/>
        <w:tblLook w:val="04A0" w:firstRow="1" w:lastRow="0" w:firstColumn="1" w:lastColumn="0" w:noHBand="0" w:noVBand="1"/>
      </w:tblPr>
      <w:tblGrid>
        <w:gridCol w:w="3681"/>
      </w:tblGrid>
      <w:tr w:rsidR="002B2ED6" w:rsidRPr="003726BE" w14:paraId="45AAA906" w14:textId="77777777" w:rsidTr="00AA71F1">
        <w:trPr>
          <w:trHeight w:val="170"/>
        </w:trPr>
        <w:tc>
          <w:tcPr>
            <w:tcW w:w="3681" w:type="dxa"/>
            <w:tcBorders>
              <w:bottom w:val="single" w:sz="4" w:space="0" w:color="auto"/>
            </w:tcBorders>
            <w:shd w:val="clear" w:color="auto" w:fill="FBDCAD"/>
          </w:tcPr>
          <w:p w14:paraId="387A44B5" w14:textId="77777777" w:rsidR="002B2ED6" w:rsidRPr="003726BE" w:rsidRDefault="00E7404C" w:rsidP="00AA71F1">
            <w:pPr>
              <w:pStyle w:val="Htableleft"/>
              <w:spacing w:before="20" w:after="20"/>
              <w:rPr>
                <w:rFonts w:cs="Arial"/>
              </w:rPr>
            </w:pPr>
            <w:r>
              <w:t xml:space="preserve">CEQ related to FA: </w:t>
            </w:r>
            <w:r w:rsidR="002B2ED6" w:rsidRPr="003726BE">
              <w:t>CEQ-FA</w:t>
            </w:r>
          </w:p>
        </w:tc>
      </w:tr>
      <w:tr w:rsidR="002B2ED6" w:rsidRPr="00F61F42" w14:paraId="40A0D5E3" w14:textId="77777777" w:rsidTr="00AA71F1">
        <w:trPr>
          <w:trHeight w:val="70"/>
        </w:trPr>
        <w:tc>
          <w:tcPr>
            <w:tcW w:w="3681" w:type="dxa"/>
            <w:tcBorders>
              <w:bottom w:val="single" w:sz="4" w:space="0" w:color="auto"/>
            </w:tcBorders>
            <w:shd w:val="clear" w:color="auto" w:fill="F6B183"/>
          </w:tcPr>
          <w:p w14:paraId="3F2319C8" w14:textId="77777777" w:rsidR="002B2ED6" w:rsidRPr="00CB34A3" w:rsidRDefault="00E7404C" w:rsidP="00AA71F1">
            <w:pPr>
              <w:pStyle w:val="Htableleft"/>
              <w:spacing w:before="20" w:after="20"/>
              <w:rPr>
                <w:rFonts w:cs="Arial"/>
                <w:lang w:val="en-GB"/>
              </w:rPr>
            </w:pPr>
            <w:r>
              <w:rPr>
                <w:lang w:val="en-GB"/>
              </w:rPr>
              <w:t xml:space="preserve">CEQ related to other aspects: </w:t>
            </w:r>
            <w:r w:rsidR="002B2ED6" w:rsidRPr="00CB34A3">
              <w:rPr>
                <w:lang w:val="en-GB"/>
              </w:rPr>
              <w:t>CEQ-OA</w:t>
            </w:r>
          </w:p>
        </w:tc>
      </w:tr>
      <w:tr w:rsidR="002B2ED6" w:rsidRPr="003726BE" w14:paraId="5730DE48" w14:textId="77777777" w:rsidTr="00AA71F1">
        <w:trPr>
          <w:trHeight w:val="70"/>
        </w:trPr>
        <w:tc>
          <w:tcPr>
            <w:tcW w:w="3681" w:type="dxa"/>
            <w:shd w:val="clear" w:color="auto" w:fill="DC8F81"/>
          </w:tcPr>
          <w:p w14:paraId="753A4332" w14:textId="77777777" w:rsidR="002B2ED6" w:rsidRPr="003726BE" w:rsidRDefault="002B2ED6" w:rsidP="00AA71F1">
            <w:pPr>
              <w:pStyle w:val="Htableleft"/>
              <w:spacing w:before="20" w:after="20"/>
              <w:rPr>
                <w:rFonts w:cs="Arial"/>
              </w:rPr>
            </w:pPr>
            <w:r w:rsidRPr="003726BE">
              <w:t>CEQ related to EU objectives: CEQ–EU</w:t>
            </w:r>
          </w:p>
        </w:tc>
      </w:tr>
    </w:tbl>
    <w:p w14:paraId="08CC5996" w14:textId="77777777" w:rsidR="002B2ED6" w:rsidRPr="003726BE" w:rsidRDefault="002B2ED6" w:rsidP="002B2ED6">
      <w:pPr>
        <w:pStyle w:val="H-Heading2"/>
        <w:rPr>
          <w:rFonts w:ascii="Arial" w:hAnsi="Arial" w:cs="Arial"/>
        </w:rPr>
        <w:sectPr w:rsidR="002B2ED6" w:rsidRPr="003726BE" w:rsidSect="00FE5DEE">
          <w:pgSz w:w="16840" w:h="11907" w:orient="landscape" w:code="9"/>
          <w:pgMar w:top="1418" w:right="1418" w:bottom="1418" w:left="1418" w:header="737" w:footer="709" w:gutter="0"/>
          <w:cols w:space="708"/>
          <w:titlePg/>
          <w:docGrid w:linePitch="360"/>
        </w:sectPr>
      </w:pPr>
    </w:p>
    <w:p w14:paraId="22957269" w14:textId="77777777" w:rsidR="002B2ED6" w:rsidRPr="00CB34A3" w:rsidRDefault="002B2ED6" w:rsidP="009750E9">
      <w:pPr>
        <w:pStyle w:val="HHeading1"/>
        <w:numPr>
          <w:ilvl w:val="0"/>
          <w:numId w:val="0"/>
        </w:numPr>
        <w:rPr>
          <w:caps w:val="0"/>
          <w:lang w:val="en-GB"/>
        </w:rPr>
      </w:pPr>
      <w:bookmarkStart w:id="163" w:name="_Toc456012915"/>
      <w:bookmarkStart w:id="164" w:name="_Toc460936134"/>
      <w:bookmarkStart w:id="165" w:name="_Toc474132174"/>
      <w:r w:rsidRPr="00CB34A3">
        <w:rPr>
          <w:caps w:val="0"/>
          <w:color w:val="F07E31" w:themeColor="background2"/>
          <w:lang w:val="en-GB"/>
        </w:rPr>
        <w:lastRenderedPageBreak/>
        <w:t xml:space="preserve">Annex 9 </w:t>
      </w:r>
      <w:r w:rsidRPr="00CB34A3">
        <w:rPr>
          <w:caps w:val="0"/>
          <w:lang w:val="en-GB"/>
        </w:rPr>
        <w:t xml:space="preserve">– </w:t>
      </w:r>
      <w:bookmarkStart w:id="166" w:name="_Toc428965198"/>
      <w:bookmarkStart w:id="167" w:name="_Ref434849342"/>
      <w:r w:rsidRPr="00CB34A3">
        <w:rPr>
          <w:caps w:val="0"/>
          <w:lang w:val="en-GB"/>
        </w:rPr>
        <w:t>Criteria for the selection of the evaluation approach</w:t>
      </w:r>
      <w:bookmarkEnd w:id="163"/>
      <w:bookmarkEnd w:id="164"/>
      <w:bookmarkEnd w:id="165"/>
      <w:bookmarkEnd w:id="166"/>
      <w:bookmarkEnd w:id="167"/>
      <w:r w:rsidRPr="00CB34A3">
        <w:rPr>
          <w:caps w:val="0"/>
          <w:lang w:val="en-GB"/>
        </w:rPr>
        <w:t xml:space="preserve"> </w:t>
      </w:r>
    </w:p>
    <w:tbl>
      <w:tblPr>
        <w:tblStyle w:val="TableGrid"/>
        <w:tblW w:w="0" w:type="auto"/>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1555"/>
        <w:gridCol w:w="6145"/>
      </w:tblGrid>
      <w:tr w:rsidR="002B2ED6" w:rsidRPr="003726BE" w14:paraId="0AF14DA3" w14:textId="77777777" w:rsidTr="004D01B0">
        <w:trPr>
          <w:tblHeader/>
          <w:jc w:val="center"/>
        </w:trPr>
        <w:tc>
          <w:tcPr>
            <w:tcW w:w="1555" w:type="dxa"/>
            <w:shd w:val="clear" w:color="auto" w:fill="F07E31" w:themeFill="background2"/>
          </w:tcPr>
          <w:p w14:paraId="5A52F258" w14:textId="77777777" w:rsidR="002B2ED6" w:rsidRPr="003726BE" w:rsidRDefault="002B2ED6" w:rsidP="00AA71F1">
            <w:pPr>
              <w:pStyle w:val="Htableleftbolt"/>
              <w:rPr>
                <w:rFonts w:cs="Arial"/>
                <w:color w:val="FFFFFF" w:themeColor="accent1"/>
                <w:szCs w:val="18"/>
              </w:rPr>
            </w:pPr>
            <w:r w:rsidRPr="003726BE">
              <w:rPr>
                <w:color w:val="FFFFFF" w:themeColor="accent1"/>
              </w:rPr>
              <w:t>Criteria</w:t>
            </w:r>
          </w:p>
        </w:tc>
        <w:tc>
          <w:tcPr>
            <w:tcW w:w="6145" w:type="dxa"/>
            <w:shd w:val="clear" w:color="auto" w:fill="F07E31" w:themeFill="background2"/>
          </w:tcPr>
          <w:p w14:paraId="3B280FC2" w14:textId="77777777" w:rsidR="002B2ED6" w:rsidRPr="003726BE" w:rsidRDefault="002B2ED6" w:rsidP="00AA71F1">
            <w:pPr>
              <w:pStyle w:val="Htableleftbolt"/>
              <w:rPr>
                <w:rFonts w:cs="Arial"/>
                <w:color w:val="FFFFFF" w:themeColor="accent1"/>
                <w:szCs w:val="18"/>
              </w:rPr>
            </w:pPr>
            <w:r w:rsidRPr="003726BE">
              <w:rPr>
                <w:color w:val="FFFFFF" w:themeColor="accent1"/>
              </w:rPr>
              <w:t>Description</w:t>
            </w:r>
          </w:p>
        </w:tc>
      </w:tr>
      <w:tr w:rsidR="002B2ED6" w:rsidRPr="00F61F42" w14:paraId="70C47054" w14:textId="77777777" w:rsidTr="004D01B0">
        <w:trPr>
          <w:jc w:val="center"/>
        </w:trPr>
        <w:tc>
          <w:tcPr>
            <w:tcW w:w="1555" w:type="dxa"/>
            <w:shd w:val="clear" w:color="auto" w:fill="auto"/>
          </w:tcPr>
          <w:p w14:paraId="663C169E" w14:textId="77777777" w:rsidR="002B2ED6" w:rsidRPr="003726BE" w:rsidRDefault="002B2ED6" w:rsidP="00AA71F1">
            <w:pPr>
              <w:pStyle w:val="Htableleft"/>
              <w:rPr>
                <w:rFonts w:cs="Arial"/>
                <w:szCs w:val="18"/>
              </w:rPr>
            </w:pPr>
            <w:r w:rsidRPr="003726BE">
              <w:rPr>
                <w:rFonts w:eastAsiaTheme="minorEastAsia"/>
              </w:rPr>
              <w:t>Validity of results</w:t>
            </w:r>
          </w:p>
        </w:tc>
        <w:tc>
          <w:tcPr>
            <w:tcW w:w="6145" w:type="dxa"/>
            <w:shd w:val="clear" w:color="auto" w:fill="auto"/>
          </w:tcPr>
          <w:p w14:paraId="2A3C9247" w14:textId="77777777" w:rsidR="002B2ED6" w:rsidRPr="00CB34A3" w:rsidRDefault="002B2ED6" w:rsidP="00BE40D4">
            <w:pPr>
              <w:pStyle w:val="Htableleft"/>
              <w:rPr>
                <w:rFonts w:cs="Arial"/>
                <w:szCs w:val="18"/>
                <w:lang w:val="en-GB"/>
              </w:rPr>
            </w:pPr>
            <w:r w:rsidRPr="00CB34A3">
              <w:rPr>
                <w:rFonts w:eastAsiaTheme="minorEastAsia"/>
                <w:lang w:val="en-GB"/>
              </w:rPr>
              <w:t>Users of evaluations want results that are reliable, scientifically sound, robust and valid. The validity of results can only be checked with a transparent research process. Attention must be paid to restrictions to data access which may impair a high level of transparency. In order to improve the validity of results, authorities commissioning the evaluation studies should put an emphasis on as much transparency as possible.</w:t>
            </w:r>
          </w:p>
        </w:tc>
      </w:tr>
      <w:tr w:rsidR="002B2ED6" w:rsidRPr="00F61F42" w14:paraId="1979FE17" w14:textId="77777777" w:rsidTr="004D01B0">
        <w:trPr>
          <w:jc w:val="center"/>
        </w:trPr>
        <w:tc>
          <w:tcPr>
            <w:tcW w:w="1555" w:type="dxa"/>
            <w:shd w:val="clear" w:color="auto" w:fill="auto"/>
          </w:tcPr>
          <w:p w14:paraId="3B162BBF" w14:textId="77777777" w:rsidR="002B2ED6" w:rsidRPr="003726BE" w:rsidRDefault="002B2ED6" w:rsidP="00AA71F1">
            <w:pPr>
              <w:pStyle w:val="Htableleft"/>
              <w:rPr>
                <w:rFonts w:cs="Arial"/>
                <w:szCs w:val="18"/>
              </w:rPr>
            </w:pPr>
            <w:r w:rsidRPr="003726BE">
              <w:rPr>
                <w:rFonts w:eastAsiaTheme="minorEastAsia"/>
              </w:rPr>
              <w:t>Scale of measurement</w:t>
            </w:r>
          </w:p>
        </w:tc>
        <w:tc>
          <w:tcPr>
            <w:tcW w:w="6145" w:type="dxa"/>
            <w:shd w:val="clear" w:color="auto" w:fill="auto"/>
          </w:tcPr>
          <w:p w14:paraId="5C990125" w14:textId="77777777" w:rsidR="002B2ED6" w:rsidRPr="003726BE" w:rsidRDefault="002B2ED6" w:rsidP="00AA71F1">
            <w:pPr>
              <w:pStyle w:val="Htableleft"/>
              <w:rPr>
                <w:rFonts w:eastAsiaTheme="minorEastAsia" w:cs="Arial"/>
                <w:szCs w:val="18"/>
              </w:rPr>
            </w:pPr>
            <w:r w:rsidRPr="003726BE">
              <w:rPr>
                <w:rFonts w:eastAsiaTheme="minorEastAsia"/>
              </w:rPr>
              <w:t>Different methods produce results at different scales: quantitative methods (e.g. econometrics, input-output, computational models, etc.) provide results in numbers (cardinal scales), while qualitative methods produce results on ordinal or nominal scales.</w:t>
            </w:r>
          </w:p>
          <w:p w14:paraId="74CDE292" w14:textId="77777777" w:rsidR="002B2ED6" w:rsidRPr="00CB34A3" w:rsidRDefault="002B2ED6" w:rsidP="00AA71F1">
            <w:pPr>
              <w:pStyle w:val="Htableleft"/>
              <w:rPr>
                <w:rFonts w:cs="Arial"/>
                <w:szCs w:val="18"/>
                <w:lang w:val="en-GB"/>
              </w:rPr>
            </w:pPr>
            <w:r w:rsidRPr="00CB34A3">
              <w:rPr>
                <w:rFonts w:eastAsiaTheme="minorEastAsia"/>
                <w:lang w:val="en-GB"/>
              </w:rPr>
              <w:t>When results need to be expressed in the cardinal scale, the choice of methods becomes limited because qualitative and participatory methods and theory-based and descriptive approaches allow for ordinal statements at best. Quantitative methods would therefore be strongly preferred in this case.</w:t>
            </w:r>
          </w:p>
        </w:tc>
      </w:tr>
      <w:tr w:rsidR="002B2ED6" w:rsidRPr="00F61F42" w14:paraId="098BE569" w14:textId="77777777" w:rsidTr="004D01B0">
        <w:trPr>
          <w:jc w:val="center"/>
        </w:trPr>
        <w:tc>
          <w:tcPr>
            <w:tcW w:w="1555" w:type="dxa"/>
            <w:shd w:val="clear" w:color="auto" w:fill="auto"/>
          </w:tcPr>
          <w:p w14:paraId="7815865A" w14:textId="77777777" w:rsidR="002B2ED6" w:rsidRPr="00CB34A3" w:rsidRDefault="002B2ED6" w:rsidP="00AA71F1">
            <w:pPr>
              <w:pStyle w:val="Htableleft"/>
              <w:rPr>
                <w:rFonts w:cs="Arial"/>
                <w:szCs w:val="18"/>
                <w:lang w:val="en-GB"/>
              </w:rPr>
            </w:pPr>
            <w:r w:rsidRPr="00CB34A3">
              <w:rPr>
                <w:rFonts w:eastAsiaTheme="minorEastAsia"/>
                <w:lang w:val="en-GB"/>
              </w:rPr>
              <w:t>Ability to analyse the counterfactual</w:t>
            </w:r>
          </w:p>
        </w:tc>
        <w:tc>
          <w:tcPr>
            <w:tcW w:w="6145" w:type="dxa"/>
            <w:shd w:val="clear" w:color="auto" w:fill="auto"/>
          </w:tcPr>
          <w:p w14:paraId="6CD02E44" w14:textId="77777777" w:rsidR="002B2ED6" w:rsidRPr="00CB34A3" w:rsidRDefault="002B2ED6" w:rsidP="00AA71F1">
            <w:pPr>
              <w:pStyle w:val="Htableleft"/>
              <w:rPr>
                <w:rFonts w:cs="Arial"/>
                <w:szCs w:val="18"/>
                <w:lang w:val="en-GB"/>
              </w:rPr>
            </w:pPr>
            <w:r w:rsidRPr="00CB34A3">
              <w:rPr>
                <w:rFonts w:eastAsiaTheme="minorEastAsia"/>
                <w:lang w:val="en-GB"/>
              </w:rPr>
              <w:t>A good evaluation should always develop a counterfactual. The counterfactual situation is the conceived and observed scenario that is used to compare firms/farms/territory/etc. with and without programme support. Although most methods can be used to analyse counterfactual scenarios, the challenge is to make judgements about an effect of the programme, which by definition cannot be directly observed in most cases. Quantitative methods are more systematic in building counterfactuals; however, some qualitative methods can also include a counterfactual in their design.</w:t>
            </w:r>
          </w:p>
        </w:tc>
      </w:tr>
      <w:tr w:rsidR="002B2ED6" w:rsidRPr="00F61F42" w14:paraId="2FD623F8" w14:textId="77777777" w:rsidTr="004D01B0">
        <w:trPr>
          <w:jc w:val="center"/>
        </w:trPr>
        <w:tc>
          <w:tcPr>
            <w:tcW w:w="1555" w:type="dxa"/>
            <w:shd w:val="clear" w:color="auto" w:fill="auto"/>
          </w:tcPr>
          <w:p w14:paraId="56ECA69D" w14:textId="77777777" w:rsidR="002B2ED6" w:rsidRPr="00CB34A3" w:rsidRDefault="002B2ED6" w:rsidP="00AA71F1">
            <w:pPr>
              <w:pStyle w:val="Htableleft"/>
              <w:rPr>
                <w:rFonts w:cs="Arial"/>
                <w:szCs w:val="18"/>
                <w:lang w:val="en-GB"/>
              </w:rPr>
            </w:pPr>
            <w:r w:rsidRPr="00CB34A3">
              <w:rPr>
                <w:rFonts w:eastAsiaTheme="minorEastAsia"/>
                <w:lang w:val="en-GB"/>
              </w:rPr>
              <w:t>Ability to identify and test causal relations</w:t>
            </w:r>
          </w:p>
        </w:tc>
        <w:tc>
          <w:tcPr>
            <w:tcW w:w="6145" w:type="dxa"/>
            <w:shd w:val="clear" w:color="auto" w:fill="auto"/>
          </w:tcPr>
          <w:p w14:paraId="4FC0BB16" w14:textId="77777777" w:rsidR="002B2ED6" w:rsidRPr="00CB34A3" w:rsidRDefault="002B2ED6" w:rsidP="00AA71F1">
            <w:pPr>
              <w:pStyle w:val="Htableleft"/>
              <w:rPr>
                <w:rFonts w:cs="Arial"/>
                <w:szCs w:val="18"/>
                <w:lang w:val="en-GB"/>
              </w:rPr>
            </w:pPr>
            <w:r w:rsidRPr="00CB34A3">
              <w:rPr>
                <w:rFonts w:eastAsiaTheme="minorEastAsia"/>
                <w:lang w:val="en-GB"/>
              </w:rPr>
              <w:t>One of the biggest challenges in evaluation is to identify and test causal relations between the policy interventions and the outcomes. Only a small set of methods (typically econometric models) are suited to provide such results. If such results are not available, assumptions about causal effects need to be made, possibly through the application of qualitative methods.</w:t>
            </w:r>
          </w:p>
        </w:tc>
      </w:tr>
      <w:tr w:rsidR="002B2ED6" w:rsidRPr="00F61F42" w14:paraId="476854B8" w14:textId="77777777" w:rsidTr="004D01B0">
        <w:trPr>
          <w:jc w:val="center"/>
        </w:trPr>
        <w:tc>
          <w:tcPr>
            <w:tcW w:w="1555" w:type="dxa"/>
            <w:shd w:val="clear" w:color="auto" w:fill="auto"/>
          </w:tcPr>
          <w:p w14:paraId="452EA6ED" w14:textId="77777777" w:rsidR="002B2ED6" w:rsidRPr="00CB34A3" w:rsidRDefault="002B2ED6" w:rsidP="00AA71F1">
            <w:pPr>
              <w:pStyle w:val="Htableleft"/>
              <w:rPr>
                <w:rFonts w:eastAsiaTheme="minorEastAsia" w:cs="Arial"/>
                <w:szCs w:val="18"/>
                <w:lang w:val="en-GB"/>
              </w:rPr>
            </w:pPr>
            <w:r w:rsidRPr="00CB34A3">
              <w:rPr>
                <w:rFonts w:eastAsiaTheme="minorEastAsia"/>
                <w:lang w:val="en-GB"/>
              </w:rPr>
              <w:t>Ability to link outputs and results with impact indicators</w:t>
            </w:r>
          </w:p>
        </w:tc>
        <w:tc>
          <w:tcPr>
            <w:tcW w:w="6145" w:type="dxa"/>
            <w:shd w:val="clear" w:color="auto" w:fill="auto"/>
          </w:tcPr>
          <w:p w14:paraId="29C6B707" w14:textId="77777777" w:rsidR="002B2ED6" w:rsidRPr="00CB34A3" w:rsidRDefault="002B2ED6" w:rsidP="00AA71F1">
            <w:pPr>
              <w:pStyle w:val="Htableleft"/>
              <w:rPr>
                <w:rFonts w:eastAsiaTheme="minorEastAsia" w:cs="Arial"/>
                <w:szCs w:val="18"/>
                <w:lang w:val="en-GB"/>
              </w:rPr>
            </w:pPr>
            <w:r w:rsidRPr="00CB34A3">
              <w:rPr>
                <w:rFonts w:eastAsiaTheme="minorEastAsia"/>
                <w:lang w:val="en-GB"/>
              </w:rPr>
              <w:t xml:space="preserve">A good evaluation, even if carried out at an early stage of programme implementation, where impacts are not yet discernible, should be designed with a long-term perspective. This implies establishing mechanisms for linking outputs and results to impacts which at a later stage have to be assessed in relation to the intervention logic of the programme. </w:t>
            </w:r>
          </w:p>
        </w:tc>
      </w:tr>
      <w:tr w:rsidR="002B2ED6" w:rsidRPr="00F61F42" w14:paraId="75B0C03E" w14:textId="77777777" w:rsidTr="004D01B0">
        <w:trPr>
          <w:jc w:val="center"/>
        </w:trPr>
        <w:tc>
          <w:tcPr>
            <w:tcW w:w="1555" w:type="dxa"/>
            <w:shd w:val="clear" w:color="auto" w:fill="auto"/>
          </w:tcPr>
          <w:p w14:paraId="0886F422" w14:textId="77777777" w:rsidR="002B2ED6" w:rsidRPr="00CB34A3" w:rsidRDefault="002B2ED6" w:rsidP="00AA71F1">
            <w:pPr>
              <w:pStyle w:val="Htableleft"/>
              <w:rPr>
                <w:rFonts w:cs="Arial"/>
                <w:szCs w:val="18"/>
                <w:lang w:val="en-GB"/>
              </w:rPr>
            </w:pPr>
            <w:r w:rsidRPr="00CB34A3">
              <w:rPr>
                <w:rFonts w:eastAsiaTheme="minorEastAsia"/>
                <w:lang w:val="en-GB"/>
              </w:rPr>
              <w:t>Ability to consider unintended effects</w:t>
            </w:r>
          </w:p>
        </w:tc>
        <w:tc>
          <w:tcPr>
            <w:tcW w:w="6145" w:type="dxa"/>
            <w:shd w:val="clear" w:color="auto" w:fill="auto"/>
          </w:tcPr>
          <w:p w14:paraId="3C50754C" w14:textId="77777777" w:rsidR="002B2ED6" w:rsidRPr="00CB34A3" w:rsidRDefault="002B2ED6">
            <w:pPr>
              <w:pStyle w:val="Htableleft"/>
              <w:rPr>
                <w:rFonts w:cs="Arial"/>
                <w:szCs w:val="18"/>
                <w:lang w:val="en-GB"/>
              </w:rPr>
            </w:pPr>
            <w:r w:rsidRPr="00CB34A3">
              <w:rPr>
                <w:rFonts w:eastAsiaTheme="minorEastAsia"/>
                <w:lang w:val="en-GB"/>
              </w:rPr>
              <w:t>Several unintended effects are important to consider in order to evaluate programme support. These include leverage, substitution, displacement effects and deadweight loss (windfall profit). Although most methods can be used to take into account leverage and deadweight effects, only econometric methods can be used to quantify their size.</w:t>
            </w:r>
          </w:p>
        </w:tc>
      </w:tr>
      <w:tr w:rsidR="002B2ED6" w:rsidRPr="00F61F42" w14:paraId="63611074" w14:textId="77777777" w:rsidTr="004D01B0">
        <w:trPr>
          <w:jc w:val="center"/>
        </w:trPr>
        <w:tc>
          <w:tcPr>
            <w:tcW w:w="1555" w:type="dxa"/>
            <w:shd w:val="clear" w:color="auto" w:fill="auto"/>
          </w:tcPr>
          <w:p w14:paraId="18CC1059" w14:textId="77777777" w:rsidR="002B2ED6" w:rsidRPr="00CB34A3" w:rsidRDefault="002B2ED6" w:rsidP="00AA71F1">
            <w:pPr>
              <w:pStyle w:val="Htableleft"/>
              <w:rPr>
                <w:rFonts w:cs="Arial"/>
                <w:szCs w:val="18"/>
                <w:lang w:val="en-GB"/>
              </w:rPr>
            </w:pPr>
            <w:r w:rsidRPr="00CB34A3">
              <w:rPr>
                <w:rFonts w:eastAsiaTheme="minorEastAsia"/>
                <w:lang w:val="en-GB"/>
              </w:rPr>
              <w:t>Time horizon of the intervention</w:t>
            </w:r>
          </w:p>
        </w:tc>
        <w:tc>
          <w:tcPr>
            <w:tcW w:w="6145" w:type="dxa"/>
            <w:shd w:val="clear" w:color="auto" w:fill="auto"/>
          </w:tcPr>
          <w:p w14:paraId="679BE9B1" w14:textId="77777777" w:rsidR="002B2ED6" w:rsidRPr="00CB34A3" w:rsidRDefault="002B2ED6" w:rsidP="00AA71F1">
            <w:pPr>
              <w:pStyle w:val="Htableleft"/>
              <w:rPr>
                <w:rFonts w:cs="Arial"/>
                <w:szCs w:val="18"/>
                <w:lang w:val="en-GB"/>
              </w:rPr>
            </w:pPr>
            <w:r w:rsidRPr="00CB34A3">
              <w:rPr>
                <w:rFonts w:eastAsiaTheme="minorEastAsia"/>
                <w:lang w:val="en-GB"/>
              </w:rPr>
              <w:t xml:space="preserve">Many interventions, especially investments, have a period of operation that spans over many years (e.g. the planting of an orchard). The methods used to analyse the effects of such interventions are different from approaches that analyse interventions with short-term payoffs (e.g. an automatic milking system). It therefore has to be recognised that the effects of some interventions will be measurable only with a considerable delay that may go well beyond the programme period. </w:t>
            </w:r>
          </w:p>
        </w:tc>
      </w:tr>
    </w:tbl>
    <w:p w14:paraId="1DC11439" w14:textId="77777777" w:rsidR="002B2ED6" w:rsidRPr="00CB34A3" w:rsidRDefault="002B2ED6" w:rsidP="002B2ED6">
      <w:pPr>
        <w:rPr>
          <w:rFonts w:cs="Arial"/>
          <w:sz w:val="20"/>
          <w:szCs w:val="20"/>
          <w:lang w:val="en-GB"/>
        </w:rPr>
      </w:pPr>
    </w:p>
    <w:p w14:paraId="13319FA2" w14:textId="77777777" w:rsidR="002B2ED6" w:rsidRPr="00CB34A3" w:rsidRDefault="002B2ED6" w:rsidP="009750E9">
      <w:pPr>
        <w:pStyle w:val="HHeading1"/>
        <w:numPr>
          <w:ilvl w:val="0"/>
          <w:numId w:val="0"/>
        </w:numPr>
        <w:rPr>
          <w:caps w:val="0"/>
          <w:lang w:val="en-GB"/>
        </w:rPr>
      </w:pPr>
      <w:bookmarkStart w:id="168" w:name="_Toc456012916"/>
      <w:bookmarkStart w:id="169" w:name="_Toc460936135"/>
      <w:bookmarkStart w:id="170" w:name="_Toc474132175"/>
      <w:r w:rsidRPr="00CB34A3">
        <w:rPr>
          <w:caps w:val="0"/>
          <w:lang w:val="en-GB"/>
        </w:rPr>
        <w:lastRenderedPageBreak/>
        <w:t>Annex 10 - Tools for qualitative appraisal of RDP operations´ primary and secondary contributions to focus areas and synergies between measures, between FAs and between RD priorities</w:t>
      </w:r>
      <w:bookmarkEnd w:id="168"/>
      <w:bookmarkEnd w:id="169"/>
      <w:bookmarkEnd w:id="170"/>
    </w:p>
    <w:p w14:paraId="71C5C3EB" w14:textId="77777777" w:rsidR="002B2ED6" w:rsidRPr="003726BE" w:rsidRDefault="002B2ED6" w:rsidP="002B2ED6">
      <w:pPr>
        <w:pStyle w:val="HStandard"/>
        <w:rPr>
          <w:rFonts w:cs="Arial"/>
        </w:rPr>
      </w:pPr>
      <w:r w:rsidRPr="00CB34A3">
        <w:rPr>
          <w:lang w:val="en-GB"/>
        </w:rPr>
        <w:t xml:space="preserve">The RDP intervention logic is complex and contains various horizontal, vertical and diagonal linkages between operations, measures, focus areas and rural development priorities. </w:t>
      </w:r>
      <w:r w:rsidRPr="003726BE">
        <w:t xml:space="preserve">These linkages are: </w:t>
      </w:r>
    </w:p>
    <w:p w14:paraId="4AFA05CE" w14:textId="77777777" w:rsidR="002B2ED6" w:rsidRPr="00CB34A3" w:rsidRDefault="002B2ED6" w:rsidP="004D01B0">
      <w:pPr>
        <w:pStyle w:val="Hlistbullet"/>
        <w:rPr>
          <w:lang w:val="en-GB"/>
        </w:rPr>
      </w:pPr>
      <w:r w:rsidRPr="00CB34A3">
        <w:rPr>
          <w:b/>
          <w:lang w:val="en-GB"/>
        </w:rPr>
        <w:t>Primary contributions</w:t>
      </w:r>
      <w:r w:rsidRPr="00CB34A3">
        <w:rPr>
          <w:lang w:val="en-GB"/>
        </w:rPr>
        <w:t xml:space="preserve"> of operations implemented under measures/sub-measures</w:t>
      </w:r>
      <w:r w:rsidRPr="003726BE">
        <w:rPr>
          <w:rStyle w:val="FootnoteReference"/>
        </w:rPr>
        <w:footnoteReference w:id="205"/>
      </w:r>
      <w:r w:rsidRPr="00CB34A3">
        <w:rPr>
          <w:lang w:val="en-GB"/>
        </w:rPr>
        <w:t xml:space="preserve"> to focus areas under which they are programmed (vertical)</w:t>
      </w:r>
    </w:p>
    <w:p w14:paraId="74BD9E5A" w14:textId="77777777" w:rsidR="002B2ED6" w:rsidRPr="00CB34A3" w:rsidRDefault="002B2ED6" w:rsidP="004D01B0">
      <w:pPr>
        <w:pStyle w:val="Hlistbullet"/>
        <w:rPr>
          <w:lang w:val="en-GB"/>
        </w:rPr>
      </w:pPr>
      <w:r w:rsidRPr="00CB34A3">
        <w:rPr>
          <w:b/>
          <w:lang w:val="en-GB"/>
        </w:rPr>
        <w:t>Secondary contributions</w:t>
      </w:r>
      <w:r w:rsidRPr="00CB34A3">
        <w:rPr>
          <w:lang w:val="en-GB"/>
        </w:rPr>
        <w:t xml:space="preserve"> of operations implemented under measures/sub-measures</w:t>
      </w:r>
      <w:r w:rsidRPr="003726BE">
        <w:rPr>
          <w:rStyle w:val="FootnoteReference"/>
        </w:rPr>
        <w:footnoteReference w:id="206"/>
      </w:r>
      <w:r w:rsidRPr="00CB34A3">
        <w:rPr>
          <w:lang w:val="en-GB"/>
        </w:rPr>
        <w:t xml:space="preserve"> to focus areas under which they are </w:t>
      </w:r>
      <w:r w:rsidRPr="00CB34A3">
        <w:rPr>
          <w:b/>
          <w:lang w:val="en-GB"/>
        </w:rPr>
        <w:t>not</w:t>
      </w:r>
      <w:r w:rsidRPr="00CB34A3">
        <w:rPr>
          <w:lang w:val="en-GB"/>
        </w:rPr>
        <w:t xml:space="preserve"> programmed (diagonal)</w:t>
      </w:r>
    </w:p>
    <w:p w14:paraId="2970DFD4" w14:textId="77777777" w:rsidR="002B2ED6" w:rsidRPr="00CB34A3" w:rsidRDefault="002B2ED6" w:rsidP="004D01B0">
      <w:pPr>
        <w:pStyle w:val="Hlistbullet"/>
        <w:rPr>
          <w:lang w:val="en-GB"/>
        </w:rPr>
      </w:pPr>
      <w:r w:rsidRPr="00CB34A3">
        <w:rPr>
          <w:b/>
          <w:lang w:val="en-GB"/>
        </w:rPr>
        <w:t>Transverse effects</w:t>
      </w:r>
      <w:r w:rsidRPr="00CB34A3">
        <w:rPr>
          <w:lang w:val="en-GB"/>
        </w:rPr>
        <w:t xml:space="preserve"> between focus areas and between rural development priorities (horizontal) </w:t>
      </w:r>
    </w:p>
    <w:p w14:paraId="6A4788AD" w14:textId="77777777" w:rsidR="002B2ED6" w:rsidRPr="00CB34A3" w:rsidRDefault="002B2ED6" w:rsidP="004D01B0">
      <w:pPr>
        <w:pStyle w:val="Hlistbullet2"/>
        <w:rPr>
          <w:lang w:val="en-GB"/>
        </w:rPr>
      </w:pPr>
      <w:r w:rsidRPr="00CB34A3">
        <w:rPr>
          <w:lang w:val="en-GB"/>
        </w:rPr>
        <w:t>Positive transverse effects are also called synergies</w:t>
      </w:r>
    </w:p>
    <w:p w14:paraId="55534BAF" w14:textId="77777777" w:rsidR="002B2ED6" w:rsidRPr="003726BE" w:rsidRDefault="002B2ED6" w:rsidP="004D01B0">
      <w:pPr>
        <w:pStyle w:val="Hlistbullet2"/>
      </w:pPr>
      <w:r w:rsidRPr="003726BE">
        <w:t xml:space="preserve">Negative/antagonistic effects </w:t>
      </w:r>
    </w:p>
    <w:p w14:paraId="778B558F" w14:textId="77777777" w:rsidR="002B2ED6" w:rsidRPr="00CB34A3" w:rsidRDefault="002B2ED6" w:rsidP="002B2ED6">
      <w:pPr>
        <w:pStyle w:val="HStandard"/>
        <w:rPr>
          <w:rFonts w:cs="Arial"/>
          <w:lang w:val="en-GB"/>
        </w:rPr>
      </w:pPr>
      <w:r w:rsidRPr="00CB34A3">
        <w:rPr>
          <w:lang w:val="en-GB"/>
        </w:rPr>
        <w:t xml:space="preserve">These linkages should not be mixed up with the programme’s indirect effects, which go beyond the objectives or address various issues. RDP indirect effects are explained in PART II of the Guidelines, in the chapter 5.1 Revisiting the RDP intervention logic.  </w:t>
      </w:r>
    </w:p>
    <w:p w14:paraId="375E38C0" w14:textId="77777777" w:rsidR="002B2ED6" w:rsidRPr="00CB34A3" w:rsidRDefault="002B2ED6" w:rsidP="002B2ED6">
      <w:pPr>
        <w:pStyle w:val="HStandard"/>
        <w:rPr>
          <w:rFonts w:cs="Arial"/>
          <w:lang w:val="en-GB"/>
        </w:rPr>
      </w:pPr>
      <w:r w:rsidRPr="00CB34A3">
        <w:rPr>
          <w:b/>
          <w:lang w:val="en-GB"/>
        </w:rPr>
        <w:t>Table 12</w:t>
      </w:r>
      <w:r w:rsidRPr="00CB34A3">
        <w:rPr>
          <w:lang w:val="en-GB"/>
        </w:rPr>
        <w:t xml:space="preserve"> below proposes one possible tool to indicate primary and secondary contributions of the RDP’s operations to the RDP’s focus areas (vertical and diagonal linkages). This table is an example which should be adjusted to the specificities of each unique RDP’s intervention logic with a view to show only the priorities, focus areas and measures/sub-measures which are present in that respective RDP. </w:t>
      </w:r>
    </w:p>
    <w:p w14:paraId="34B3E382" w14:textId="77777777" w:rsidR="002B2ED6" w:rsidRPr="00CB34A3" w:rsidRDefault="002B2ED6" w:rsidP="002B2ED6">
      <w:pPr>
        <w:pStyle w:val="HStandard"/>
        <w:rPr>
          <w:rFonts w:cs="Arial"/>
          <w:lang w:val="en-GB"/>
        </w:rPr>
      </w:pPr>
      <w:r w:rsidRPr="00CB34A3">
        <w:rPr>
          <w:lang w:val="en-GB"/>
        </w:rPr>
        <w:t xml:space="preserve">Primary contributions of operations are shown on the left side of the table where measures/sub-measures are linked to FAs under which they are programmed. Secondary contributions of operations are highlighted with orange boxes.   </w:t>
      </w:r>
    </w:p>
    <w:p w14:paraId="742BD02F" w14:textId="77777777" w:rsidR="002B2ED6" w:rsidRPr="00CB34A3" w:rsidRDefault="002B2ED6" w:rsidP="002B2ED6">
      <w:pPr>
        <w:pStyle w:val="HStandard"/>
        <w:rPr>
          <w:rFonts w:cs="Arial"/>
          <w:color w:val="auto"/>
          <w:lang w:val="en-GB"/>
        </w:rPr>
      </w:pPr>
      <w:r w:rsidRPr="00CB34A3">
        <w:rPr>
          <w:lang w:val="en-GB"/>
        </w:rPr>
        <w:t xml:space="preserve">The table can be filled by the MA to appraise where the potential secondary contributions of operations to other FAs can be expected during the evaluation. The table also can be used by the evaluators as an indicative qualitative assessment tool before setting up the sample of beneficiaries to assess the secondary contributions. Based on the information obtained from the table and the information from the application forms/payment requests, the evaluators can select samples of beneficiaries (e.g. according to sectors: dairy, grain etc.) with operations generating additional contributions to FAs </w:t>
      </w:r>
      <w:r w:rsidRPr="00CB34A3">
        <w:rPr>
          <w:color w:val="auto"/>
          <w:lang w:val="en-GB"/>
        </w:rPr>
        <w:t xml:space="preserve">other than those under which they have been programmed and use the survey to find out their contributions to the value of result indicators. </w:t>
      </w:r>
    </w:p>
    <w:p w14:paraId="4FDE92BC" w14:textId="77777777" w:rsidR="002B2ED6" w:rsidRPr="00CB34A3" w:rsidRDefault="002B2ED6" w:rsidP="002B2ED6">
      <w:pPr>
        <w:pStyle w:val="HStandard"/>
        <w:rPr>
          <w:rFonts w:cs="Arial"/>
          <w:lang w:val="en-GB"/>
        </w:rPr>
      </w:pPr>
      <w:r w:rsidRPr="00CB34A3">
        <w:rPr>
          <w:lang w:val="en-GB"/>
        </w:rPr>
        <w:t xml:space="preserve">The table is available also in an editable version. </w:t>
      </w:r>
    </w:p>
    <w:p w14:paraId="28B01349" w14:textId="77777777" w:rsidR="002B2ED6" w:rsidRPr="00CB34A3" w:rsidRDefault="002B2ED6" w:rsidP="002B2ED6">
      <w:pPr>
        <w:pStyle w:val="HStandard"/>
        <w:rPr>
          <w:rFonts w:cs="Arial"/>
          <w:lang w:val="en-GB"/>
        </w:rPr>
      </w:pPr>
      <w:r w:rsidRPr="00CB34A3">
        <w:rPr>
          <w:b/>
          <w:lang w:val="en-GB"/>
        </w:rPr>
        <w:t>Table 13</w:t>
      </w:r>
      <w:r w:rsidRPr="00CB34A3">
        <w:rPr>
          <w:lang w:val="en-GB"/>
        </w:rPr>
        <w:t xml:space="preserve"> shows a classical pair wise matrix, allowing one to assess synergies and negative transverse effects (horizontal linkages) between focus areas and between priorities in a qualitative fashion. This table also can serve as an input to answer common evaluation question number 19: “To what extent have the synergies among priorities and focus areas enhanced the effectiveness of the RDP?” </w:t>
      </w:r>
    </w:p>
    <w:p w14:paraId="05E09AF5" w14:textId="77777777" w:rsidR="002B2ED6" w:rsidRPr="00CB34A3" w:rsidRDefault="002B2ED6" w:rsidP="002B2ED6">
      <w:pPr>
        <w:pStyle w:val="HStandard"/>
        <w:rPr>
          <w:rFonts w:cs="Arial"/>
          <w:lang w:val="en-GB"/>
        </w:rPr>
      </w:pPr>
      <w:r w:rsidRPr="00CB34A3">
        <w:rPr>
          <w:lang w:val="en-GB"/>
        </w:rPr>
        <w:t xml:space="preserve">Stakeholders in the Member States can fill the boxes of this table using two different colours. In the case of the example below, the green colour symbolises synergies and the red colour symbolises negative transverse effects. Unfilled boxes indicate neutral transverse effects. </w:t>
      </w:r>
    </w:p>
    <w:p w14:paraId="14A56EC4" w14:textId="77777777" w:rsidR="002B2ED6" w:rsidRPr="00CB34A3" w:rsidRDefault="002B2ED6" w:rsidP="002B2ED6">
      <w:pPr>
        <w:pStyle w:val="HStandard"/>
        <w:rPr>
          <w:rFonts w:cs="Arial"/>
          <w:lang w:val="en-GB"/>
        </w:rPr>
      </w:pPr>
      <w:r w:rsidRPr="00CB34A3">
        <w:rPr>
          <w:lang w:val="en-GB"/>
        </w:rPr>
        <w:lastRenderedPageBreak/>
        <w:t xml:space="preserve">Stakeholders in the Member States should adjust the table in accordance with the RDP’s intervention logic. The table example is also available in an editable version. </w:t>
      </w:r>
    </w:p>
    <w:p w14:paraId="29970CCD" w14:textId="77777777" w:rsidR="002B2ED6" w:rsidRPr="00CB34A3" w:rsidRDefault="002B2ED6" w:rsidP="008D52DC">
      <w:pPr>
        <w:pStyle w:val="HHeadingtables"/>
        <w:rPr>
          <w:lang w:val="en-GB"/>
        </w:rPr>
      </w:pPr>
      <w:bookmarkStart w:id="171" w:name="_Toc460936145"/>
      <w:bookmarkStart w:id="172" w:name="_Toc474132635"/>
      <w:r w:rsidRPr="00CB34A3">
        <w:rPr>
          <w:lang w:val="en-GB"/>
        </w:rPr>
        <w:t>Primary and secondary contributions of operations within measures/sub-measures to rural development focus areas – example</w:t>
      </w:r>
      <w:bookmarkEnd w:id="171"/>
      <w:bookmarkEnd w:id="172"/>
    </w:p>
    <w:p w14:paraId="22D2E5C6" w14:textId="77777777" w:rsidR="002B2ED6" w:rsidRPr="003726BE" w:rsidRDefault="00D3473A" w:rsidP="002B2ED6">
      <w:pPr>
        <w:pStyle w:val="HStandard"/>
        <w:jc w:val="center"/>
        <w:rPr>
          <w:rFonts w:cs="Arial"/>
        </w:rPr>
      </w:pPr>
      <w:r w:rsidRPr="003726BE">
        <w:rPr>
          <w:noProof/>
          <w:lang w:val="en-GB" w:eastAsia="en-GB" w:bidi="ar-SA"/>
        </w:rPr>
        <w:drawing>
          <wp:inline distT="0" distB="0" distL="0" distR="0" wp14:anchorId="4F9B386C" wp14:editId="10D056D0">
            <wp:extent cx="6254915" cy="3830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254915" cy="3830400"/>
                    </a:xfrm>
                    <a:prstGeom prst="rect">
                      <a:avLst/>
                    </a:prstGeom>
                    <a:noFill/>
                    <a:ln>
                      <a:noFill/>
                    </a:ln>
                  </pic:spPr>
                </pic:pic>
              </a:graphicData>
            </a:graphic>
          </wp:inline>
        </w:drawing>
      </w:r>
    </w:p>
    <w:p w14:paraId="0FC5937B" w14:textId="77777777" w:rsidR="002B2ED6" w:rsidRPr="003726BE" w:rsidRDefault="002B2ED6" w:rsidP="002B2ED6">
      <w:pPr>
        <w:pStyle w:val="HStandard"/>
        <w:rPr>
          <w:rFonts w:cs="Arial"/>
        </w:rPr>
      </w:pPr>
    </w:p>
    <w:p w14:paraId="29B79227" w14:textId="77777777" w:rsidR="002B2ED6" w:rsidRPr="003726BE" w:rsidRDefault="002B2ED6" w:rsidP="002B2ED6">
      <w:pPr>
        <w:pStyle w:val="HStandard"/>
        <w:rPr>
          <w:rFonts w:cs="Arial"/>
          <w:b/>
          <w:sz w:val="18"/>
          <w:szCs w:val="18"/>
        </w:rPr>
      </w:pPr>
    </w:p>
    <w:p w14:paraId="026EAC0D" w14:textId="77777777" w:rsidR="002B2ED6" w:rsidRPr="003726BE" w:rsidRDefault="002B2ED6" w:rsidP="002B2ED6">
      <w:pPr>
        <w:pStyle w:val="HStandard"/>
        <w:rPr>
          <w:rFonts w:cs="Arial"/>
          <w:b/>
          <w:sz w:val="18"/>
          <w:szCs w:val="18"/>
        </w:rPr>
      </w:pPr>
    </w:p>
    <w:p w14:paraId="6ACB25F1" w14:textId="77777777" w:rsidR="002B2ED6" w:rsidRPr="003726BE" w:rsidRDefault="002B2ED6" w:rsidP="002B2ED6">
      <w:pPr>
        <w:pStyle w:val="HStandard"/>
        <w:rPr>
          <w:rFonts w:cs="Arial"/>
          <w:b/>
          <w:sz w:val="18"/>
          <w:szCs w:val="18"/>
        </w:rPr>
      </w:pPr>
    </w:p>
    <w:p w14:paraId="0E7B89BD" w14:textId="77777777" w:rsidR="002B2ED6" w:rsidRPr="003726BE" w:rsidRDefault="002B2ED6" w:rsidP="002B2ED6">
      <w:pPr>
        <w:pStyle w:val="HStandard"/>
        <w:rPr>
          <w:rFonts w:cs="Arial"/>
          <w:b/>
          <w:sz w:val="18"/>
          <w:szCs w:val="18"/>
        </w:rPr>
      </w:pPr>
    </w:p>
    <w:p w14:paraId="345FD387" w14:textId="77777777" w:rsidR="00C27393" w:rsidRPr="003726BE" w:rsidRDefault="00C27393" w:rsidP="002B2ED6">
      <w:pPr>
        <w:pStyle w:val="HStandard"/>
        <w:rPr>
          <w:rFonts w:cs="Arial"/>
          <w:b/>
          <w:sz w:val="18"/>
          <w:szCs w:val="18"/>
        </w:rPr>
        <w:sectPr w:rsidR="00C27393" w:rsidRPr="003726BE" w:rsidSect="00FE5DEE">
          <w:pgSz w:w="11907" w:h="16840" w:code="9"/>
          <w:pgMar w:top="1418" w:right="1418" w:bottom="1418" w:left="1418" w:header="737" w:footer="709" w:gutter="0"/>
          <w:cols w:space="708"/>
          <w:titlePg/>
          <w:docGrid w:linePitch="360"/>
        </w:sectPr>
      </w:pPr>
    </w:p>
    <w:p w14:paraId="5B42C0E7" w14:textId="77777777" w:rsidR="002B2ED6" w:rsidRPr="00CB34A3" w:rsidRDefault="002B2ED6" w:rsidP="00C2310A">
      <w:pPr>
        <w:pStyle w:val="HHeadingtables"/>
        <w:rPr>
          <w:lang w:val="en-GB"/>
        </w:rPr>
      </w:pPr>
      <w:bookmarkStart w:id="173" w:name="_Toc460936146"/>
      <w:bookmarkStart w:id="174" w:name="_Toc474132636"/>
      <w:r w:rsidRPr="00CB34A3">
        <w:rPr>
          <w:lang w:val="en-GB"/>
        </w:rPr>
        <w:lastRenderedPageBreak/>
        <w:t>Synergies and negative transverse effects between focus areas and between priorities</w:t>
      </w:r>
      <w:bookmarkEnd w:id="173"/>
      <w:bookmarkEnd w:id="174"/>
      <w:r w:rsidRPr="00CB34A3">
        <w:rPr>
          <w:lang w:val="en-GB"/>
        </w:rPr>
        <w:t xml:space="preserve"> </w:t>
      </w:r>
    </w:p>
    <w:p w14:paraId="2AEF361C" w14:textId="77777777" w:rsidR="00C71423" w:rsidRPr="003726BE" w:rsidRDefault="00D3473A" w:rsidP="00E14C16">
      <w:pPr>
        <w:pStyle w:val="Normal12PTcouleurgris"/>
      </w:pPr>
      <w:r w:rsidRPr="003726BE">
        <w:rPr>
          <w:noProof/>
          <w:lang w:val="en-GB" w:eastAsia="en-GB" w:bidi="ar-SA"/>
        </w:rPr>
        <w:drawing>
          <wp:inline distT="0" distB="0" distL="0" distR="0" wp14:anchorId="239F194B" wp14:editId="299A20C6">
            <wp:extent cx="9573370" cy="2883721"/>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9598161" cy="2891188"/>
                    </a:xfrm>
                    <a:prstGeom prst="rect">
                      <a:avLst/>
                    </a:prstGeom>
                    <a:noFill/>
                    <a:ln>
                      <a:noFill/>
                    </a:ln>
                  </pic:spPr>
                </pic:pic>
              </a:graphicData>
            </a:graphic>
          </wp:inline>
        </w:drawing>
      </w:r>
    </w:p>
    <w:p w14:paraId="35FBA1FF" w14:textId="77777777" w:rsidR="009A13A5" w:rsidRPr="003726BE" w:rsidRDefault="009A13A5" w:rsidP="009A13A5">
      <w:pPr>
        <w:pStyle w:val="HStandard"/>
        <w:rPr>
          <w:rFonts w:cs="Arial"/>
          <w:b/>
          <w:sz w:val="18"/>
          <w:szCs w:val="18"/>
        </w:rPr>
        <w:sectPr w:rsidR="009A13A5" w:rsidRPr="003726BE" w:rsidSect="00FE5DEE">
          <w:pgSz w:w="16840" w:h="11907" w:orient="landscape" w:code="9"/>
          <w:pgMar w:top="1418" w:right="1418" w:bottom="1418" w:left="1418" w:header="737" w:footer="709" w:gutter="0"/>
          <w:cols w:space="708"/>
          <w:titlePg/>
          <w:docGrid w:linePitch="360"/>
        </w:sectPr>
      </w:pPr>
    </w:p>
    <w:p w14:paraId="1182749A" w14:textId="77777777" w:rsidR="00150D5B" w:rsidRPr="003726BE" w:rsidRDefault="00E14C16">
      <w:pPr>
        <w:spacing w:before="0" w:after="0" w:line="240" w:lineRule="auto"/>
        <w:jc w:val="left"/>
        <w:rPr>
          <w:rFonts w:cs="Arial"/>
          <w:b/>
          <w:szCs w:val="18"/>
        </w:rPr>
      </w:pPr>
      <w:r w:rsidRPr="003726BE">
        <w:rPr>
          <w:rFonts w:cs="Arial"/>
          <w:noProof/>
          <w:lang w:val="en-GB" w:eastAsia="en-GB" w:bidi="ar-SA"/>
        </w:rPr>
        <w:lastRenderedPageBreak/>
        <w:drawing>
          <wp:anchor distT="0" distB="0" distL="114300" distR="114300" simplePos="0" relativeHeight="251667968" behindDoc="0" locked="0" layoutInCell="1" allowOverlap="1" wp14:anchorId="18E80D32" wp14:editId="194EF2A9">
            <wp:simplePos x="0" y="0"/>
            <wp:positionH relativeFrom="column">
              <wp:posOffset>-818515</wp:posOffset>
            </wp:positionH>
            <wp:positionV relativeFrom="paragraph">
              <wp:posOffset>-862330</wp:posOffset>
            </wp:positionV>
            <wp:extent cx="7409180" cy="10576560"/>
            <wp:effectExtent l="0" t="0" r="1270" b="0"/>
            <wp:wrapNone/>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mplate_Back_Orange.pn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7409180" cy="10576560"/>
                    </a:xfrm>
                    <a:prstGeom prst="rect">
                      <a:avLst/>
                    </a:prstGeom>
                  </pic:spPr>
                </pic:pic>
              </a:graphicData>
            </a:graphic>
          </wp:anchor>
        </w:drawing>
      </w:r>
    </w:p>
    <w:sectPr w:rsidR="00150D5B" w:rsidRPr="003726BE" w:rsidSect="0001223C">
      <w:headerReference w:type="default" r:id="rId83"/>
      <w:footerReference w:type="default" r:id="rId84"/>
      <w:headerReference w:type="first" r:id="rId85"/>
      <w:footerReference w:type="first" r:id="rId86"/>
      <w:pgSz w:w="11906" w:h="16838" w:code="9"/>
      <w:pgMar w:top="1418" w:right="1418" w:bottom="1418" w:left="1418" w:header="1134" w:footer="1021" w:gutter="0"/>
      <w:pgNumType w:start="3"/>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AAFB9F" w14:textId="77777777" w:rsidR="00914903" w:rsidRDefault="00914903">
      <w:pPr>
        <w:spacing w:before="0" w:after="0" w:line="240" w:lineRule="auto"/>
      </w:pPr>
      <w:r>
        <w:separator/>
      </w:r>
    </w:p>
  </w:endnote>
  <w:endnote w:type="continuationSeparator" w:id="0">
    <w:p w14:paraId="55EC2385" w14:textId="77777777" w:rsidR="00914903" w:rsidRDefault="00914903">
      <w:pPr>
        <w:spacing w:before="0" w:after="0" w:line="240" w:lineRule="auto"/>
      </w:pPr>
      <w:r>
        <w:continuationSeparator/>
      </w:r>
    </w:p>
  </w:endnote>
  <w:endnote w:type="continuationNotice" w:id="1">
    <w:p w14:paraId="3E8500B6" w14:textId="77777777" w:rsidR="00914903" w:rsidRDefault="00914903">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Helvetica Light">
    <w:charset w:val="00"/>
    <w:family w:val="auto"/>
    <w:pitch w:val="variable"/>
    <w:sig w:usb0="800000AF" w:usb1="4000204A" w:usb2="00000000" w:usb3="00000000" w:csb0="00000001" w:csb1="00000000"/>
  </w:font>
  <w:font w:name="PF Square Sans Pro Light">
    <w:altName w:val="Times New Roman"/>
    <w:charset w:val="00"/>
    <w:family w:val="auto"/>
    <w:pitch w:val="variable"/>
    <w:sig w:usb0="A00002BF" w:usb1="5000E0FB" w:usb2="00000000" w:usb3="00000000" w:csb0="0000019F" w:csb1="00000000"/>
  </w:font>
  <w:font w:name="Cambria">
    <w:panose1 w:val="02040503050406030204"/>
    <w:charset w:val="00"/>
    <w:family w:val="roman"/>
    <w:pitch w:val="variable"/>
    <w:sig w:usb0="E00002FF" w:usb1="400004FF" w:usb2="00000000" w:usb3="00000000" w:csb0="0000019F" w:csb1="00000000"/>
  </w:font>
  <w:font w:name="PF Square Sans Pro">
    <w:altName w:val="Times New Roman"/>
    <w:charset w:val="00"/>
    <w:family w:val="auto"/>
    <w:pitch w:val="variable"/>
    <w:sig w:usb0="A00002BF" w:usb1="5000E0F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EUAlbertina">
    <w:altName w:val="EU Albertina"/>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Helvetica LT Pro Light">
    <w:charset w:val="00"/>
    <w:family w:val="auto"/>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222C83" w14:textId="77777777" w:rsidR="00692535" w:rsidRDefault="00692535">
    <w:pPr>
      <w:pStyle w:val="Footer"/>
    </w:pPr>
    <w:r>
      <w:t xml:space="preserve">pag. </w:t>
    </w: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r>
      <w:tab/>
    </w:r>
    <w:r>
      <w:rPr>
        <w:noProof/>
        <w:lang w:val="en-GB" w:eastAsia="en-GB" w:bidi="ar-SA"/>
      </w:rPr>
      <w:drawing>
        <wp:inline distT="0" distB="0" distL="0" distR="0" wp14:anchorId="4CC02988" wp14:editId="0306190E">
          <wp:extent cx="971550" cy="247650"/>
          <wp:effectExtent l="19050" t="0" r="0" b="0"/>
          <wp:docPr id="12" name="Bild 1" descr="Logokleinlinksun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kleinlinksunten"/>
                  <pic:cNvPicPr>
                    <a:picLocks noChangeAspect="1" noChangeArrowheads="1"/>
                  </pic:cNvPicPr>
                </pic:nvPicPr>
                <pic:blipFill>
                  <a:blip r:embed="rId1"/>
                  <a:srcRect/>
                  <a:stretch>
                    <a:fillRect/>
                  </a:stretch>
                </pic:blipFill>
                <pic:spPr bwMode="auto">
                  <a:xfrm>
                    <a:off x="0" y="0"/>
                    <a:ext cx="971550" cy="247650"/>
                  </a:xfrm>
                  <a:prstGeom prst="rect">
                    <a:avLst/>
                  </a:prstGeom>
                  <a:noFill/>
                  <a:ln w="9525">
                    <a:noFill/>
                    <a:miter lim="800000"/>
                    <a:headEnd/>
                    <a:tailEnd/>
                  </a:ln>
                </pic:spPr>
              </pic:pic>
            </a:graphicData>
          </a:graphic>
        </wp:inline>
      </w:drawing>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5C4E92" w14:textId="7DC8959F" w:rsidR="00692535" w:rsidRPr="00A40754" w:rsidRDefault="00692535" w:rsidP="00A40754">
    <w:pPr>
      <w:pStyle w:val="Footer"/>
    </w:pPr>
    <w:r w:rsidRPr="00A40754">
      <w:rPr>
        <w:rStyle w:val="PageNumber"/>
        <w:rFonts w:ascii="Helvetica LT Pro Light" w:hAnsi="Helvetica LT Pro Light"/>
      </w:rPr>
      <w:fldChar w:fldCharType="begin"/>
    </w:r>
    <w:r w:rsidRPr="00A40754">
      <w:rPr>
        <w:rStyle w:val="PageNumber"/>
        <w:rFonts w:ascii="Helvetica LT Pro Light" w:hAnsi="Helvetica LT Pro Light"/>
      </w:rPr>
      <w:instrText xml:space="preserve"> PAGE </w:instrText>
    </w:r>
    <w:r w:rsidRPr="00A40754">
      <w:rPr>
        <w:rStyle w:val="PageNumber"/>
        <w:rFonts w:ascii="Helvetica LT Pro Light" w:hAnsi="Helvetica LT Pro Light"/>
      </w:rPr>
      <w:fldChar w:fldCharType="separate"/>
    </w:r>
    <w:r w:rsidR="00CD60CF">
      <w:rPr>
        <w:rStyle w:val="PageNumber"/>
        <w:rFonts w:ascii="Helvetica LT Pro Light" w:hAnsi="Helvetica LT Pro Light"/>
        <w:noProof/>
      </w:rPr>
      <w:t>63</w:t>
    </w:r>
    <w:r w:rsidRPr="00A40754">
      <w:rPr>
        <w:rStyle w:val="PageNumber"/>
        <w:rFonts w:ascii="Helvetica LT Pro Light" w:hAnsi="Helvetica LT Pro Light"/>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5075DF" w14:textId="03066EE6" w:rsidR="00692535" w:rsidRPr="00A40754" w:rsidRDefault="00692535" w:rsidP="00A40754">
    <w:pPr>
      <w:pStyle w:val="Footer"/>
    </w:pPr>
    <w:r w:rsidRPr="00A40754">
      <w:rPr>
        <w:rStyle w:val="PageNumber"/>
        <w:rFonts w:ascii="Helvetica LT Pro Light" w:hAnsi="Helvetica LT Pro Light"/>
      </w:rPr>
      <w:fldChar w:fldCharType="begin"/>
    </w:r>
    <w:r w:rsidRPr="00A40754">
      <w:rPr>
        <w:rStyle w:val="PageNumber"/>
        <w:rFonts w:ascii="Helvetica LT Pro Light" w:hAnsi="Helvetica LT Pro Light"/>
      </w:rPr>
      <w:instrText xml:space="preserve"> PAGE </w:instrText>
    </w:r>
    <w:r w:rsidRPr="00A40754">
      <w:rPr>
        <w:rStyle w:val="PageNumber"/>
        <w:rFonts w:ascii="Helvetica LT Pro Light" w:hAnsi="Helvetica LT Pro Light"/>
      </w:rPr>
      <w:fldChar w:fldCharType="separate"/>
    </w:r>
    <w:r w:rsidR="00CD60CF">
      <w:rPr>
        <w:rStyle w:val="PageNumber"/>
        <w:rFonts w:ascii="Helvetica LT Pro Light" w:hAnsi="Helvetica LT Pro Light"/>
        <w:noProof/>
      </w:rPr>
      <w:t>95</w:t>
    </w:r>
    <w:r w:rsidRPr="00A40754">
      <w:rPr>
        <w:rStyle w:val="PageNumber"/>
        <w:rFonts w:ascii="Helvetica LT Pro Light" w:hAnsi="Helvetica LT Pro Light"/>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Arial"/>
      </w:rPr>
      <w:id w:val="-1133712512"/>
      <w:docPartObj>
        <w:docPartGallery w:val="Page Numbers (Bottom of Page)"/>
        <w:docPartUnique/>
      </w:docPartObj>
    </w:sdtPr>
    <w:sdtEndPr>
      <w:rPr>
        <w:noProof/>
      </w:rPr>
    </w:sdtEndPr>
    <w:sdtContent>
      <w:p w14:paraId="2ACC4E37" w14:textId="07BD53A6" w:rsidR="00692535" w:rsidRPr="00B76C55" w:rsidRDefault="00692535">
        <w:pPr>
          <w:pStyle w:val="Footer"/>
          <w:rPr>
            <w:rFonts w:cs="Arial"/>
          </w:rPr>
        </w:pPr>
        <w:r w:rsidRPr="00B76C55">
          <w:rPr>
            <w:rFonts w:cs="Arial"/>
          </w:rPr>
          <w:fldChar w:fldCharType="begin"/>
        </w:r>
        <w:r w:rsidRPr="00B76C55">
          <w:rPr>
            <w:rFonts w:cs="Arial"/>
          </w:rPr>
          <w:instrText xml:space="preserve"> PAGE   \* MERGEFORMAT </w:instrText>
        </w:r>
        <w:r w:rsidRPr="00B76C55">
          <w:rPr>
            <w:rFonts w:cs="Arial"/>
          </w:rPr>
          <w:fldChar w:fldCharType="separate"/>
        </w:r>
        <w:r w:rsidR="00CD60CF">
          <w:rPr>
            <w:rFonts w:cs="Arial"/>
            <w:noProof/>
          </w:rPr>
          <w:t>94</w:t>
        </w:r>
        <w:r w:rsidRPr="00B76C55">
          <w:rPr>
            <w:rFonts w:cs="Arial"/>
            <w:noProof/>
          </w:rPr>
          <w:fldChar w:fldCharType="end"/>
        </w:r>
      </w:p>
    </w:sdtContent>
  </w:sdt>
  <w:p w14:paraId="7AE15CBC" w14:textId="77777777" w:rsidR="00692535" w:rsidRPr="00B76C55" w:rsidRDefault="00692535" w:rsidP="00AA71F1">
    <w:pPr>
      <w:pStyle w:val="Footer"/>
      <w:tabs>
        <w:tab w:val="left" w:pos="4943"/>
      </w:tabs>
      <w:ind w:right="360"/>
      <w:rPr>
        <w:rFonts w:cs="Arial"/>
        <w:noProof/>
      </w:rPr>
    </w:pPr>
    <w:r>
      <w:tab/>
    </w:r>
  </w:p>
  <w:p w14:paraId="32AF8073" w14:textId="77777777" w:rsidR="00692535" w:rsidRDefault="00692535"/>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48700285"/>
      <w:docPartObj>
        <w:docPartGallery w:val="Page Numbers (Bottom of Page)"/>
        <w:docPartUnique/>
      </w:docPartObj>
    </w:sdtPr>
    <w:sdtEndPr>
      <w:rPr>
        <w:noProof/>
      </w:rPr>
    </w:sdtEndPr>
    <w:sdtContent>
      <w:p w14:paraId="29F1ED47" w14:textId="766894E9" w:rsidR="00692535" w:rsidRDefault="00692535">
        <w:pPr>
          <w:pStyle w:val="Footer"/>
        </w:pPr>
        <w:r>
          <w:fldChar w:fldCharType="begin"/>
        </w:r>
        <w:r>
          <w:instrText xml:space="preserve"> PAGE   \* MERGEFORMAT </w:instrText>
        </w:r>
        <w:r>
          <w:fldChar w:fldCharType="separate"/>
        </w:r>
        <w:r w:rsidR="00CD60CF">
          <w:rPr>
            <w:noProof/>
          </w:rPr>
          <w:t>127</w:t>
        </w:r>
        <w:r>
          <w:rPr>
            <w:noProof/>
          </w:rPr>
          <w:fldChar w:fldCharType="end"/>
        </w:r>
      </w:p>
    </w:sdtContent>
  </w:sdt>
  <w:p w14:paraId="412880FA" w14:textId="77777777" w:rsidR="00692535" w:rsidRDefault="00692535" w:rsidP="00AA71F1">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BF5552" w14:textId="77777777" w:rsidR="00692535" w:rsidRPr="00150D5B" w:rsidRDefault="00692535" w:rsidP="00150D5B">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D490F3" w14:textId="77777777" w:rsidR="00692535" w:rsidRPr="00150D5B" w:rsidRDefault="00692535" w:rsidP="00150D5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169114" w14:textId="68A62425" w:rsidR="00692535" w:rsidRPr="00A40754" w:rsidRDefault="00692535" w:rsidP="00A40754">
    <w:pPr>
      <w:pStyle w:val="Footer"/>
    </w:pPr>
    <w:r w:rsidRPr="00A40754">
      <w:rPr>
        <w:rStyle w:val="PageNumber"/>
        <w:rFonts w:ascii="Helvetica LT Pro Light" w:hAnsi="Helvetica LT Pro Light"/>
      </w:rPr>
      <w:fldChar w:fldCharType="begin"/>
    </w:r>
    <w:r w:rsidRPr="00A40754">
      <w:rPr>
        <w:rStyle w:val="PageNumber"/>
        <w:rFonts w:ascii="Helvetica LT Pro Light" w:hAnsi="Helvetica LT Pro Light"/>
      </w:rPr>
      <w:instrText xml:space="preserve"> PAGE </w:instrText>
    </w:r>
    <w:r w:rsidRPr="00A40754">
      <w:rPr>
        <w:rStyle w:val="PageNumber"/>
        <w:rFonts w:ascii="Helvetica LT Pro Light" w:hAnsi="Helvetica LT Pro Light"/>
      </w:rPr>
      <w:fldChar w:fldCharType="separate"/>
    </w:r>
    <w:r w:rsidR="00CD60CF">
      <w:rPr>
        <w:rStyle w:val="PageNumber"/>
        <w:rFonts w:ascii="Helvetica LT Pro Light" w:hAnsi="Helvetica LT Pro Light"/>
        <w:noProof/>
      </w:rPr>
      <w:t>17</w:t>
    </w:r>
    <w:r w:rsidRPr="00A40754">
      <w:rPr>
        <w:rStyle w:val="PageNumber"/>
        <w:rFonts w:ascii="Helvetica LT Pro Light" w:hAnsi="Helvetica LT Pro Light"/>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5C3D81" w14:textId="57091BD0" w:rsidR="00692535" w:rsidRPr="003571F4" w:rsidRDefault="00692535" w:rsidP="00A40754">
    <w:pPr>
      <w:pStyle w:val="Footer"/>
      <w:rPr>
        <w:vanish/>
      </w:rPr>
    </w:pPr>
    <w:r w:rsidRPr="003571F4">
      <w:rPr>
        <w:rStyle w:val="PageNumber"/>
        <w:rFonts w:ascii="Helvetica LT Pro Light" w:hAnsi="Helvetica LT Pro Light"/>
        <w:vanish/>
      </w:rPr>
      <w:fldChar w:fldCharType="begin"/>
    </w:r>
    <w:r w:rsidRPr="003571F4">
      <w:rPr>
        <w:rStyle w:val="PageNumber"/>
        <w:rFonts w:ascii="Helvetica LT Pro Light" w:hAnsi="Helvetica LT Pro Light"/>
        <w:vanish/>
      </w:rPr>
      <w:instrText xml:space="preserve"> PAGE </w:instrText>
    </w:r>
    <w:r w:rsidRPr="003571F4">
      <w:rPr>
        <w:rStyle w:val="PageNumber"/>
        <w:rFonts w:ascii="Helvetica LT Pro Light" w:hAnsi="Helvetica LT Pro Light"/>
        <w:vanish/>
      </w:rPr>
      <w:fldChar w:fldCharType="separate"/>
    </w:r>
    <w:r w:rsidR="00CD60CF">
      <w:rPr>
        <w:rStyle w:val="PageNumber"/>
        <w:rFonts w:ascii="Helvetica LT Pro Light" w:hAnsi="Helvetica LT Pro Light"/>
        <w:noProof/>
        <w:vanish/>
      </w:rPr>
      <w:t>3</w:t>
    </w:r>
    <w:r w:rsidRPr="003571F4">
      <w:rPr>
        <w:rStyle w:val="PageNumber"/>
        <w:rFonts w:ascii="Helvetica LT Pro Light" w:hAnsi="Helvetica LT Pro Light"/>
        <w:vanish/>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89B33E" w14:textId="2BDCF86C" w:rsidR="00692535" w:rsidRPr="00A40754" w:rsidRDefault="00692535" w:rsidP="00A40754">
    <w:pPr>
      <w:pStyle w:val="Footer"/>
    </w:pPr>
    <w:r w:rsidRPr="00A40754">
      <w:rPr>
        <w:rStyle w:val="PageNumber"/>
        <w:rFonts w:ascii="Helvetica LT Pro Light" w:hAnsi="Helvetica LT Pro Light"/>
      </w:rPr>
      <w:fldChar w:fldCharType="begin"/>
    </w:r>
    <w:r w:rsidRPr="00A40754">
      <w:rPr>
        <w:rStyle w:val="PageNumber"/>
        <w:rFonts w:ascii="Helvetica LT Pro Light" w:hAnsi="Helvetica LT Pro Light"/>
      </w:rPr>
      <w:instrText xml:space="preserve"> PAGE </w:instrText>
    </w:r>
    <w:r w:rsidRPr="00A40754">
      <w:rPr>
        <w:rStyle w:val="PageNumber"/>
        <w:rFonts w:ascii="Helvetica LT Pro Light" w:hAnsi="Helvetica LT Pro Light"/>
      </w:rPr>
      <w:fldChar w:fldCharType="separate"/>
    </w:r>
    <w:r w:rsidR="00CD60CF">
      <w:rPr>
        <w:rStyle w:val="PageNumber"/>
        <w:rFonts w:ascii="Helvetica LT Pro Light" w:hAnsi="Helvetica LT Pro Light"/>
        <w:noProof/>
      </w:rPr>
      <w:t>19</w:t>
    </w:r>
    <w:r w:rsidRPr="00A40754">
      <w:rPr>
        <w:rStyle w:val="PageNumber"/>
        <w:rFonts w:ascii="Helvetica LT Pro Light" w:hAnsi="Helvetica LT Pro Light"/>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A62815" w14:textId="5E9ED031" w:rsidR="00692535" w:rsidRPr="00A40754" w:rsidRDefault="00692535" w:rsidP="00A40754">
    <w:pPr>
      <w:pStyle w:val="Footer"/>
    </w:pPr>
    <w:r w:rsidRPr="00A40754">
      <w:rPr>
        <w:rStyle w:val="PageNumber"/>
        <w:rFonts w:ascii="Helvetica LT Pro Light" w:hAnsi="Helvetica LT Pro Light"/>
      </w:rPr>
      <w:fldChar w:fldCharType="begin"/>
    </w:r>
    <w:r w:rsidRPr="00A40754">
      <w:rPr>
        <w:rStyle w:val="PageNumber"/>
        <w:rFonts w:ascii="Helvetica LT Pro Light" w:hAnsi="Helvetica LT Pro Light"/>
      </w:rPr>
      <w:instrText xml:space="preserve"> PAGE </w:instrText>
    </w:r>
    <w:r w:rsidRPr="00A40754">
      <w:rPr>
        <w:rStyle w:val="PageNumber"/>
        <w:rFonts w:ascii="Helvetica LT Pro Light" w:hAnsi="Helvetica LT Pro Light"/>
      </w:rPr>
      <w:fldChar w:fldCharType="separate"/>
    </w:r>
    <w:r w:rsidR="00CD60CF">
      <w:rPr>
        <w:rStyle w:val="PageNumber"/>
        <w:rFonts w:ascii="Helvetica LT Pro Light" w:hAnsi="Helvetica LT Pro Light"/>
        <w:noProof/>
      </w:rPr>
      <w:t>18</w:t>
    </w:r>
    <w:r w:rsidRPr="00A40754">
      <w:rPr>
        <w:rStyle w:val="PageNumber"/>
        <w:rFonts w:ascii="Helvetica LT Pro Light" w:hAnsi="Helvetica LT Pro Light"/>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087F9A" w14:textId="660389B0" w:rsidR="00692535" w:rsidRPr="00A40754" w:rsidRDefault="00692535" w:rsidP="00A40754">
    <w:pPr>
      <w:pStyle w:val="Footer"/>
    </w:pPr>
    <w:r w:rsidRPr="00A40754">
      <w:rPr>
        <w:rStyle w:val="PageNumber"/>
        <w:rFonts w:ascii="Helvetica LT Pro Light" w:hAnsi="Helvetica LT Pro Light"/>
      </w:rPr>
      <w:fldChar w:fldCharType="begin"/>
    </w:r>
    <w:r w:rsidRPr="00A40754">
      <w:rPr>
        <w:rStyle w:val="PageNumber"/>
        <w:rFonts w:ascii="Helvetica LT Pro Light" w:hAnsi="Helvetica LT Pro Light"/>
      </w:rPr>
      <w:instrText xml:space="preserve"> PAGE </w:instrText>
    </w:r>
    <w:r w:rsidRPr="00A40754">
      <w:rPr>
        <w:rStyle w:val="PageNumber"/>
        <w:rFonts w:ascii="Helvetica LT Pro Light" w:hAnsi="Helvetica LT Pro Light"/>
      </w:rPr>
      <w:fldChar w:fldCharType="separate"/>
    </w:r>
    <w:r w:rsidR="00CD60CF">
      <w:rPr>
        <w:rStyle w:val="PageNumber"/>
        <w:rFonts w:ascii="Helvetica LT Pro Light" w:hAnsi="Helvetica LT Pro Light"/>
        <w:noProof/>
      </w:rPr>
      <w:t>27</w:t>
    </w:r>
    <w:r w:rsidRPr="00A40754">
      <w:rPr>
        <w:rStyle w:val="PageNumber"/>
        <w:rFonts w:ascii="Helvetica LT Pro Light" w:hAnsi="Helvetica LT Pro Light"/>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B6A617" w14:textId="5E85F336" w:rsidR="00692535" w:rsidRPr="00A40754" w:rsidRDefault="00692535" w:rsidP="00A40754">
    <w:pPr>
      <w:pStyle w:val="Footer"/>
    </w:pPr>
    <w:r w:rsidRPr="00A40754">
      <w:rPr>
        <w:rStyle w:val="PageNumber"/>
        <w:rFonts w:ascii="Helvetica LT Pro Light" w:hAnsi="Helvetica LT Pro Light"/>
      </w:rPr>
      <w:fldChar w:fldCharType="begin"/>
    </w:r>
    <w:r w:rsidRPr="00A40754">
      <w:rPr>
        <w:rStyle w:val="PageNumber"/>
        <w:rFonts w:ascii="Helvetica LT Pro Light" w:hAnsi="Helvetica LT Pro Light"/>
      </w:rPr>
      <w:instrText xml:space="preserve"> PAGE </w:instrText>
    </w:r>
    <w:r w:rsidRPr="00A40754">
      <w:rPr>
        <w:rStyle w:val="PageNumber"/>
        <w:rFonts w:ascii="Helvetica LT Pro Light" w:hAnsi="Helvetica LT Pro Light"/>
      </w:rPr>
      <w:fldChar w:fldCharType="separate"/>
    </w:r>
    <w:r w:rsidR="00CD60CF">
      <w:rPr>
        <w:rStyle w:val="PageNumber"/>
        <w:rFonts w:ascii="Helvetica LT Pro Light" w:hAnsi="Helvetica LT Pro Light"/>
        <w:noProof/>
      </w:rPr>
      <w:t>20</w:t>
    </w:r>
    <w:r w:rsidRPr="00A40754">
      <w:rPr>
        <w:rStyle w:val="PageNumber"/>
        <w:rFonts w:ascii="Helvetica LT Pro Light" w:hAnsi="Helvetica LT Pro Light"/>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7359D0" w14:textId="492FC1D4" w:rsidR="00692535" w:rsidRPr="00A40754" w:rsidRDefault="00692535" w:rsidP="00A40754">
    <w:pPr>
      <w:pStyle w:val="Footer"/>
    </w:pPr>
    <w:r w:rsidRPr="00A40754">
      <w:rPr>
        <w:rStyle w:val="PageNumber"/>
        <w:rFonts w:ascii="Helvetica LT Pro Light" w:hAnsi="Helvetica LT Pro Light"/>
      </w:rPr>
      <w:fldChar w:fldCharType="begin"/>
    </w:r>
    <w:r w:rsidRPr="00A40754">
      <w:rPr>
        <w:rStyle w:val="PageNumber"/>
        <w:rFonts w:ascii="Helvetica LT Pro Light" w:hAnsi="Helvetica LT Pro Light"/>
      </w:rPr>
      <w:instrText xml:space="preserve"> PAGE </w:instrText>
    </w:r>
    <w:r w:rsidRPr="00A40754">
      <w:rPr>
        <w:rStyle w:val="PageNumber"/>
        <w:rFonts w:ascii="Helvetica LT Pro Light" w:hAnsi="Helvetica LT Pro Light"/>
      </w:rPr>
      <w:fldChar w:fldCharType="separate"/>
    </w:r>
    <w:r w:rsidR="00CD60CF">
      <w:rPr>
        <w:rStyle w:val="PageNumber"/>
        <w:rFonts w:ascii="Helvetica LT Pro Light" w:hAnsi="Helvetica LT Pro Light"/>
        <w:noProof/>
      </w:rPr>
      <w:t>61</w:t>
    </w:r>
    <w:r w:rsidRPr="00A40754">
      <w:rPr>
        <w:rStyle w:val="PageNumber"/>
        <w:rFonts w:ascii="Helvetica LT Pro Light" w:hAnsi="Helvetica LT Pro Light"/>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2F7C83" w14:textId="3A60E0B6" w:rsidR="00692535" w:rsidRPr="00A40754" w:rsidRDefault="00692535" w:rsidP="00A40754">
    <w:pPr>
      <w:pStyle w:val="Footer"/>
    </w:pPr>
    <w:r w:rsidRPr="00A40754">
      <w:rPr>
        <w:rStyle w:val="PageNumber"/>
        <w:rFonts w:ascii="Helvetica LT Pro Light" w:hAnsi="Helvetica LT Pro Light"/>
      </w:rPr>
      <w:fldChar w:fldCharType="begin"/>
    </w:r>
    <w:r w:rsidRPr="00A40754">
      <w:rPr>
        <w:rStyle w:val="PageNumber"/>
        <w:rFonts w:ascii="Helvetica LT Pro Light" w:hAnsi="Helvetica LT Pro Light"/>
      </w:rPr>
      <w:instrText xml:space="preserve"> PAGE </w:instrText>
    </w:r>
    <w:r w:rsidRPr="00A40754">
      <w:rPr>
        <w:rStyle w:val="PageNumber"/>
        <w:rFonts w:ascii="Helvetica LT Pro Light" w:hAnsi="Helvetica LT Pro Light"/>
      </w:rPr>
      <w:fldChar w:fldCharType="separate"/>
    </w:r>
    <w:r w:rsidR="00CD60CF">
      <w:rPr>
        <w:rStyle w:val="PageNumber"/>
        <w:rFonts w:ascii="Helvetica LT Pro Light" w:hAnsi="Helvetica LT Pro Light"/>
        <w:noProof/>
      </w:rPr>
      <w:t>28</w:t>
    </w:r>
    <w:r w:rsidRPr="00A40754">
      <w:rPr>
        <w:rStyle w:val="PageNumber"/>
        <w:rFonts w:ascii="Helvetica LT Pro Light" w:hAnsi="Helvetica LT Pro Light"/>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2DA926" w14:textId="77777777" w:rsidR="00914903" w:rsidRPr="005C5994" w:rsidRDefault="00914903">
      <w:pPr>
        <w:spacing w:before="0" w:after="0" w:line="240" w:lineRule="auto"/>
        <w:rPr>
          <w:color w:val="F07E31" w:themeColor="background2"/>
        </w:rPr>
      </w:pPr>
      <w:r w:rsidRPr="005C5994">
        <w:rPr>
          <w:color w:val="F07E31" w:themeColor="background2"/>
        </w:rPr>
        <w:separator/>
      </w:r>
    </w:p>
  </w:footnote>
  <w:footnote w:type="continuationSeparator" w:id="0">
    <w:p w14:paraId="1AB88BE9" w14:textId="77777777" w:rsidR="00914903" w:rsidRDefault="00914903">
      <w:pPr>
        <w:spacing w:before="0" w:after="0" w:line="240" w:lineRule="auto"/>
      </w:pPr>
      <w:r>
        <w:continuationSeparator/>
      </w:r>
    </w:p>
  </w:footnote>
  <w:footnote w:type="continuationNotice" w:id="1">
    <w:p w14:paraId="7E585D45" w14:textId="77777777" w:rsidR="00914903" w:rsidRDefault="00914903">
      <w:pPr>
        <w:spacing w:before="0" w:after="0" w:line="240" w:lineRule="auto"/>
      </w:pPr>
    </w:p>
  </w:footnote>
  <w:footnote w:id="2">
    <w:p w14:paraId="1BFBEEFA" w14:textId="77777777" w:rsidR="00692535" w:rsidRPr="00CB34A3" w:rsidRDefault="00692535" w:rsidP="008C0710">
      <w:pPr>
        <w:pStyle w:val="FootnoteText"/>
        <w:jc w:val="both"/>
      </w:pPr>
      <w:r>
        <w:rPr>
          <w:rStyle w:val="FootnoteReference"/>
        </w:rPr>
        <w:footnoteRef/>
      </w:r>
      <w:r>
        <w:t xml:space="preserve"> </w:t>
      </w:r>
      <w:r>
        <w:tab/>
        <w:t>Allegato VII al regolamento di esecuzione (UE) n. 808/2014 della Commissione, del 17 luglio 2014, recante modalità di applicazione del regolamento (UE) n. 1305/2013 del Parlamento europeo e del Consiglio sul sostegno allo sviluppo rurale da parte del Fondo europeo agricolo per lo sviluppo rurale (FEASR) (GU L 227 del 31.7.2014, pag. 18).</w:t>
      </w:r>
    </w:p>
  </w:footnote>
  <w:footnote w:id="3">
    <w:p w14:paraId="2B0BABD7" w14:textId="2A9E3014" w:rsidR="00692535" w:rsidRPr="00C02D10" w:rsidRDefault="00692535" w:rsidP="00994A9F">
      <w:pPr>
        <w:pStyle w:val="FootnoteText"/>
        <w:jc w:val="both"/>
        <w:rPr>
          <w:lang w:val="sk-SK"/>
        </w:rPr>
      </w:pPr>
      <w:r>
        <w:rPr>
          <w:rStyle w:val="FootnoteReference"/>
        </w:rPr>
        <w:footnoteRef/>
      </w:r>
      <w:r>
        <w:t xml:space="preserve"> </w:t>
      </w:r>
      <w:r w:rsidR="00994A9F">
        <w:t>A</w:t>
      </w:r>
      <w:r w:rsidR="00F61F42">
        <w:t>rticolo</w:t>
      </w:r>
      <w:r>
        <w:t xml:space="preserve"> 67 del regolamento (UE) n. 1305/2013 e </w:t>
      </w:r>
      <w:r w:rsidR="00F61F42">
        <w:t xml:space="preserve">Articolo 14 e </w:t>
      </w:r>
      <w:r>
        <w:t>allegati IV, V e VI al regolamento di esecuzione (UE) n. 808/2014 della Commissione.</w:t>
      </w:r>
    </w:p>
  </w:footnote>
  <w:footnote w:id="4">
    <w:p w14:paraId="79CC185D" w14:textId="77777777" w:rsidR="00692535" w:rsidRPr="00016C82" w:rsidRDefault="00692535" w:rsidP="0079615D">
      <w:pPr>
        <w:pStyle w:val="FootnoteText"/>
        <w:jc w:val="both"/>
        <w:rPr>
          <w:lang w:val="sk-SK"/>
        </w:rPr>
      </w:pPr>
      <w:r>
        <w:rPr>
          <w:rStyle w:val="FootnoteReference"/>
        </w:rPr>
        <w:footnoteRef/>
      </w:r>
      <w:r>
        <w:t xml:space="preserve"> </w:t>
      </w:r>
      <w:r>
        <w:tab/>
        <w:t>Allegato VII, punto 2, al regolamento di esecuzione (UE) n. 808/2014 della Commissione.</w:t>
      </w:r>
    </w:p>
  </w:footnote>
  <w:footnote w:id="5">
    <w:p w14:paraId="25CFB002" w14:textId="77777777" w:rsidR="00692535" w:rsidRPr="00016C82" w:rsidRDefault="00692535" w:rsidP="0079615D">
      <w:pPr>
        <w:pStyle w:val="FootnoteText"/>
        <w:jc w:val="both"/>
        <w:rPr>
          <w:lang w:val="sk-SK"/>
        </w:rPr>
      </w:pPr>
      <w:r>
        <w:rPr>
          <w:rStyle w:val="FootnoteReference"/>
        </w:rPr>
        <w:footnoteRef/>
      </w:r>
      <w:r>
        <w:t xml:space="preserve"> </w:t>
      </w:r>
      <w:r>
        <w:tab/>
        <w:t>Allegato VII, punto 1, lettera a), al regolamento di esecuzione (UE) n. 808/2014 della Commissione.</w:t>
      </w:r>
    </w:p>
  </w:footnote>
  <w:footnote w:id="6">
    <w:p w14:paraId="2B9FF8E5" w14:textId="77777777" w:rsidR="00692535" w:rsidRPr="00016C82" w:rsidRDefault="00692535" w:rsidP="0079615D">
      <w:pPr>
        <w:pStyle w:val="FootnoteText"/>
        <w:jc w:val="both"/>
        <w:rPr>
          <w:lang w:val="sk-SK"/>
        </w:rPr>
      </w:pPr>
      <w:r>
        <w:rPr>
          <w:rStyle w:val="FootnoteReference"/>
        </w:rPr>
        <w:footnoteRef/>
      </w:r>
      <w:r>
        <w:t xml:space="preserve"> </w:t>
      </w:r>
      <w:r>
        <w:tab/>
        <w:t>Allegato VII, punto 1, lettera b), al regolamento di esecuzione (UE) n. 808/2014 della Commissione.</w:t>
      </w:r>
    </w:p>
  </w:footnote>
  <w:footnote w:id="7">
    <w:p w14:paraId="331C3D90" w14:textId="77777777" w:rsidR="00692535" w:rsidRPr="00D0367D" w:rsidRDefault="00692535" w:rsidP="0079615D">
      <w:pPr>
        <w:pStyle w:val="FootnoteText"/>
        <w:jc w:val="both"/>
        <w:rPr>
          <w:lang w:val="sk-SK"/>
        </w:rPr>
      </w:pPr>
      <w:r>
        <w:rPr>
          <w:rStyle w:val="FootnoteReference"/>
        </w:rPr>
        <w:footnoteRef/>
      </w:r>
      <w:r>
        <w:t xml:space="preserve"> </w:t>
      </w:r>
      <w:r>
        <w:tab/>
        <w:t>Allegato VII, punto 7, al regolamento di esecuzione (UE) n. 808/2014 della Commissione.</w:t>
      </w:r>
    </w:p>
  </w:footnote>
  <w:footnote w:id="8">
    <w:p w14:paraId="5D728504" w14:textId="77777777" w:rsidR="00692535" w:rsidRPr="00D0367D" w:rsidRDefault="00692535" w:rsidP="0079615D">
      <w:pPr>
        <w:pStyle w:val="FootnoteText"/>
        <w:jc w:val="both"/>
        <w:rPr>
          <w:lang w:val="sk-SK"/>
        </w:rPr>
      </w:pPr>
      <w:r>
        <w:rPr>
          <w:rStyle w:val="FootnoteReference"/>
        </w:rPr>
        <w:footnoteRef/>
      </w:r>
      <w:r>
        <w:t xml:space="preserve"> </w:t>
      </w:r>
      <w:r>
        <w:tab/>
        <w:t>Articolo 54, paragrafo 3, del regolamento (UE) n. 1303/2013 del Parlamento europeo e del Consiglio, del 17 dicembre 2013, recante disposizioni comuni sul Fondo europeo di sviluppo regionale, sul Fondo sociale europeo, sul Fondo di coesione, sul Fondo europeo agricolo per lo sviluppo rurale e sul Fondo europeo per gli affari marittimi e la pesca e disposizioni generali sul Fondo europeo di sviluppo regionale, sul Fondo sociale europeo, sul Fondo di coesione e sul Fondo europeo per gli affari marittimi e la pesca, e che abroga il regolamento (CE) n. 1083/2006 del Consiglio (GU L 347 del 20.12.2013, pag. 320).</w:t>
      </w:r>
    </w:p>
  </w:footnote>
  <w:footnote w:id="9">
    <w:p w14:paraId="0D65E424" w14:textId="77777777" w:rsidR="00692535" w:rsidRPr="00D0367D" w:rsidRDefault="00692535" w:rsidP="0079615D">
      <w:pPr>
        <w:pStyle w:val="FootnoteText"/>
        <w:jc w:val="both"/>
        <w:rPr>
          <w:lang w:val="sk-SK"/>
        </w:rPr>
      </w:pPr>
      <w:r>
        <w:rPr>
          <w:rStyle w:val="FootnoteReference"/>
        </w:rPr>
        <w:footnoteRef/>
      </w:r>
      <w:r>
        <w:t xml:space="preserve"> </w:t>
      </w:r>
      <w:r>
        <w:tab/>
        <w:t>Articolo 14, lettera b) e allegato VII, punto 7, del regolamento di esecuzione (UE) n. 808/2014 della Commissione.</w:t>
      </w:r>
    </w:p>
  </w:footnote>
  <w:footnote w:id="10">
    <w:p w14:paraId="18EDEBF5" w14:textId="77777777" w:rsidR="00692535" w:rsidRPr="00CB34A3" w:rsidRDefault="00692535" w:rsidP="0079615D">
      <w:pPr>
        <w:pStyle w:val="FootnoteText"/>
        <w:jc w:val="both"/>
      </w:pPr>
      <w:r>
        <w:rPr>
          <w:rStyle w:val="FootnoteReference"/>
        </w:rPr>
        <w:footnoteRef/>
      </w:r>
      <w:r>
        <w:t xml:space="preserve"> Ulteriori contributi di operazioni ad aspetti specifici, diversi da quelli ai sensi dei quali sono programmati.</w:t>
      </w:r>
    </w:p>
  </w:footnote>
  <w:footnote w:id="11">
    <w:p w14:paraId="7A81D64A" w14:textId="77777777" w:rsidR="00692535" w:rsidRPr="00CB34A3" w:rsidRDefault="00692535" w:rsidP="0079615D">
      <w:pPr>
        <w:pStyle w:val="FootnoteText"/>
        <w:jc w:val="both"/>
      </w:pPr>
      <w:r>
        <w:rPr>
          <w:rStyle w:val="FootnoteReference"/>
        </w:rPr>
        <w:footnoteRef/>
      </w:r>
      <w:r>
        <w:t xml:space="preserve"> Articolo 50 del regolamento (UE) n. 1303/2013 e allegato VII, punto 7, del regolamento di esecuzione (UE) n. 808/2014 della Commissione.</w:t>
      </w:r>
    </w:p>
  </w:footnote>
  <w:footnote w:id="12">
    <w:p w14:paraId="6206CF3D" w14:textId="77777777" w:rsidR="00692535" w:rsidRPr="0000205C" w:rsidRDefault="00692535" w:rsidP="00E1240A">
      <w:pPr>
        <w:pStyle w:val="FootnoteText"/>
        <w:rPr>
          <w:lang w:val="sk-SK"/>
        </w:rPr>
      </w:pPr>
      <w:r>
        <w:rPr>
          <w:rStyle w:val="FootnoteReference"/>
        </w:rPr>
        <w:footnoteRef/>
      </w:r>
      <w:r>
        <w:t xml:space="preserve"> </w:t>
      </w:r>
      <w:r>
        <w:rPr>
          <w:rStyle w:val="Hyperlink"/>
        </w:rPr>
        <w:t>http://enrd.ec.europa.eu/enrd-static/policy-in-action/improving-implementation/delivery-mechanisms/it/delivery-mechanisms_it.html.</w:t>
      </w:r>
    </w:p>
  </w:footnote>
  <w:footnote w:id="13">
    <w:p w14:paraId="3A4948D4" w14:textId="77777777" w:rsidR="00692535" w:rsidRPr="0027790B" w:rsidRDefault="00692535" w:rsidP="00E1240A">
      <w:pPr>
        <w:pStyle w:val="FootnoteText"/>
        <w:rPr>
          <w:lang w:val="sk-SK"/>
        </w:rPr>
      </w:pPr>
      <w:r>
        <w:rPr>
          <w:rStyle w:val="FootnoteReference"/>
        </w:rPr>
        <w:footnoteRef/>
      </w:r>
      <w:r>
        <w:t xml:space="preserve"> Allegato VII, punto 3, del regolamento di esecuzione (UE) n. 808/2014 della Commissione.</w:t>
      </w:r>
    </w:p>
  </w:footnote>
  <w:footnote w:id="14">
    <w:p w14:paraId="287BB58C" w14:textId="77777777" w:rsidR="00692535" w:rsidRPr="00CB34A3" w:rsidRDefault="00692535" w:rsidP="00A57152">
      <w:pPr>
        <w:pStyle w:val="FootnoteText"/>
      </w:pPr>
      <w:r>
        <w:rPr>
          <w:rStyle w:val="FootnoteReference"/>
        </w:rPr>
        <w:footnoteRef/>
      </w:r>
      <w:r>
        <w:t xml:space="preserve"> Articolo 14, paragrafo 1, lettera b) e allegato IV del regolamento di esecuzione (UE) n. 808/2014 della Commissione. </w:t>
      </w:r>
    </w:p>
  </w:footnote>
  <w:footnote w:id="15">
    <w:p w14:paraId="2CF08F1B" w14:textId="77777777" w:rsidR="00692535" w:rsidRPr="00111809" w:rsidRDefault="00692535" w:rsidP="00E1240A">
      <w:pPr>
        <w:pStyle w:val="FootnoteText"/>
        <w:rPr>
          <w:lang w:val="sk-SK"/>
        </w:rPr>
      </w:pPr>
      <w:r>
        <w:rPr>
          <w:rStyle w:val="FootnoteReference"/>
        </w:rPr>
        <w:footnoteRef/>
      </w:r>
      <w:r>
        <w:t xml:space="preserve"> </w:t>
      </w:r>
      <w:hyperlink r:id="rId1">
        <w:r>
          <w:rPr>
            <w:rStyle w:val="Hyperlink"/>
          </w:rPr>
          <w:t>https://www.statpac.com/surveys/sampling.htm.</w:t>
        </w:r>
      </w:hyperlink>
    </w:p>
  </w:footnote>
  <w:footnote w:id="16">
    <w:p w14:paraId="23AED115" w14:textId="77777777" w:rsidR="00692535" w:rsidRPr="0027790B" w:rsidRDefault="00692535">
      <w:pPr>
        <w:pStyle w:val="FootnoteText"/>
        <w:rPr>
          <w:lang w:val="sk-SK"/>
        </w:rPr>
      </w:pPr>
      <w:r>
        <w:rPr>
          <w:rStyle w:val="FootnoteReference"/>
        </w:rPr>
        <w:footnoteRef/>
      </w:r>
      <w:r>
        <w:t xml:space="preserve"> Articolo 50, paragrafo 2, del regolamento (UE) n. 1303/2013. </w:t>
      </w:r>
    </w:p>
  </w:footnote>
  <w:footnote w:id="17">
    <w:p w14:paraId="0497D70B" w14:textId="77777777" w:rsidR="00692535" w:rsidRPr="0027790B" w:rsidRDefault="00692535">
      <w:pPr>
        <w:pStyle w:val="FootnoteText"/>
        <w:rPr>
          <w:lang w:val="sk-SK"/>
        </w:rPr>
      </w:pPr>
      <w:r>
        <w:rPr>
          <w:rStyle w:val="FootnoteReference"/>
        </w:rPr>
        <w:footnoteRef/>
      </w:r>
      <w:r>
        <w:t xml:space="preserve"> Allegato VII, punto 7, del regolamento di esecuzione (UE) n. 808/2014 della Commissione.</w:t>
      </w:r>
    </w:p>
  </w:footnote>
  <w:footnote w:id="18">
    <w:p w14:paraId="50216E41" w14:textId="77777777" w:rsidR="00692535" w:rsidRPr="00CB34A3" w:rsidRDefault="00692535">
      <w:pPr>
        <w:pStyle w:val="FootnoteText"/>
      </w:pPr>
      <w:r>
        <w:rPr>
          <w:rStyle w:val="FootnoteReference"/>
        </w:rPr>
        <w:footnoteRef/>
      </w:r>
      <w:r>
        <w:t xml:space="preserve"> Articolo 8, paragrafo 1, lettera g), del regolamento (UE) n. 1305/2013.</w:t>
      </w:r>
    </w:p>
  </w:footnote>
  <w:footnote w:id="19">
    <w:p w14:paraId="2D8F825D" w14:textId="77777777" w:rsidR="00692535" w:rsidRPr="00CB34A3" w:rsidRDefault="00692535" w:rsidP="008F5BEE">
      <w:pPr>
        <w:pStyle w:val="FootnoteText"/>
        <w:rPr>
          <w:color w:val="546393" w:themeColor="accent3"/>
        </w:rPr>
      </w:pPr>
      <w:r>
        <w:rPr>
          <w:rStyle w:val="FootnoteReference"/>
        </w:rPr>
        <w:footnoteRef/>
      </w:r>
      <w:r>
        <w:t xml:space="preserve"> </w:t>
      </w:r>
      <w:r>
        <w:rPr>
          <w:i/>
        </w:rPr>
        <w:t>Annex 6 to "Quality Assessment Form", DG Market Guide to Evaluating Legislation</w:t>
      </w:r>
      <w:r>
        <w:t xml:space="preserve"> [Allegato 6 "Modulo di valutazione della qualità", DG MARKT, Guida alla legislazione in materia di valutazione] (in inglese), pagine 87-97 </w:t>
      </w:r>
      <w:r>
        <w:rPr>
          <w:rStyle w:val="Hyperlink"/>
        </w:rPr>
        <w:t>http://ec.europa.eu/dgs/internal_market/evaluation/evaluation/index_en.htm</w:t>
      </w:r>
      <w:r>
        <w:t>.</w:t>
      </w:r>
    </w:p>
  </w:footnote>
  <w:footnote w:id="20">
    <w:p w14:paraId="7588FFF3" w14:textId="77777777" w:rsidR="00692535" w:rsidRPr="003726BE" w:rsidRDefault="00692535" w:rsidP="009540FB">
      <w:pPr>
        <w:pStyle w:val="FootnoteText"/>
        <w:rPr>
          <w:lang w:val="sk-SK"/>
        </w:rPr>
      </w:pPr>
      <w:r w:rsidRPr="003726BE">
        <w:rPr>
          <w:rStyle w:val="FootnoteReference"/>
        </w:rPr>
        <w:footnoteRef/>
      </w:r>
      <w:r w:rsidRPr="00CB34A3">
        <w:rPr>
          <w:lang w:val="en-GB"/>
        </w:rPr>
        <w:t xml:space="preserve"> Article 54(1) of Regulation (EU) No 1303/2013; Article 68(a) of Regulation (EU) No 1305/2013</w:t>
      </w:r>
    </w:p>
  </w:footnote>
  <w:footnote w:id="21">
    <w:p w14:paraId="23D00923" w14:textId="77777777" w:rsidR="00692535" w:rsidRPr="003726BE" w:rsidRDefault="00692535" w:rsidP="009540FB">
      <w:pPr>
        <w:pStyle w:val="FootnoteText"/>
        <w:rPr>
          <w:lang w:val="sk-SK"/>
        </w:rPr>
      </w:pPr>
      <w:r w:rsidRPr="003726BE">
        <w:rPr>
          <w:rStyle w:val="FootnoteReference"/>
        </w:rPr>
        <w:footnoteRef/>
      </w:r>
      <w:r w:rsidRPr="00CB34A3">
        <w:rPr>
          <w:lang w:val="en-GB"/>
        </w:rPr>
        <w:t xml:space="preserve"> WD: common evaluation questions for rural de</w:t>
      </w:r>
      <w:r>
        <w:rPr>
          <w:lang w:val="en-GB"/>
        </w:rPr>
        <w:t>velopment programmes 2014-2020,</w:t>
      </w:r>
      <w:r w:rsidRPr="00CB34A3">
        <w:rPr>
          <w:lang w:val="en-GB"/>
        </w:rPr>
        <w:t xml:space="preserve"> </w:t>
      </w:r>
      <w:hyperlink r:id="rId2">
        <w:r w:rsidRPr="00CB34A3">
          <w:rPr>
            <w:rStyle w:val="Hyperlink"/>
            <w:lang w:val="en-GB"/>
          </w:rPr>
          <w:t>https://enrd.ec.europa.eu/en/evaluation-helpdesks-publications</w:t>
        </w:r>
      </w:hyperlink>
    </w:p>
  </w:footnote>
  <w:footnote w:id="22">
    <w:p w14:paraId="7EFB40EE" w14:textId="77777777" w:rsidR="00692535" w:rsidRPr="003726BE" w:rsidRDefault="00692535" w:rsidP="009540FB">
      <w:pPr>
        <w:pStyle w:val="FootnoteText"/>
        <w:rPr>
          <w:lang w:val="en-US"/>
        </w:rPr>
      </w:pPr>
      <w:r w:rsidRPr="003726BE">
        <w:rPr>
          <w:rStyle w:val="FootnoteReference"/>
        </w:rPr>
        <w:footnoteRef/>
      </w:r>
      <w:r w:rsidRPr="00CB34A3">
        <w:rPr>
          <w:lang w:val="en-GB"/>
        </w:rPr>
        <w:t xml:space="preserve"> Article 14(1)(c) and Annex VII, point (7) to Commission Implementing Regulation (EU) No 808/2014, </w:t>
      </w:r>
    </w:p>
  </w:footnote>
  <w:footnote w:id="23">
    <w:p w14:paraId="07F6D3AA" w14:textId="77777777" w:rsidR="00692535" w:rsidRPr="003726BE" w:rsidRDefault="00692535">
      <w:pPr>
        <w:pStyle w:val="FootnoteText"/>
        <w:rPr>
          <w:lang w:val="en-GB"/>
        </w:rPr>
      </w:pPr>
      <w:r w:rsidRPr="003726BE">
        <w:rPr>
          <w:rStyle w:val="FootnoteReference"/>
        </w:rPr>
        <w:footnoteRef/>
      </w:r>
      <w:r w:rsidRPr="00CB34A3">
        <w:rPr>
          <w:lang w:val="en-GB"/>
        </w:rPr>
        <w:t xml:space="preserve"> Additional indicators are applied </w:t>
      </w:r>
      <w:r w:rsidRPr="00CB34A3">
        <w:rPr>
          <w:b/>
          <w:lang w:val="en-GB"/>
        </w:rPr>
        <w:t>additionally</w:t>
      </w:r>
      <w:r w:rsidRPr="00CB34A3">
        <w:rPr>
          <w:lang w:val="en-GB"/>
        </w:rPr>
        <w:t xml:space="preserve"> to common indicators if the latter are not sufficient to answer the CEQ in a satisfactory manner</w:t>
      </w:r>
    </w:p>
  </w:footnote>
  <w:footnote w:id="24">
    <w:p w14:paraId="2322D523" w14:textId="77777777" w:rsidR="00692535" w:rsidRPr="003726BE" w:rsidRDefault="00692535">
      <w:pPr>
        <w:pStyle w:val="FootnoteText"/>
        <w:rPr>
          <w:lang w:val="en-GB"/>
        </w:rPr>
      </w:pPr>
      <w:r w:rsidRPr="003726BE">
        <w:rPr>
          <w:rStyle w:val="FootnoteReference"/>
        </w:rPr>
        <w:footnoteRef/>
      </w:r>
      <w:r w:rsidRPr="00CB34A3">
        <w:rPr>
          <w:lang w:val="en-GB"/>
        </w:rPr>
        <w:t xml:space="preserve"> Programme-specific indicators are applied to answer PSEQ</w:t>
      </w:r>
    </w:p>
  </w:footnote>
  <w:footnote w:id="25">
    <w:p w14:paraId="0A5751EC" w14:textId="77777777" w:rsidR="00692535" w:rsidRPr="002B6593" w:rsidRDefault="00692535" w:rsidP="00054B2D">
      <w:pPr>
        <w:pStyle w:val="FootnoteText"/>
        <w:rPr>
          <w:lang w:val="sk-SK"/>
        </w:rPr>
      </w:pPr>
      <w:r>
        <w:rPr>
          <w:rStyle w:val="FootnoteReference"/>
        </w:rPr>
        <w:footnoteRef/>
      </w:r>
      <w:r>
        <w:t xml:space="preserve"> Articolo 8, paragrafo 1, lettera g), del regolamento (UE) n. 1305/2013.</w:t>
      </w:r>
    </w:p>
  </w:footnote>
  <w:footnote w:id="26">
    <w:p w14:paraId="52EE72AC" w14:textId="77777777" w:rsidR="00692535" w:rsidRPr="002B6593" w:rsidRDefault="00692535" w:rsidP="00054B2D">
      <w:pPr>
        <w:pStyle w:val="FootnoteText"/>
        <w:rPr>
          <w:lang w:val="sk-SK"/>
        </w:rPr>
      </w:pPr>
      <w:r>
        <w:rPr>
          <w:rStyle w:val="FootnoteReference"/>
        </w:rPr>
        <w:footnoteRef/>
      </w:r>
      <w:r>
        <w:t xml:space="preserve"> Approcci misti, qualitativi, quantitativi, basati sulla teoria.</w:t>
      </w:r>
    </w:p>
  </w:footnote>
  <w:footnote w:id="27">
    <w:p w14:paraId="20B20335" w14:textId="77777777" w:rsidR="00692535" w:rsidRPr="00CB34A3" w:rsidRDefault="00692535" w:rsidP="008820A8">
      <w:pPr>
        <w:pStyle w:val="FootnoteText"/>
      </w:pPr>
      <w:r>
        <w:rPr>
          <w:rStyle w:val="FootnoteReference"/>
        </w:rPr>
        <w:footnoteRef/>
      </w:r>
      <w:r>
        <w:t xml:space="preserve"> Autorità di gestione, organismo pagatore, esperti di valutazione, valutatori, fornitori di dati, membri del comitato di sorveglianza.</w:t>
      </w:r>
    </w:p>
  </w:footnote>
  <w:footnote w:id="28">
    <w:p w14:paraId="6831D01C" w14:textId="77777777" w:rsidR="00692535" w:rsidRPr="00CB34A3" w:rsidRDefault="00692535" w:rsidP="00606478">
      <w:pPr>
        <w:pStyle w:val="FootnoteText"/>
      </w:pPr>
      <w:r>
        <w:rPr>
          <w:rStyle w:val="FootnoteReference"/>
        </w:rPr>
        <w:footnoteRef/>
      </w:r>
      <w:r>
        <w:t xml:space="preserve"> Questa valutazione è altresì molto importante per la valutazione delle sinergie del programma e per rispondere alla domanda 19 del questionario valutativo comune: "In che misura le sinergie tra priorità e aspetti specifici hanno rafforzato l'efficacia del PSR?".</w:t>
      </w:r>
    </w:p>
  </w:footnote>
  <w:footnote w:id="29">
    <w:p w14:paraId="5A09A36D" w14:textId="77777777" w:rsidR="00692535" w:rsidRPr="00CB34A3" w:rsidRDefault="00692535" w:rsidP="00054B2D">
      <w:pPr>
        <w:pStyle w:val="FootnoteText"/>
      </w:pPr>
      <w:r>
        <w:rPr>
          <w:rStyle w:val="FootnoteReference"/>
        </w:rPr>
        <w:footnoteRef/>
      </w:r>
      <w:r>
        <w:t xml:space="preserve"> Leggere anche Parte II, capitoli 1 e 2 del documento "</w:t>
      </w:r>
      <w:r>
        <w:rPr>
          <w:i/>
        </w:rPr>
        <w:t>Getting the most of your RDP: guidelines for the ex ante evaluation of 2014-2020 RDPs</w:t>
      </w:r>
      <w:r>
        <w:t xml:space="preserve">" [Come mettere a frutto i PSR: linee guida per la valutazione </w:t>
      </w:r>
      <w:r>
        <w:rPr>
          <w:i/>
        </w:rPr>
        <w:t>ex ante</w:t>
      </w:r>
      <w:r>
        <w:t xml:space="preserve"> dei PSR 2014-2020] (in inglese), </w:t>
      </w:r>
      <w:hyperlink r:id="rId3">
        <w:r>
          <w:rPr>
            <w:rStyle w:val="Hyperlink"/>
          </w:rPr>
          <w:t>http://enrd.ec.europa.eu/enrd-static/evaluation/library/evaluation-helpdesk-publications/en/evaluation-helpdesk-publications_en.html</w:t>
        </w:r>
      </w:hyperlink>
      <w:r>
        <w:t>.</w:t>
      </w:r>
    </w:p>
  </w:footnote>
  <w:footnote w:id="30">
    <w:p w14:paraId="3ECF83F5" w14:textId="77777777" w:rsidR="00692535" w:rsidRPr="00CB34A3" w:rsidRDefault="00692535" w:rsidP="00054B2D">
      <w:pPr>
        <w:pStyle w:val="FootnoteText"/>
        <w:rPr>
          <w:rStyle w:val="Hyperlink"/>
        </w:rPr>
      </w:pPr>
      <w:r>
        <w:rPr>
          <w:rStyle w:val="FootnoteReference"/>
        </w:rPr>
        <w:footnoteRef/>
      </w:r>
      <w:r>
        <w:t xml:space="preserve"> Strategia dell'Unione per una crescita intelligente, sostenibile e inclusiva </w:t>
      </w:r>
      <w:hyperlink r:id="rId4" w:history="1">
        <w:r w:rsidRPr="00AA05DA">
          <w:rPr>
            <w:rStyle w:val="Hyperlink"/>
          </w:rPr>
          <w:t>https://ec.europa.eu/info/strategy/european-semester/framework/europe-2020-strategy_en</w:t>
        </w:r>
      </w:hyperlink>
    </w:p>
  </w:footnote>
  <w:footnote w:id="31">
    <w:p w14:paraId="3A063568" w14:textId="77777777" w:rsidR="00692535" w:rsidRPr="00CB34A3" w:rsidRDefault="00692535" w:rsidP="00054B2D">
      <w:pPr>
        <w:pStyle w:val="FootnoteText"/>
        <w:rPr>
          <w:rStyle w:val="Hyperlink"/>
        </w:rPr>
      </w:pPr>
      <w:r>
        <w:rPr>
          <w:rStyle w:val="Hyperlink"/>
          <w:i/>
          <w:color w:val="6F6F6F" w:themeColor="text1"/>
          <w:sz w:val="12"/>
          <w:u w:val="none"/>
        </w:rPr>
        <w:footnoteRef/>
      </w:r>
      <w:r>
        <w:rPr>
          <w:rStyle w:val="Hyperlink"/>
        </w:rPr>
        <w:t xml:space="preserve"> </w:t>
      </w:r>
      <w:hyperlink r:id="rId5" w:history="1">
        <w:r w:rsidRPr="006E007D">
          <w:rPr>
            <w:rStyle w:val="Hyperlink"/>
          </w:rPr>
          <w:t>http://ec.europa.eu/agriculture/cap-post-2013/</w:t>
        </w:r>
      </w:hyperlink>
    </w:p>
  </w:footnote>
  <w:footnote w:id="32">
    <w:p w14:paraId="1B3BA3BC" w14:textId="77777777" w:rsidR="00692535" w:rsidRPr="00CB34A3" w:rsidRDefault="00692535" w:rsidP="00C711C0">
      <w:pPr>
        <w:pStyle w:val="FootnoteText"/>
      </w:pPr>
      <w:r>
        <w:rPr>
          <w:rStyle w:val="FootnoteReference"/>
        </w:rPr>
        <w:footnoteRef/>
      </w:r>
      <w:r>
        <w:t xml:space="preserve"> Le operazioni programmate ai sensi degli aspetti specifici ambientali, vale a dire gli aspetti specifici FA 4A, 4B, 4C, 5D e 5E, nell'ambito dei quali gli obiettivi sono definiti come una % dell'area coperta dai contratti, vengono conteggiate per tutti gli aspetti specifici ai quali possono dare un contributo in termini di obiettivi. I loro contributi moltiplicati sono già rilevati dal sistema di monitoraggio e quindi non è necessaria alcuna ulteriore quantificazione degli obiettivi durante la valutazione. </w:t>
      </w:r>
    </w:p>
  </w:footnote>
  <w:footnote w:id="33">
    <w:p w14:paraId="5A052BAD" w14:textId="77777777" w:rsidR="00692535" w:rsidRPr="00CB34A3" w:rsidRDefault="00692535" w:rsidP="00054B2D">
      <w:pPr>
        <w:pStyle w:val="FootnoteText"/>
        <w:rPr>
          <w:rStyle w:val="Hyperlink"/>
        </w:rPr>
      </w:pPr>
      <w:r>
        <w:rPr>
          <w:rStyle w:val="FootnoteReference"/>
        </w:rPr>
        <w:footnoteRef/>
      </w:r>
      <w:r>
        <w:t xml:space="preserve"> Una descrizione dettagliata degli effetti del programma è riportata nelle </w:t>
      </w:r>
      <w:r>
        <w:rPr>
          <w:i/>
        </w:rPr>
        <w:t>Guidelines for ex post evaluation of 2007-2013 RDPs</w:t>
      </w:r>
      <w:r>
        <w:t xml:space="preserve"> [Linee guida per la valutazione </w:t>
      </w:r>
      <w:r>
        <w:rPr>
          <w:i/>
        </w:rPr>
        <w:t>ex post</w:t>
      </w:r>
      <w:r>
        <w:t xml:space="preserve"> dei PSR per il periodo 2007-2013] (in inglese), capitolo 4.2.2 "Sfida: individuazione degli effetti del programma", </w:t>
      </w:r>
      <w:hyperlink r:id="rId6">
        <w:r>
          <w:rPr>
            <w:rStyle w:val="Hyperlink"/>
          </w:rPr>
          <w:t>http://enrd.ec.europa.eu/enrd-static/evaluation/library/evaluation-helpdesk-publications/en/evaluation-helpdesk-publications_en.html</w:t>
        </w:r>
      </w:hyperlink>
      <w:r>
        <w:t>.</w:t>
      </w:r>
    </w:p>
  </w:footnote>
  <w:footnote w:id="34">
    <w:p w14:paraId="13697786" w14:textId="77777777" w:rsidR="00692535" w:rsidRPr="007E75CE" w:rsidRDefault="00692535">
      <w:pPr>
        <w:pStyle w:val="FootnoteText"/>
        <w:rPr>
          <w:lang w:val="sk-SK"/>
        </w:rPr>
      </w:pPr>
      <w:r>
        <w:rPr>
          <w:rStyle w:val="FootnoteReference"/>
        </w:rPr>
        <w:footnoteRef/>
      </w:r>
      <w:r>
        <w:t xml:space="preserve"> In alcuni casi, la strategia CLLD può attuare soltanto misure del PSR oppure misure elencate nel regolamento (UE) n. 1305/2013; in altri casi questi progetti contemplano misure proprie.</w:t>
      </w:r>
    </w:p>
  </w:footnote>
  <w:footnote w:id="35">
    <w:p w14:paraId="501B03D4" w14:textId="77777777" w:rsidR="00692535" w:rsidRPr="00CB34A3" w:rsidRDefault="00692535">
      <w:pPr>
        <w:pStyle w:val="FootnoteText"/>
      </w:pPr>
      <w:r>
        <w:rPr>
          <w:rStyle w:val="FootnoteReference"/>
        </w:rPr>
        <w:footnoteRef/>
      </w:r>
      <w:r>
        <w:t xml:space="preserve"> Cfr. documento di lavoro "</w:t>
      </w:r>
      <w:r>
        <w:rPr>
          <w:i/>
        </w:rPr>
        <w:t>Data items list for Pillar II operations database</w:t>
      </w:r>
      <w:r>
        <w:t>" [Elenco delle voci di dati per la banca dati delle operazioni del Pilastro II] (in inglese).</w:t>
      </w:r>
    </w:p>
  </w:footnote>
  <w:footnote w:id="36">
    <w:p w14:paraId="376EC60A" w14:textId="77777777" w:rsidR="00692535" w:rsidRPr="00281B2B" w:rsidRDefault="00692535" w:rsidP="00054B2D">
      <w:pPr>
        <w:pStyle w:val="FootnoteText"/>
        <w:rPr>
          <w:lang w:val="sk-SK"/>
        </w:rPr>
      </w:pPr>
      <w:r>
        <w:rPr>
          <w:rStyle w:val="FootnoteReference"/>
        </w:rPr>
        <w:footnoteRef/>
      </w:r>
      <w:r>
        <w:t xml:space="preserve"> Articolo 51 del regolamento (UE) n. 1305/2013.</w:t>
      </w:r>
    </w:p>
  </w:footnote>
  <w:footnote w:id="37">
    <w:p w14:paraId="2FB0484C" w14:textId="77777777" w:rsidR="00692535" w:rsidRPr="00281B2B" w:rsidRDefault="00692535" w:rsidP="00054B2D">
      <w:pPr>
        <w:pStyle w:val="FootnoteText"/>
        <w:rPr>
          <w:lang w:val="sk-SK"/>
        </w:rPr>
      </w:pPr>
      <w:r>
        <w:rPr>
          <w:rStyle w:val="FootnoteReference"/>
        </w:rPr>
        <w:footnoteRef/>
      </w:r>
      <w:r>
        <w:t xml:space="preserve"> Articoli 5 e 59 del regolamento (UE) n. 1303/2013.</w:t>
      </w:r>
    </w:p>
  </w:footnote>
  <w:footnote w:id="38">
    <w:p w14:paraId="18D25D36" w14:textId="77777777" w:rsidR="00692535" w:rsidRPr="00F7196F" w:rsidRDefault="00692535" w:rsidP="00054B2D">
      <w:pPr>
        <w:pStyle w:val="FootnoteText"/>
        <w:rPr>
          <w:lang w:val="sk-SK"/>
        </w:rPr>
      </w:pPr>
      <w:r>
        <w:rPr>
          <w:rStyle w:val="FootnoteReference"/>
        </w:rPr>
        <w:footnoteRef/>
      </w:r>
      <w:r>
        <w:t xml:space="preserve"> Articolo 54 del regolamento (UE) n. 1305/2013.</w:t>
      </w:r>
    </w:p>
  </w:footnote>
  <w:footnote w:id="39">
    <w:p w14:paraId="594E8CAC" w14:textId="77777777" w:rsidR="00692535" w:rsidRPr="00CB34A3" w:rsidRDefault="00692535" w:rsidP="00054B2D">
      <w:pPr>
        <w:pStyle w:val="FootnoteText"/>
        <w:rPr>
          <w:lang w:val="sk-SK"/>
        </w:rPr>
      </w:pPr>
      <w:r>
        <w:rPr>
          <w:rStyle w:val="FootnoteReference"/>
        </w:rPr>
        <w:footnoteRef/>
      </w:r>
      <w:r w:rsidRPr="00CB34A3">
        <w:rPr>
          <w:lang w:val="sk-SK"/>
        </w:rPr>
        <w:t xml:space="preserve"> "</w:t>
      </w:r>
      <w:r w:rsidRPr="00CB34A3">
        <w:rPr>
          <w:i/>
          <w:lang w:val="sk-SK"/>
        </w:rPr>
        <w:t>Getting the most of your RDP: guidelines for the ex ante evaluation of 2014-2020 RDPs</w:t>
      </w:r>
      <w:r w:rsidRPr="00CB34A3">
        <w:rPr>
          <w:lang w:val="sk-SK"/>
        </w:rPr>
        <w:t xml:space="preserve">" [Come mettere a frutto i PSR: linee guida per la valutazione </w:t>
      </w:r>
      <w:r w:rsidRPr="00CB34A3">
        <w:rPr>
          <w:i/>
          <w:lang w:val="sk-SK"/>
        </w:rPr>
        <w:t>ex ante</w:t>
      </w:r>
      <w:r w:rsidRPr="00CB34A3">
        <w:rPr>
          <w:lang w:val="sk-SK"/>
        </w:rPr>
        <w:t xml:space="preserve"> dei PSR 2014-2020] (in inglese), </w:t>
      </w:r>
      <w:hyperlink r:id="rId7">
        <w:r w:rsidRPr="00CB34A3">
          <w:rPr>
            <w:rStyle w:val="Hyperlink"/>
            <w:lang w:val="sk-SK"/>
          </w:rPr>
          <w:t>http://enrd.ec.europa.eu/enrd-static/evaluation/library/evaluation-helpdesk-publications/en/evaluation-helpdesk-publications_en.html</w:t>
        </w:r>
      </w:hyperlink>
      <w:r w:rsidRPr="00CB34A3">
        <w:rPr>
          <w:lang w:val="sk-SK"/>
        </w:rPr>
        <w:t>.</w:t>
      </w:r>
      <w:r w:rsidRPr="00CB34A3">
        <w:rPr>
          <w:rStyle w:val="Hyperlink"/>
          <w:lang w:val="sk-SK"/>
        </w:rPr>
        <w:t xml:space="preserve"> </w:t>
      </w:r>
    </w:p>
  </w:footnote>
  <w:footnote w:id="40">
    <w:p w14:paraId="35779B32" w14:textId="77777777" w:rsidR="00692535" w:rsidRPr="00CB34A3" w:rsidRDefault="00692535" w:rsidP="00054B2D">
      <w:pPr>
        <w:pStyle w:val="FootnoteText"/>
        <w:rPr>
          <w:rStyle w:val="Hyperlink"/>
          <w:lang w:val="sk-SK"/>
        </w:rPr>
      </w:pPr>
      <w:r>
        <w:rPr>
          <w:rStyle w:val="FootnoteReference"/>
        </w:rPr>
        <w:footnoteRef/>
      </w:r>
      <w:r w:rsidRPr="00CB34A3">
        <w:rPr>
          <w:lang w:val="sk-SK"/>
        </w:rPr>
        <w:t xml:space="preserve"> </w:t>
      </w:r>
      <w:hyperlink r:id="rId8">
        <w:hyperlink r:id="rId9" w:history="1">
          <w:r w:rsidRPr="0042254D">
            <w:rPr>
              <w:rStyle w:val="Hyperlink"/>
            </w:rPr>
            <w:t>http://enrd.ec.europa.eu/evaluation/publications/e-library_en</w:t>
          </w:r>
        </w:hyperlink>
        <w:r w:rsidRPr="00CB34A3">
          <w:rPr>
            <w:rStyle w:val="Hyperlink"/>
            <w:lang w:val="sk-SK"/>
          </w:rPr>
          <w:t>.</w:t>
        </w:r>
      </w:hyperlink>
    </w:p>
  </w:footnote>
  <w:footnote w:id="41">
    <w:p w14:paraId="4889988B" w14:textId="77777777" w:rsidR="00692535" w:rsidRPr="00CB34A3" w:rsidRDefault="00692535" w:rsidP="00054B2D">
      <w:pPr>
        <w:pStyle w:val="FootnoteText"/>
        <w:rPr>
          <w:color w:val="546393" w:themeColor="accent3"/>
          <w:lang w:val="sk-SK"/>
        </w:rPr>
      </w:pPr>
      <w:r>
        <w:rPr>
          <w:rStyle w:val="FootnoteReference"/>
        </w:rPr>
        <w:footnoteRef/>
      </w:r>
      <w:r w:rsidRPr="00CB34A3">
        <w:rPr>
          <w:lang w:val="sk-SK"/>
        </w:rPr>
        <w:t xml:space="preserve"> </w:t>
      </w:r>
      <w:hyperlink r:id="rId10">
        <w:hyperlink r:id="rId11" w:history="1">
          <w:r w:rsidRPr="0042254D">
            <w:rPr>
              <w:rStyle w:val="Hyperlink"/>
            </w:rPr>
            <w:t>http://ec.europa.eu/agriculture/glossary/index_en.htm</w:t>
          </w:r>
        </w:hyperlink>
        <w:r w:rsidRPr="00CB34A3">
          <w:rPr>
            <w:rStyle w:val="Hyperlink"/>
            <w:lang w:val="sk-SK"/>
          </w:rPr>
          <w:t>.</w:t>
        </w:r>
      </w:hyperlink>
    </w:p>
  </w:footnote>
  <w:footnote w:id="42">
    <w:p w14:paraId="61ADDBFE" w14:textId="77777777" w:rsidR="00692535" w:rsidRPr="00CB34A3" w:rsidRDefault="00692535" w:rsidP="00054B2D">
      <w:pPr>
        <w:pStyle w:val="FootnoteText"/>
      </w:pPr>
      <w:r>
        <w:rPr>
          <w:rStyle w:val="FootnoteReference"/>
        </w:rPr>
        <w:footnoteRef/>
      </w:r>
      <w:r>
        <w:t xml:space="preserve"> Allegato 1, QVC n. 1 al documento di lavoro: </w:t>
      </w:r>
      <w:r>
        <w:rPr>
          <w:i/>
        </w:rPr>
        <w:t>Common Evaluation Questions for rural development programmes 2014-2020</w:t>
      </w:r>
      <w:r>
        <w:t xml:space="preserve"> [Questionario valutativo comune per programmi di sviluppo rurale 2014-2020] (in inglese).</w:t>
      </w:r>
    </w:p>
  </w:footnote>
  <w:footnote w:id="43">
    <w:p w14:paraId="65DD94C2" w14:textId="77777777" w:rsidR="00692535" w:rsidRPr="001D3BBB" w:rsidRDefault="00692535" w:rsidP="00054B2D">
      <w:pPr>
        <w:pStyle w:val="FootnoteText"/>
        <w:rPr>
          <w:lang w:val="sk-SK"/>
        </w:rPr>
      </w:pPr>
      <w:r>
        <w:rPr>
          <w:rStyle w:val="FootnoteReference"/>
        </w:rPr>
        <w:footnoteRef/>
      </w:r>
      <w:r>
        <w:t xml:space="preserve"> Allegato 1 al documento di lavoro: </w:t>
      </w:r>
      <w:r>
        <w:rPr>
          <w:i/>
        </w:rPr>
        <w:t>Common Evaluation Questions for rural development programmes 2014-2020</w:t>
      </w:r>
      <w:r>
        <w:t xml:space="preserve"> [Questionario valutativo comune per programmi di sviluppo rurale 2014-2020] (in inglese). </w:t>
      </w:r>
    </w:p>
  </w:footnote>
  <w:footnote w:id="44">
    <w:p w14:paraId="00A0CF7D" w14:textId="77777777" w:rsidR="00692535" w:rsidRPr="00CB34A3" w:rsidRDefault="00692535" w:rsidP="00054B2D">
      <w:pPr>
        <w:pStyle w:val="FootnoteText"/>
      </w:pPr>
      <w:r>
        <w:rPr>
          <w:rStyle w:val="FootnoteReference"/>
        </w:rPr>
        <w:footnoteRef/>
      </w:r>
      <w:r>
        <w:t xml:space="preserve"> Articolo 14, paragrafo 1, lettera b) e allegato IV del regolamento di esecuzione (UE) n. 808/2014 della Commissione.</w:t>
      </w:r>
    </w:p>
  </w:footnote>
  <w:footnote w:id="45">
    <w:p w14:paraId="3444AF4D" w14:textId="77777777" w:rsidR="00692535" w:rsidRPr="00CB34A3" w:rsidRDefault="00692535" w:rsidP="00054B2D">
      <w:pPr>
        <w:pStyle w:val="FootnoteText"/>
      </w:pPr>
      <w:r>
        <w:rPr>
          <w:rStyle w:val="FootnoteReference"/>
        </w:rPr>
        <w:footnoteRef/>
      </w:r>
      <w:r>
        <w:t xml:space="preserve"> Documenti di lavoro: </w:t>
      </w:r>
      <w:r>
        <w:rPr>
          <w:i/>
        </w:rPr>
        <w:t>Impact indicators</w:t>
      </w:r>
      <w:r>
        <w:t xml:space="preserve"> [Indicatori di impatto], </w:t>
      </w:r>
      <w:r>
        <w:rPr>
          <w:i/>
        </w:rPr>
        <w:t>Common context indicators fiches</w:t>
      </w:r>
      <w:r>
        <w:t xml:space="preserve"> [Schede indicatori comuni di contesto], </w:t>
      </w:r>
      <w:r>
        <w:rPr>
          <w:i/>
        </w:rPr>
        <w:t>Target indicators for Pillar II</w:t>
      </w:r>
      <w:r>
        <w:t xml:space="preserve"> [indicatori di obiettivo per il pilastro II], </w:t>
      </w:r>
      <w:r>
        <w:rPr>
          <w:i/>
        </w:rPr>
        <w:t>Complementary result indicators for Pillar II</w:t>
      </w:r>
      <w:r>
        <w:t xml:space="preserve"> [Indicatori di risultato complementari per il pilastro II]. </w:t>
      </w:r>
    </w:p>
  </w:footnote>
  <w:footnote w:id="46">
    <w:p w14:paraId="4A05DBFD" w14:textId="77777777" w:rsidR="00692535" w:rsidRPr="007A1E2A" w:rsidRDefault="00692535" w:rsidP="00054B2D">
      <w:pPr>
        <w:pStyle w:val="FootnoteText"/>
        <w:rPr>
          <w:lang w:val="sk-SK"/>
        </w:rPr>
      </w:pPr>
      <w:r>
        <w:rPr>
          <w:rStyle w:val="FootnoteReference"/>
        </w:rPr>
        <w:footnoteRef/>
      </w:r>
      <w:r>
        <w:t xml:space="preserve"> Allegato IV del regolamento di esecuzione (UE) n. 808/2014 della Commissione.</w:t>
      </w:r>
    </w:p>
  </w:footnote>
  <w:footnote w:id="47">
    <w:p w14:paraId="5DD55508" w14:textId="77777777" w:rsidR="00692535" w:rsidRPr="00BB29B3" w:rsidRDefault="00692535" w:rsidP="00054B2D">
      <w:pPr>
        <w:pStyle w:val="FootnoteText"/>
        <w:rPr>
          <w:szCs w:val="16"/>
          <w:lang w:val="sk-SK"/>
        </w:rPr>
      </w:pPr>
      <w:r>
        <w:rPr>
          <w:rStyle w:val="FootnoteReference"/>
        </w:rPr>
        <w:footnoteRef/>
      </w:r>
      <w:r>
        <w:t xml:space="preserve"> Allegato IV del regolamento di esecuzione (UE) n. 808/2014 della Commissione, e documento di lavoro "</w:t>
      </w:r>
      <w:r>
        <w:rPr>
          <w:i/>
        </w:rPr>
        <w:t>Data items list for Pillar II operations database</w:t>
      </w:r>
      <w:r>
        <w:t>" [Elenco delle voci di dati per la banca dati delle operazioni del Pilastro II] (in inglese).</w:t>
      </w:r>
    </w:p>
  </w:footnote>
  <w:footnote w:id="48">
    <w:p w14:paraId="5C2C0D70" w14:textId="77777777" w:rsidR="00692535" w:rsidRPr="00CB34A3" w:rsidRDefault="00692535" w:rsidP="009B2D49">
      <w:pPr>
        <w:pStyle w:val="FootnoteText"/>
      </w:pPr>
      <w:r>
        <w:rPr>
          <w:rStyle w:val="FootnoteReference"/>
        </w:rPr>
        <w:footnoteRef/>
      </w:r>
      <w:r>
        <w:t xml:space="preserve"> Questo è il caso in cui gli elementi comuni non sono in grado di rispondere alla domanda di valutazione pertinente, né possono essere utilizzati successivamente nella valutazione degli impatti. </w:t>
      </w:r>
    </w:p>
  </w:footnote>
  <w:footnote w:id="49">
    <w:p w14:paraId="210C735B" w14:textId="77777777" w:rsidR="00692535" w:rsidRPr="00786391" w:rsidRDefault="00692535" w:rsidP="009B2D49">
      <w:pPr>
        <w:pStyle w:val="FootnoteText"/>
        <w:rPr>
          <w:lang w:val="sk-SK"/>
        </w:rPr>
      </w:pPr>
      <w:r>
        <w:rPr>
          <w:rStyle w:val="FootnoteReference"/>
        </w:rPr>
        <w:footnoteRef/>
      </w:r>
      <w:r w:rsidRPr="00CB34A3">
        <w:rPr>
          <w:lang w:val="en-GB"/>
        </w:rPr>
        <w:t xml:space="preserve"> Si possono trovare informazioni in merito anche su: </w:t>
      </w:r>
      <w:hyperlink r:id="rId12">
        <w:r w:rsidRPr="00CB34A3">
          <w:rPr>
            <w:rStyle w:val="Hyperlink"/>
            <w:lang w:val="en-GB"/>
          </w:rPr>
          <w:t>enrd.ec.europa.eu/enrd-static/evaluation/good-practices-workshops/national-rural-networks/en/national-rural-networks_en.html.</w:t>
        </w:r>
      </w:hyperlink>
    </w:p>
  </w:footnote>
  <w:footnote w:id="50">
    <w:p w14:paraId="75B23296" w14:textId="77777777" w:rsidR="00692535" w:rsidRPr="00CB34A3" w:rsidRDefault="00692535">
      <w:pPr>
        <w:pStyle w:val="FootnoteText"/>
      </w:pPr>
      <w:r>
        <w:rPr>
          <w:rStyle w:val="FootnoteReference"/>
        </w:rPr>
        <w:footnoteRef/>
      </w:r>
      <w:r>
        <w:t xml:space="preserve"> Domande relative alla valutazione degli aspetti specifici numero 4 (FA 2A), 11 (FA 5A), 12 (FA 5B), 13 (FA 5C) e 14 (FA 5D). Nel caso della domanda del QVC 14, esistono due indicatori di risultato complementari per rispondere alla stessa.</w:t>
      </w:r>
    </w:p>
  </w:footnote>
  <w:footnote w:id="51">
    <w:p w14:paraId="504B9E1A" w14:textId="77777777" w:rsidR="00692535" w:rsidRPr="001C4B45" w:rsidRDefault="00692535">
      <w:pPr>
        <w:pStyle w:val="FootnoteText"/>
        <w:rPr>
          <w:lang w:val="sk-SK"/>
        </w:rPr>
      </w:pPr>
      <w:r>
        <w:rPr>
          <w:rStyle w:val="FootnoteReference"/>
        </w:rPr>
        <w:footnoteRef/>
      </w:r>
      <w:r>
        <w:t xml:space="preserve"> Ad esempio, domande relative alla valutazione degli aspetti specifici numero 6 (FA 3A), 8 (FA 4A), 9 (FA 4B), ecc.</w:t>
      </w:r>
    </w:p>
  </w:footnote>
  <w:footnote w:id="52">
    <w:p w14:paraId="7FFD1DCA" w14:textId="77777777" w:rsidR="00692535" w:rsidRPr="00CB34A3" w:rsidRDefault="00692535" w:rsidP="0080450C">
      <w:pPr>
        <w:pStyle w:val="FootnoteText"/>
      </w:pPr>
      <w:r>
        <w:rPr>
          <w:rStyle w:val="FootnoteReference"/>
        </w:rPr>
        <w:footnoteRef/>
      </w:r>
      <w:r>
        <w:t xml:space="preserve"> Articolo 8, paragrafo 1, lettera b) del regolamento (UE) n. 1305/2013, e allegato I, parte 1, punto 4) del regolamento di esecuzione (UE) n. 808/2014 della Commissione.</w:t>
      </w:r>
    </w:p>
  </w:footnote>
  <w:footnote w:id="53">
    <w:p w14:paraId="2C6CC020" w14:textId="77777777" w:rsidR="00692535" w:rsidRPr="00CB34A3" w:rsidRDefault="00692535">
      <w:pPr>
        <w:pStyle w:val="FootnoteText"/>
      </w:pPr>
      <w:r>
        <w:rPr>
          <w:rStyle w:val="FootnoteReference"/>
        </w:rPr>
        <w:footnoteRef/>
      </w:r>
      <w:r>
        <w:t xml:space="preserve"> Ad esempio, alcuni PSR presentano un aspetto specifico 2C zona per il settore forestale o l'industria alimentare. </w:t>
      </w:r>
    </w:p>
  </w:footnote>
  <w:footnote w:id="54">
    <w:p w14:paraId="63135B46" w14:textId="77777777" w:rsidR="00692535" w:rsidRPr="00544EC2" w:rsidRDefault="00692535" w:rsidP="009B2D49">
      <w:pPr>
        <w:pStyle w:val="FootnoteText"/>
        <w:rPr>
          <w:lang w:val="sk-SK"/>
        </w:rPr>
      </w:pPr>
      <w:r>
        <w:rPr>
          <w:rStyle w:val="FootnoteReference"/>
        </w:rPr>
        <w:footnoteRef/>
      </w:r>
      <w:r>
        <w:t xml:space="preserve"> Manuale tecnico sul quadro comune di monitoraggio e valutazione della politica agricola comune 2014-2020.</w:t>
      </w:r>
    </w:p>
  </w:footnote>
  <w:footnote w:id="55">
    <w:p w14:paraId="78A1697D" w14:textId="77777777" w:rsidR="00692535" w:rsidRPr="00027A12" w:rsidRDefault="00692535" w:rsidP="009B2D49">
      <w:pPr>
        <w:pStyle w:val="FootnoteText"/>
        <w:rPr>
          <w:lang w:val="sk-SK"/>
        </w:rPr>
      </w:pPr>
      <w:r>
        <w:rPr>
          <w:rStyle w:val="FootnoteReference"/>
        </w:rPr>
        <w:footnoteRef/>
      </w:r>
      <w:r>
        <w:t xml:space="preserve"> </w:t>
      </w:r>
      <w:r>
        <w:rPr>
          <w:i/>
        </w:rPr>
        <w:t>Capturing the success of your RDP: Guidelines for the ex post evaluation of 2007-2013 RDPs</w:t>
      </w:r>
      <w:r>
        <w:t xml:space="preserve"> [Rilevamento del successo del proprio PSR: linee guida per la valutazione </w:t>
      </w:r>
      <w:r>
        <w:rPr>
          <w:i/>
        </w:rPr>
        <w:t>ex post</w:t>
      </w:r>
      <w:r>
        <w:t xml:space="preserve"> dei PSR per il periodo 2007-2013] (in inglese). </w:t>
      </w:r>
    </w:p>
  </w:footnote>
  <w:footnote w:id="56">
    <w:p w14:paraId="6358D12D" w14:textId="77777777" w:rsidR="00692535" w:rsidRPr="003726BE" w:rsidRDefault="00692535" w:rsidP="00B8727E">
      <w:pPr>
        <w:pStyle w:val="FootnoteText"/>
        <w:rPr>
          <w:lang w:val="sk-SK"/>
        </w:rPr>
      </w:pPr>
      <w:r w:rsidRPr="003726BE">
        <w:rPr>
          <w:rStyle w:val="FootnoteReference"/>
        </w:rPr>
        <w:footnoteRef/>
      </w:r>
      <w:r w:rsidRPr="00CB34A3">
        <w:rPr>
          <w:lang w:val="en-GB"/>
        </w:rPr>
        <w:t xml:space="preserve"> Annex VII, point 7 to Commission Implementing Regulation (EU) No 808/2014</w:t>
      </w:r>
    </w:p>
  </w:footnote>
  <w:footnote w:id="57">
    <w:p w14:paraId="615D936C" w14:textId="77777777" w:rsidR="00692535" w:rsidRPr="003726BE" w:rsidRDefault="00692535" w:rsidP="00187580">
      <w:pPr>
        <w:tabs>
          <w:tab w:val="left" w:pos="170"/>
        </w:tabs>
        <w:spacing w:before="0" w:after="0" w:line="180" w:lineRule="exact"/>
        <w:ind w:left="170" w:hanging="170"/>
        <w:rPr>
          <w:rStyle w:val="FootnoteTextChar2"/>
          <w:lang w:val="en-GB"/>
        </w:rPr>
      </w:pPr>
      <w:r w:rsidRPr="003726BE">
        <w:rPr>
          <w:rStyle w:val="FootnoteReference"/>
        </w:rPr>
        <w:footnoteRef/>
      </w:r>
      <w:r w:rsidRPr="00CB34A3">
        <w:rPr>
          <w:lang w:val="en-GB"/>
        </w:rPr>
        <w:t xml:space="preserve"> </w:t>
      </w:r>
      <w:r w:rsidRPr="00CB34A3">
        <w:rPr>
          <w:rStyle w:val="FootnoteTextChar2"/>
          <w:lang w:val="en-GB"/>
        </w:rPr>
        <w:t xml:space="preserve">Assessment of impacts of a given RDP at territorial or macro level (which should be reported in AIR submitted in 2019 and ex-post evaluation) will require in addition to the above effects also consideration of other indirect programme effects (e.g. displacement effects, multiplier effects and other general equilibrium effects) occurring at the level of regions affected by a given RDP </w:t>
      </w:r>
    </w:p>
  </w:footnote>
  <w:footnote w:id="58">
    <w:p w14:paraId="5DED7B89" w14:textId="77777777" w:rsidR="00692535" w:rsidRPr="003726BE" w:rsidRDefault="00692535" w:rsidP="00DC5AD8">
      <w:pPr>
        <w:pStyle w:val="FootnoteText"/>
        <w:rPr>
          <w:lang w:val="en-GB"/>
        </w:rPr>
      </w:pPr>
      <w:r w:rsidRPr="003726BE">
        <w:rPr>
          <w:rStyle w:val="FootnoteReference"/>
        </w:rPr>
        <w:footnoteRef/>
      </w:r>
      <w:r w:rsidRPr="00CB34A3">
        <w:rPr>
          <w:lang w:val="en-GB"/>
        </w:rPr>
        <w:t xml:space="preserve"> See EUROPEAN COMMISSION - Directorate-General for Agriculture and Rural Development – Unit E.4 (2014): Investment Support under Rural Development Policy. Final Report. Brussels. ISBN 978-92-79-35314-7</w:t>
      </w:r>
    </w:p>
  </w:footnote>
  <w:footnote w:id="59">
    <w:p w14:paraId="7AA926C9" w14:textId="77777777" w:rsidR="00692535" w:rsidRPr="003726BE" w:rsidRDefault="00692535">
      <w:pPr>
        <w:pStyle w:val="FootnoteText"/>
        <w:rPr>
          <w:lang w:val="sk-SK"/>
        </w:rPr>
      </w:pPr>
      <w:r w:rsidRPr="003726BE">
        <w:rPr>
          <w:rStyle w:val="FootnoteReference"/>
        </w:rPr>
        <w:footnoteRef/>
      </w:r>
      <w:r w:rsidRPr="00CB34A3">
        <w:rPr>
          <w:lang w:val="en-GB"/>
        </w:rPr>
        <w:t xml:space="preserve"> For more information see Guidelines for ex post evaluation of 2007-2013 RDPs, </w:t>
      </w:r>
      <w:hyperlink r:id="rId13">
        <w:r w:rsidRPr="00CB34A3">
          <w:rPr>
            <w:rStyle w:val="Hyperlink"/>
            <w:lang w:val="en-GB"/>
          </w:rPr>
          <w:t>http://enrd.ec.europa.eu/enrd-static/evaluation/library/evaluation-helpdesk-publications/en/evaluation-helpdesk-publications_en.html</w:t>
        </w:r>
      </w:hyperlink>
    </w:p>
  </w:footnote>
  <w:footnote w:id="60">
    <w:p w14:paraId="4641DC10" w14:textId="77777777" w:rsidR="00692535" w:rsidRPr="003726BE" w:rsidRDefault="00692535">
      <w:pPr>
        <w:pStyle w:val="FootnoteText"/>
        <w:rPr>
          <w:lang w:val="sk-SK"/>
        </w:rPr>
      </w:pPr>
      <w:r w:rsidRPr="003726BE">
        <w:rPr>
          <w:rStyle w:val="FootnoteReference"/>
        </w:rPr>
        <w:footnoteRef/>
      </w:r>
      <w:r w:rsidRPr="00CB34A3">
        <w:rPr>
          <w:lang w:val="sk-SK"/>
        </w:rPr>
        <w:t xml:space="preserve"> Guidelines for the ex post evaluation of 2007-2013 RDPs, chapter 4, </w:t>
      </w:r>
      <w:r w:rsidRPr="00CB34A3">
        <w:rPr>
          <w:rStyle w:val="Hyperlink"/>
          <w:lang w:val="sk-SK"/>
        </w:rPr>
        <w:t>e</w:t>
      </w:r>
      <w:hyperlink r:id="rId14">
        <w:r w:rsidRPr="00CB34A3">
          <w:rPr>
            <w:rStyle w:val="Hyperlink"/>
            <w:lang w:val="sk-SK"/>
          </w:rPr>
          <w:t>nrd.ec.europa.eu/enrd-static/evaluation/library/evaluation-helpdesk-publications/en/evaluation-helpdesk-publications_en.html</w:t>
        </w:r>
      </w:hyperlink>
    </w:p>
  </w:footnote>
  <w:footnote w:id="61">
    <w:p w14:paraId="67A43324" w14:textId="77777777" w:rsidR="00692535" w:rsidRPr="003726BE" w:rsidRDefault="00692535" w:rsidP="00567F4C">
      <w:pPr>
        <w:pStyle w:val="FootnoteText"/>
        <w:rPr>
          <w:lang w:val="en-GB"/>
        </w:rPr>
      </w:pPr>
      <w:r w:rsidRPr="003726BE">
        <w:rPr>
          <w:rStyle w:val="FootnoteReference"/>
        </w:rPr>
        <w:footnoteRef/>
      </w:r>
      <w:r w:rsidRPr="00CB34A3">
        <w:rPr>
          <w:lang w:val="en-GB"/>
        </w:rPr>
        <w:t xml:space="preserve"> See: Investment Support under RD policy, final report 2014.</w:t>
      </w:r>
    </w:p>
  </w:footnote>
  <w:footnote w:id="62">
    <w:p w14:paraId="214AEA69" w14:textId="77777777" w:rsidR="00692535" w:rsidRPr="003726BE" w:rsidRDefault="00692535" w:rsidP="00567F4C">
      <w:pPr>
        <w:pStyle w:val="FootnoteText"/>
        <w:rPr>
          <w:lang w:val="sk-SK"/>
        </w:rPr>
      </w:pPr>
      <w:r w:rsidRPr="003726BE">
        <w:rPr>
          <w:rStyle w:val="FootnoteReference"/>
        </w:rPr>
        <w:footnoteRef/>
      </w:r>
      <w:r w:rsidRPr="00CB34A3">
        <w:rPr>
          <w:lang w:val="en-GB"/>
        </w:rPr>
        <w:t xml:space="preserve"> In scientific literature not all types of approaches are equally well accepted and the robustness of results may be questioned if results are based on a small sample size or a model specification that has not undergone peer reviews or if results were obtained in a non-transparent manner.</w:t>
      </w:r>
    </w:p>
  </w:footnote>
  <w:footnote w:id="63">
    <w:p w14:paraId="520F7B0F" w14:textId="77777777" w:rsidR="00692535" w:rsidRPr="003726BE" w:rsidRDefault="00692535" w:rsidP="00567F4C">
      <w:pPr>
        <w:pStyle w:val="FootnoteText"/>
        <w:rPr>
          <w:lang w:val="sk-SK"/>
        </w:rPr>
      </w:pPr>
      <w:r w:rsidRPr="003726BE">
        <w:rPr>
          <w:rStyle w:val="FootnoteReference"/>
        </w:rPr>
        <w:footnoteRef/>
      </w:r>
      <w:r w:rsidRPr="00CB34A3">
        <w:rPr>
          <w:lang w:val="sk-SK"/>
        </w:rPr>
        <w:t xml:space="preserve"> </w:t>
      </w:r>
      <w:r w:rsidRPr="00CB34A3">
        <w:rPr>
          <w:rStyle w:val="Hyperlink"/>
          <w:lang w:val="sk-SK"/>
        </w:rPr>
        <w:t>http://betterevaluation.org/evaluation-options/propensity_scores</w:t>
      </w:r>
      <w:r w:rsidRPr="00CB34A3">
        <w:rPr>
          <w:color w:val="546393" w:themeColor="accent3"/>
          <w:lang w:val="sk-SK"/>
        </w:rPr>
        <w:t xml:space="preserve"> </w:t>
      </w:r>
    </w:p>
  </w:footnote>
  <w:footnote w:id="64">
    <w:p w14:paraId="36F0E224" w14:textId="77777777" w:rsidR="00692535" w:rsidRPr="003571F4" w:rsidRDefault="00692535" w:rsidP="00567F4C">
      <w:pPr>
        <w:pStyle w:val="FootnoteText"/>
        <w:rPr>
          <w:vanish/>
          <w:lang w:val="en-GB"/>
        </w:rPr>
      </w:pPr>
      <w:r w:rsidRPr="003726BE">
        <w:rPr>
          <w:rStyle w:val="FootnoteReference"/>
        </w:rPr>
        <w:footnoteRef/>
      </w:r>
      <w:r w:rsidRPr="00CB34A3">
        <w:rPr>
          <w:lang w:val="en-GB"/>
        </w:rPr>
        <w:t xml:space="preserve"> For more information see Guidelines for ex post evaluation of 2007-2013 RDPs, </w:t>
      </w:r>
      <w:hyperlink r:id="rId15">
        <w:r w:rsidRPr="00CB34A3">
          <w:rPr>
            <w:rStyle w:val="Hyperlink"/>
            <w:lang w:val="en-GB"/>
          </w:rPr>
          <w:t>http://enrd.ec.europa.eu/enrd-static/evaluation/library/evaluation-helpdesk-publications/en/evaluation-helpdesk-publications_en.html</w:t>
        </w:r>
      </w:hyperlink>
      <w:r w:rsidRPr="00CB34A3">
        <w:rPr>
          <w:lang w:val="en-GB"/>
        </w:rPr>
        <w:t xml:space="preserve"> .</w:t>
      </w:r>
    </w:p>
  </w:footnote>
  <w:footnote w:id="65">
    <w:p w14:paraId="522043F0" w14:textId="77777777" w:rsidR="00692535" w:rsidRPr="003726BE" w:rsidRDefault="00692535" w:rsidP="00567F4C">
      <w:pPr>
        <w:pStyle w:val="FootnoteText"/>
        <w:rPr>
          <w:lang w:val="sk-SK"/>
        </w:rPr>
      </w:pPr>
      <w:r w:rsidRPr="003726BE">
        <w:rPr>
          <w:rStyle w:val="FootnoteReference"/>
        </w:rPr>
        <w:footnoteRef/>
      </w:r>
      <w:r w:rsidRPr="00CB34A3">
        <w:rPr>
          <w:lang w:val="en-GB"/>
        </w:rPr>
        <w:t xml:space="preserve"> Annex VII, point 7 to Commission Implementing Regulation (EU) No 808/2014</w:t>
      </w:r>
    </w:p>
  </w:footnote>
  <w:footnote w:id="66">
    <w:p w14:paraId="3ADB2541" w14:textId="77777777" w:rsidR="00692535" w:rsidRPr="003726BE" w:rsidRDefault="00692535" w:rsidP="005B09B8">
      <w:pPr>
        <w:pStyle w:val="FootnoteText"/>
        <w:rPr>
          <w:szCs w:val="16"/>
          <w:lang w:val="en-GB"/>
        </w:rPr>
      </w:pPr>
      <w:r w:rsidRPr="003726BE">
        <w:rPr>
          <w:rStyle w:val="FootnoteReference"/>
        </w:rPr>
        <w:footnoteRef/>
      </w:r>
      <w:r w:rsidRPr="00CB34A3">
        <w:rPr>
          <w:lang w:val="en-GB"/>
        </w:rPr>
        <w:t xml:space="preserve"> Article 54(2) of Regulation (EU) No 1303/2013 and Article 76(2) of Regulation (EU) No 1305/2013</w:t>
      </w:r>
    </w:p>
  </w:footnote>
  <w:footnote w:id="67">
    <w:p w14:paraId="04310B01" w14:textId="77777777" w:rsidR="00692535" w:rsidRPr="003726BE" w:rsidRDefault="00692535" w:rsidP="005B09B8">
      <w:pPr>
        <w:pStyle w:val="FootnoteText"/>
        <w:rPr>
          <w:color w:val="546393" w:themeColor="accent3"/>
          <w:lang w:val="en-GB"/>
        </w:rPr>
      </w:pPr>
      <w:r w:rsidRPr="003726BE">
        <w:rPr>
          <w:rStyle w:val="FootnoteReference"/>
        </w:rPr>
        <w:footnoteRef/>
      </w:r>
      <w:r w:rsidRPr="00CB34A3">
        <w:rPr>
          <w:lang w:val="en-GB"/>
        </w:rPr>
        <w:t xml:space="preserve"> Capturing the success of your RDP: Guidelines for the ex post evaluation of 2007-2013 RDPs,</w:t>
      </w:r>
      <w:hyperlink r:id="rId16">
        <w:r w:rsidRPr="00CB34A3">
          <w:rPr>
            <w:rStyle w:val="Hyperlink"/>
            <w:lang w:val="en-GB"/>
          </w:rPr>
          <w:t>http://enrd.ec.europa.eu/enrd-static/evaluation/library/evaluation-helpdesk-publications/en/evaluation-helpdesk-publications_en.html</w:t>
        </w:r>
      </w:hyperlink>
    </w:p>
  </w:footnote>
  <w:footnote w:id="68">
    <w:p w14:paraId="687FD76A" w14:textId="77777777" w:rsidR="00692535" w:rsidRPr="003726BE" w:rsidRDefault="00692535" w:rsidP="00CB507F">
      <w:pPr>
        <w:pStyle w:val="FootnoteText"/>
        <w:rPr>
          <w:lang w:val="sk-SK"/>
        </w:rPr>
      </w:pPr>
      <w:r w:rsidRPr="003726BE">
        <w:rPr>
          <w:rStyle w:val="FootnoteReference"/>
        </w:rPr>
        <w:footnoteRef/>
      </w:r>
      <w:r w:rsidRPr="00CB34A3">
        <w:rPr>
          <w:lang w:val="en-GB"/>
        </w:rPr>
        <w:t xml:space="preserve"> E.g. Farm Bird Index (FBI), Farm Accountancy Data Network (FADN).</w:t>
      </w:r>
    </w:p>
  </w:footnote>
  <w:footnote w:id="69">
    <w:p w14:paraId="0B77E43D" w14:textId="77777777" w:rsidR="00692535" w:rsidRPr="003726BE" w:rsidRDefault="00692535" w:rsidP="00596660">
      <w:pPr>
        <w:pStyle w:val="FootnoteText"/>
        <w:rPr>
          <w:lang w:val="en-GB"/>
        </w:rPr>
      </w:pPr>
      <w:r w:rsidRPr="003726BE">
        <w:rPr>
          <w:rStyle w:val="FootnoteReference"/>
        </w:rPr>
        <w:footnoteRef/>
      </w:r>
      <w:r w:rsidRPr="00CB34A3">
        <w:rPr>
          <w:lang w:val="en-GB"/>
        </w:rPr>
        <w:t xml:space="preserve"> Annex IV to Commission Implementing Regulation No 808/2014; Working document. Context indicators fiches, Context indicator table and proposed list of common context indicators.</w:t>
      </w:r>
    </w:p>
  </w:footnote>
  <w:footnote w:id="70">
    <w:p w14:paraId="117BACC3" w14:textId="77777777" w:rsidR="00692535" w:rsidRPr="003726BE" w:rsidRDefault="00692535" w:rsidP="00596660">
      <w:pPr>
        <w:pStyle w:val="FootnoteText"/>
        <w:rPr>
          <w:lang w:val="en-GB"/>
        </w:rPr>
      </w:pPr>
      <w:r w:rsidRPr="003726BE">
        <w:rPr>
          <w:rStyle w:val="FootnoteReference"/>
        </w:rPr>
        <w:footnoteRef/>
      </w:r>
      <w:r w:rsidRPr="00CB34A3">
        <w:rPr>
          <w:lang w:val="en-GB"/>
        </w:rPr>
        <w:t xml:space="preserve"> Guidelines for the ex-post evaluation of 2007-2013 RDPs, Part II, page 132.</w:t>
      </w:r>
    </w:p>
  </w:footnote>
  <w:footnote w:id="71">
    <w:p w14:paraId="509F7BF2" w14:textId="77777777" w:rsidR="00692535" w:rsidRPr="003726BE" w:rsidRDefault="00692535">
      <w:pPr>
        <w:pStyle w:val="FootnoteText"/>
        <w:rPr>
          <w:lang w:val="en-US"/>
        </w:rPr>
      </w:pPr>
      <w:r w:rsidRPr="003726BE">
        <w:rPr>
          <w:rStyle w:val="FootnoteReference"/>
        </w:rPr>
        <w:footnoteRef/>
      </w:r>
      <w:r w:rsidRPr="00CB34A3">
        <w:rPr>
          <w:lang w:val="en-GB"/>
        </w:rPr>
        <w:t xml:space="preserve"> WD: Complementary result indicator fiches for Pillar II, EC, June 2014</w:t>
      </w:r>
    </w:p>
  </w:footnote>
  <w:footnote w:id="72">
    <w:p w14:paraId="1162DB38" w14:textId="77777777" w:rsidR="00692535" w:rsidRPr="003726BE" w:rsidRDefault="00692535" w:rsidP="004C2F08">
      <w:pPr>
        <w:pStyle w:val="FootnoteText"/>
        <w:jc w:val="both"/>
        <w:rPr>
          <w:lang w:val="en-GB"/>
        </w:rPr>
      </w:pPr>
      <w:r w:rsidRPr="003726BE">
        <w:rPr>
          <w:rStyle w:val="FootnoteReference"/>
        </w:rPr>
        <w:footnoteRef/>
      </w:r>
      <w:r w:rsidRPr="00CB34A3">
        <w:rPr>
          <w:lang w:val="en-GB"/>
        </w:rPr>
        <w:t xml:space="preserve"> The question is if the beneficiaries with completed projects are representative of the total.</w:t>
      </w:r>
    </w:p>
  </w:footnote>
  <w:footnote w:id="73">
    <w:p w14:paraId="1880A0D4" w14:textId="77777777" w:rsidR="00692535" w:rsidRPr="00CB34A3" w:rsidRDefault="00692535" w:rsidP="00662126">
      <w:pPr>
        <w:spacing w:before="0" w:after="0" w:line="240" w:lineRule="auto"/>
        <w:jc w:val="left"/>
        <w:rPr>
          <w:lang w:val="en-GB"/>
        </w:rPr>
      </w:pPr>
      <w:r w:rsidRPr="003726BE">
        <w:rPr>
          <w:rStyle w:val="FootnoteTextChar2"/>
          <w:sz w:val="12"/>
        </w:rPr>
        <w:footnoteRef/>
      </w:r>
      <w:r w:rsidRPr="00CB34A3">
        <w:rPr>
          <w:rStyle w:val="FootnoteTextChar2"/>
          <w:lang w:val="en-GB"/>
        </w:rPr>
        <w:t xml:space="preserve"> Capturing the success of your RDP: Guidelines for the ex post evaluation of 2007-2013 RDPs, PART II, Chapter 4, </w:t>
      </w:r>
      <w:hyperlink r:id="rId17">
        <w:r w:rsidRPr="00CB34A3">
          <w:rPr>
            <w:rStyle w:val="Hyperlink"/>
            <w:sz w:val="16"/>
            <w:lang w:val="en-GB"/>
          </w:rPr>
          <w:t>http://enrd.ec.europa.eu/enrd-static/evaluation/library/evaluation-helpdesk-publications/en/evaluation-helpdesk-publications_en.html</w:t>
        </w:r>
      </w:hyperlink>
    </w:p>
  </w:footnote>
  <w:footnote w:id="74">
    <w:p w14:paraId="19A6A24F" w14:textId="77777777" w:rsidR="00692535" w:rsidRPr="003726BE" w:rsidRDefault="00692535" w:rsidP="00021B72">
      <w:pPr>
        <w:tabs>
          <w:tab w:val="left" w:pos="170"/>
        </w:tabs>
        <w:spacing w:before="0" w:after="0" w:line="180" w:lineRule="exact"/>
        <w:ind w:left="170" w:hanging="170"/>
        <w:rPr>
          <w:rStyle w:val="FootnoteTextChar2"/>
          <w:lang w:val="en-GB"/>
        </w:rPr>
      </w:pPr>
      <w:r w:rsidRPr="003726BE">
        <w:rPr>
          <w:rStyle w:val="FootnoteReference"/>
        </w:rPr>
        <w:footnoteRef/>
      </w:r>
      <w:r w:rsidRPr="00CB34A3">
        <w:rPr>
          <w:sz w:val="16"/>
          <w:lang w:val="en-GB"/>
        </w:rPr>
        <w:t xml:space="preserve"> </w:t>
      </w:r>
      <w:r w:rsidRPr="00CB34A3">
        <w:rPr>
          <w:rStyle w:val="FootnoteTextChar2"/>
          <w:lang w:val="en-GB"/>
        </w:rPr>
        <w:t>Due to these difficulties, the assessment of environmental effects was in many empirical studies restricted to the measurement aspect only. Indeed, the assessment of environmental results/impacts is still in its infancy and a wide range of possible methods (applicable in the field of socio-economic results/impacts) still wait for their empirical testing.</w:t>
      </w:r>
    </w:p>
  </w:footnote>
  <w:footnote w:id="75">
    <w:p w14:paraId="28AD7A81" w14:textId="77777777" w:rsidR="00692535" w:rsidRPr="003726BE" w:rsidRDefault="00692535" w:rsidP="00596660">
      <w:pPr>
        <w:pStyle w:val="FootnoteText"/>
        <w:rPr>
          <w:lang w:val="sk-SK"/>
        </w:rPr>
      </w:pPr>
      <w:r w:rsidRPr="003726BE">
        <w:rPr>
          <w:rStyle w:val="FootnoteReference"/>
        </w:rPr>
        <w:footnoteRef/>
      </w:r>
      <w:r w:rsidRPr="00CB34A3">
        <w:rPr>
          <w:lang w:val="en-GB"/>
        </w:rPr>
        <w:t xml:space="preserve"> Also </w:t>
      </w:r>
      <w:r>
        <w:rPr>
          <w:lang w:val="en-GB"/>
        </w:rPr>
        <w:t>see chapter 5.1 of PART II</w:t>
      </w:r>
      <w:r w:rsidRPr="00CB34A3">
        <w:rPr>
          <w:lang w:val="en-GB"/>
        </w:rPr>
        <w:t xml:space="preserve"> in this document</w:t>
      </w:r>
    </w:p>
  </w:footnote>
  <w:footnote w:id="76">
    <w:p w14:paraId="22417D7C" w14:textId="77777777" w:rsidR="00692535" w:rsidRPr="003726BE" w:rsidRDefault="00692535" w:rsidP="00596660">
      <w:pPr>
        <w:pStyle w:val="FootnoteText"/>
        <w:rPr>
          <w:lang w:val="en-GB"/>
        </w:rPr>
      </w:pPr>
      <w:r w:rsidRPr="003726BE">
        <w:rPr>
          <w:rStyle w:val="FootnoteReference"/>
        </w:rPr>
        <w:footnoteRef/>
      </w:r>
      <w:r w:rsidRPr="00CB34A3">
        <w:rPr>
          <w:lang w:val="en-GB"/>
        </w:rPr>
        <w:t xml:space="preserve"> Here, we focus on reporting in AIR 2017, i.e. on effects occurring at micro-level only. In the real world, secondary effects occur also at regional- and macro-level and point out how positive or negative effects originated from a given programme are transmitted through and/or across a given territory.</w:t>
      </w:r>
    </w:p>
  </w:footnote>
  <w:footnote w:id="77">
    <w:p w14:paraId="4577B0A0" w14:textId="77777777" w:rsidR="00692535" w:rsidRPr="00CB34A3" w:rsidRDefault="00692535" w:rsidP="002B2ED6">
      <w:pPr>
        <w:pStyle w:val="FootnoteText"/>
        <w:rPr>
          <w:rFonts w:cs="Arial"/>
        </w:rPr>
      </w:pPr>
      <w:r>
        <w:rPr>
          <w:rStyle w:val="FootnoteReference"/>
        </w:rPr>
        <w:footnoteRef/>
      </w:r>
      <w:r>
        <w:t xml:space="preserve"> Allegato VII del regolamento di esecuzione (UE) n. 808/2014 della Commissione.</w:t>
      </w:r>
    </w:p>
  </w:footnote>
  <w:footnote w:id="78">
    <w:p w14:paraId="1BBFB4E8" w14:textId="77777777" w:rsidR="00692535" w:rsidRPr="00CB34A3" w:rsidRDefault="00692535" w:rsidP="002B2ED6">
      <w:pPr>
        <w:pStyle w:val="HStandard"/>
        <w:spacing w:after="0" w:line="240" w:lineRule="auto"/>
        <w:rPr>
          <w:rFonts w:cs="Arial"/>
          <w:color w:val="6F6F6F" w:themeColor="text1"/>
        </w:rPr>
      </w:pPr>
      <w:r>
        <w:rPr>
          <w:rStyle w:val="FootnoteReference"/>
        </w:rPr>
        <w:footnoteRef/>
      </w:r>
      <w:r>
        <w:t xml:space="preserve"> </w:t>
      </w:r>
      <w:r>
        <w:rPr>
          <w:color w:val="6F6F6F" w:themeColor="text1"/>
          <w:sz w:val="16"/>
        </w:rPr>
        <w:t>Queste informazioni non sostituiscono la relazione di valutazione completa, che può essere ancora sviluppata negli Stati membri, ma non viene allegata al modello SFC.</w:t>
      </w:r>
      <w:r>
        <w:rPr>
          <w:color w:val="6F6F6F" w:themeColor="text1"/>
        </w:rPr>
        <w:t xml:space="preserve"> </w:t>
      </w:r>
    </w:p>
  </w:footnote>
  <w:footnote w:id="79">
    <w:p w14:paraId="248BE666" w14:textId="77777777" w:rsidR="00692535" w:rsidRPr="00BD2DC5" w:rsidRDefault="00692535">
      <w:pPr>
        <w:pStyle w:val="FootnoteText"/>
        <w:rPr>
          <w:color w:val="6F6F6F" w:themeColor="text1"/>
          <w:szCs w:val="16"/>
          <w:lang w:val="sk-SK"/>
        </w:rPr>
      </w:pPr>
      <w:r>
        <w:rPr>
          <w:rStyle w:val="FootnoteReference"/>
          <w:color w:val="6F6F6F" w:themeColor="text1"/>
        </w:rPr>
        <w:footnoteRef/>
      </w:r>
      <w:r>
        <w:rPr>
          <w:color w:val="6F6F6F" w:themeColor="text1"/>
        </w:rPr>
        <w:t xml:space="preserve"> Questo esempio è stato preparato dall'Helpdesk europeo della valutazione per lo sviluppo rurale in consultazione con i servizi della DG AGRI; inoltre, la struttura e il contenuto di questo esempio sono stati discussi con gli Stati membri durante l'8</w:t>
      </w:r>
      <w:r>
        <w:rPr>
          <w:color w:val="6F6F6F" w:themeColor="text1"/>
          <w:vertAlign w:val="superscript"/>
        </w:rPr>
        <w:t>a</w:t>
      </w:r>
      <w:r>
        <w:rPr>
          <w:color w:val="6F6F6F" w:themeColor="text1"/>
        </w:rPr>
        <w:t xml:space="preserve"> e la 9</w:t>
      </w:r>
      <w:r>
        <w:rPr>
          <w:color w:val="6F6F6F" w:themeColor="text1"/>
          <w:vertAlign w:val="superscript"/>
        </w:rPr>
        <w:t>a</w:t>
      </w:r>
      <w:r>
        <w:rPr>
          <w:color w:val="6F6F6F" w:themeColor="text1"/>
        </w:rPr>
        <w:t xml:space="preserve"> riunione del gruppo di esperti sul monitoraggio e sulla valutazione della PAC, nonché durante la 28</w:t>
      </w:r>
      <w:r>
        <w:rPr>
          <w:color w:val="6F6F6F" w:themeColor="text1"/>
          <w:vertAlign w:val="superscript"/>
        </w:rPr>
        <w:t>a</w:t>
      </w:r>
      <w:r>
        <w:rPr>
          <w:color w:val="6F6F6F" w:themeColor="text1"/>
        </w:rPr>
        <w:t xml:space="preserve"> e 29</w:t>
      </w:r>
      <w:r>
        <w:rPr>
          <w:color w:val="6F6F6F" w:themeColor="text1"/>
          <w:vertAlign w:val="superscript"/>
        </w:rPr>
        <w:t>a</w:t>
      </w:r>
      <w:r>
        <w:rPr>
          <w:color w:val="6F6F6F" w:themeColor="text1"/>
        </w:rPr>
        <w:t xml:space="preserve"> riunione del Comitato per lo sviluppo rurale. </w:t>
      </w:r>
    </w:p>
  </w:footnote>
  <w:footnote w:id="80">
    <w:p w14:paraId="2612A0C9" w14:textId="77777777" w:rsidR="00692535" w:rsidRPr="003726BE" w:rsidRDefault="00692535" w:rsidP="001B0F83">
      <w:pPr>
        <w:pStyle w:val="FootnoteText"/>
        <w:rPr>
          <w:lang w:val="en-US"/>
        </w:rPr>
      </w:pPr>
      <w:r w:rsidRPr="003726BE">
        <w:rPr>
          <w:rStyle w:val="FootnoteReference"/>
        </w:rPr>
        <w:footnoteRef/>
      </w:r>
      <w:r w:rsidRPr="00CB34A3">
        <w:rPr>
          <w:lang w:val="en-GB"/>
        </w:rPr>
        <w:t xml:space="preserve"> This also covers those measures/sub/measures which have shown the secondary contributions during the evaluation not only those who have been planned to contribute additionally to focus areas others than programmed during the programme design</w:t>
      </w:r>
    </w:p>
  </w:footnote>
  <w:footnote w:id="81">
    <w:p w14:paraId="33AF0EAB" w14:textId="77777777" w:rsidR="00692535" w:rsidRPr="003726BE" w:rsidRDefault="00692535" w:rsidP="001B0F83">
      <w:pPr>
        <w:pStyle w:val="FootnoteText"/>
        <w:jc w:val="both"/>
        <w:rPr>
          <w:lang w:val="en-US"/>
        </w:rPr>
      </w:pPr>
      <w:r w:rsidRPr="003726BE">
        <w:rPr>
          <w:rStyle w:val="FootnoteReference"/>
        </w:rPr>
        <w:footnoteRef/>
      </w:r>
      <w:r w:rsidRPr="00CB34A3">
        <w:rPr>
          <w:lang w:val="en-GB"/>
        </w:rPr>
        <w:t xml:space="preserve"> Additional indicators are used if the common indicators are not sufficient to answer the CEQ, and if the success is specified with judgment criteria which are not measured with the common indicators.</w:t>
      </w:r>
    </w:p>
  </w:footnote>
  <w:footnote w:id="82">
    <w:p w14:paraId="5DD2932E" w14:textId="77777777" w:rsidR="00692535" w:rsidRPr="003726BE" w:rsidRDefault="00692535" w:rsidP="001B0F83">
      <w:pPr>
        <w:pStyle w:val="FootnoteText"/>
        <w:jc w:val="both"/>
        <w:rPr>
          <w:lang w:val="en-US"/>
        </w:rPr>
      </w:pPr>
      <w:r w:rsidRPr="003726BE">
        <w:rPr>
          <w:rStyle w:val="FootnoteReference"/>
        </w:rPr>
        <w:footnoteRef/>
      </w:r>
      <w:r w:rsidRPr="00CB34A3">
        <w:rPr>
          <w:lang w:val="en-GB"/>
        </w:rPr>
        <w:t xml:space="preserve"> List judgment criteria used to specify the success of the intervention within the FA. The judgme</w:t>
      </w:r>
      <w:r>
        <w:rPr>
          <w:lang w:val="en-GB"/>
        </w:rPr>
        <w:t>nt criteria proposed by the WD:</w:t>
      </w:r>
      <w:r w:rsidRPr="00CB34A3">
        <w:rPr>
          <w:lang w:val="en-GB"/>
        </w:rPr>
        <w:t xml:space="preserve"> "Common evaluation questions for rural development programmes 2014-2020" are pre-filled in the table. Stakeholders in MS can propose their own judgment criteria to specify success in line with the specific intervention logic of the FA. In the system for answering the CEQ 1 – 21 one judgment criterion is linked to one result indicator (common or additional).</w:t>
      </w:r>
    </w:p>
  </w:footnote>
  <w:footnote w:id="83">
    <w:p w14:paraId="72653C7A" w14:textId="77777777" w:rsidR="00692535" w:rsidRPr="003726BE" w:rsidRDefault="00692535" w:rsidP="001B0F83">
      <w:pPr>
        <w:pStyle w:val="FootnoteText"/>
        <w:jc w:val="both"/>
        <w:rPr>
          <w:lang w:val="en-US"/>
        </w:rPr>
      </w:pPr>
      <w:r w:rsidRPr="003726BE">
        <w:rPr>
          <w:rStyle w:val="FootnoteReference"/>
        </w:rPr>
        <w:footnoteRef/>
      </w:r>
      <w:r w:rsidRPr="00CB34A3">
        <w:rPr>
          <w:lang w:val="en-GB"/>
        </w:rPr>
        <w:t xml:space="preserve"> List common result indicators used in answering the CEQ. Ensure that the indicators are listed in a consistent way with the judgment criteria and placed in the same line. </w:t>
      </w:r>
    </w:p>
  </w:footnote>
  <w:footnote w:id="84">
    <w:p w14:paraId="30CDFC52" w14:textId="77777777" w:rsidR="00692535" w:rsidRPr="003726BE" w:rsidRDefault="00692535" w:rsidP="001B0F83">
      <w:pPr>
        <w:pStyle w:val="FootnoteText"/>
        <w:jc w:val="both"/>
        <w:rPr>
          <w:lang w:val="en-US"/>
        </w:rPr>
      </w:pPr>
      <w:r w:rsidRPr="003726BE">
        <w:rPr>
          <w:rStyle w:val="FootnoteReference"/>
        </w:rPr>
        <w:footnoteRef/>
      </w:r>
      <w:r w:rsidRPr="00CB34A3">
        <w:rPr>
          <w:lang w:val="en-GB"/>
        </w:rPr>
        <w:t xml:space="preserve"> List additional indicators used in answering the CEQ. Ensure that the judgment criteria are listed in a consistent way with the additional indicators and placed in the same line. Additional indicators filled in this column are those proposed in the WD: Common Evaluation Questions for rural Development Programmes 2014-2020 as “additional information”. MS can use their own additional indicators and information if they consider the pre-filled ones as not relevant for the specific RDP.  </w:t>
      </w:r>
    </w:p>
  </w:footnote>
  <w:footnote w:id="85">
    <w:p w14:paraId="6955B41F" w14:textId="77777777" w:rsidR="00692535" w:rsidRPr="003726BE" w:rsidRDefault="00692535">
      <w:pPr>
        <w:pStyle w:val="FootnoteText"/>
        <w:rPr>
          <w:lang w:val="sk-SK"/>
        </w:rPr>
      </w:pPr>
      <w:r w:rsidRPr="003726BE">
        <w:rPr>
          <w:rStyle w:val="FootnoteReference"/>
        </w:rPr>
        <w:footnoteRef/>
      </w:r>
      <w:r w:rsidRPr="00CB34A3">
        <w:rPr>
          <w:lang w:val="en-GB"/>
        </w:rPr>
        <w:t xml:space="preserve"> In case the same method was used in answering several evaluation questions, the description does not need to be repeated in all respective tables. It is sufficient just to provide the reference to the respective table of the SFC template, point 7, where the method is described in detail.  </w:t>
      </w:r>
    </w:p>
  </w:footnote>
  <w:footnote w:id="86">
    <w:p w14:paraId="17EBFD67" w14:textId="77777777" w:rsidR="00692535" w:rsidRPr="003726BE" w:rsidRDefault="00692535">
      <w:pPr>
        <w:pStyle w:val="FootnoteText"/>
        <w:rPr>
          <w:lang w:val="en-GB"/>
        </w:rPr>
      </w:pPr>
      <w:r w:rsidRPr="003726BE">
        <w:rPr>
          <w:rStyle w:val="FootnoteReference"/>
        </w:rPr>
        <w:footnoteRef/>
      </w:r>
      <w:r w:rsidRPr="00CB34A3">
        <w:rPr>
          <w:lang w:val="en-GB"/>
        </w:rPr>
        <w:t xml:space="preserve"> Quantitative methods are applicable for the assessment of all complementary result indicators and all other indicators including additional ones, apart from those which are measured as a ratio and which can be deducted directly from the monitoring system. The values can be directly obtained from the monitoring system.  </w:t>
      </w:r>
    </w:p>
  </w:footnote>
  <w:footnote w:id="87">
    <w:p w14:paraId="536520B9" w14:textId="77777777" w:rsidR="00692535" w:rsidRPr="003726BE" w:rsidRDefault="00692535">
      <w:pPr>
        <w:pStyle w:val="FootnoteText"/>
        <w:rPr>
          <w:lang w:val="sk-SK"/>
        </w:rPr>
      </w:pPr>
      <w:r w:rsidRPr="003726BE">
        <w:rPr>
          <w:rStyle w:val="FootnoteReference"/>
        </w:rPr>
        <w:footnoteRef/>
      </w:r>
      <w:r w:rsidRPr="00CB34A3">
        <w:rPr>
          <w:lang w:val="en-GB"/>
        </w:rPr>
        <w:t xml:space="preserve"> In case the same method was used for several indicators, the list of these indicators should be provided.</w:t>
      </w:r>
    </w:p>
  </w:footnote>
  <w:footnote w:id="88">
    <w:p w14:paraId="69A53DE9" w14:textId="77777777" w:rsidR="00692535" w:rsidRPr="00CB34A3" w:rsidRDefault="00692535" w:rsidP="001B0F83">
      <w:pPr>
        <w:spacing w:after="0" w:line="240" w:lineRule="auto"/>
        <w:rPr>
          <w:lang w:val="en-GB"/>
        </w:rPr>
      </w:pPr>
      <w:r w:rsidRPr="003726BE">
        <w:rPr>
          <w:rStyle w:val="FootnoteReference"/>
        </w:rPr>
        <w:footnoteRef/>
      </w:r>
      <w:r w:rsidRPr="00CB34A3">
        <w:rPr>
          <w:rStyle w:val="FootnoteReference"/>
          <w:lang w:val="en-GB"/>
        </w:rPr>
        <w:t xml:space="preserve"> </w:t>
      </w:r>
      <w:r w:rsidRPr="00CB34A3">
        <w:rPr>
          <w:color w:val="808080"/>
          <w:sz w:val="16"/>
          <w:lang w:val="en-GB"/>
        </w:rPr>
        <w:t>Explain the reasons why qualitative methods have been used to assess the RDP results linked to FA 2A - introductory qualitative analysis, triangulation of quantitative findings, no data available (e.g. no RDP uptake under the FA 2A), etc.</w:t>
      </w:r>
      <w:r w:rsidRPr="00CB34A3">
        <w:rPr>
          <w:sz w:val="16"/>
          <w:lang w:val="en-GB"/>
        </w:rPr>
        <w:t xml:space="preserve"> </w:t>
      </w:r>
    </w:p>
  </w:footnote>
  <w:footnote w:id="89">
    <w:p w14:paraId="0344F248" w14:textId="77777777" w:rsidR="00692535" w:rsidRPr="003726BE" w:rsidRDefault="00692535" w:rsidP="001B0F83">
      <w:pPr>
        <w:pStyle w:val="FootnoteText"/>
        <w:jc w:val="both"/>
        <w:rPr>
          <w:lang w:val="en-US"/>
        </w:rPr>
      </w:pPr>
      <w:r w:rsidRPr="003726BE">
        <w:rPr>
          <w:rStyle w:val="FootnoteReference"/>
        </w:rPr>
        <w:footnoteRef/>
      </w:r>
      <w:r w:rsidRPr="00CB34A3">
        <w:rPr>
          <w:lang w:val="en-GB"/>
        </w:rPr>
        <w:t xml:space="preserve"> In case the same method was used for several indicators, the list of these indicators should be provided.</w:t>
      </w:r>
    </w:p>
  </w:footnote>
  <w:footnote w:id="90">
    <w:p w14:paraId="070F7772" w14:textId="77777777" w:rsidR="00692535" w:rsidRPr="003726BE" w:rsidRDefault="00692535">
      <w:pPr>
        <w:pStyle w:val="FootnoteText"/>
        <w:rPr>
          <w:lang w:val="sk-SK"/>
        </w:rPr>
      </w:pPr>
      <w:r w:rsidRPr="003726BE">
        <w:rPr>
          <w:rStyle w:val="FootnoteReference"/>
        </w:rPr>
        <w:footnoteRef/>
      </w:r>
      <w:r w:rsidRPr="00CB34A3">
        <w:rPr>
          <w:lang w:val="en-GB"/>
        </w:rPr>
        <w:t xml:space="preserve"> Values are based on the quantitative methods decsribed above (complementary result indicators or additional indicators),  or on the values collected via operations database (target indicators)</w:t>
      </w:r>
    </w:p>
  </w:footnote>
  <w:footnote w:id="91">
    <w:p w14:paraId="7766083C" w14:textId="77777777" w:rsidR="00692535" w:rsidRPr="003726BE" w:rsidRDefault="00692535" w:rsidP="00F7131C">
      <w:pPr>
        <w:pStyle w:val="FootnoteText"/>
        <w:jc w:val="both"/>
        <w:rPr>
          <w:lang w:val="en-US"/>
        </w:rPr>
      </w:pPr>
      <w:r w:rsidRPr="003726BE">
        <w:rPr>
          <w:rStyle w:val="FootnoteReference"/>
        </w:rPr>
        <w:footnoteRef/>
      </w:r>
      <w:r w:rsidRPr="00CB34A3">
        <w:rPr>
          <w:lang w:val="en-GB"/>
        </w:rPr>
        <w:t xml:space="preserve"> Value is aggregated from Pillar II operations database for output indicators, and/or from statistics databases for common context indicators or additional indicators, if they are used to answer the common evaluation questions.</w:t>
      </w:r>
    </w:p>
  </w:footnote>
  <w:footnote w:id="92">
    <w:p w14:paraId="2056E2FF" w14:textId="77777777" w:rsidR="00692535" w:rsidRPr="003726BE" w:rsidRDefault="00692535" w:rsidP="00F7131C">
      <w:pPr>
        <w:pStyle w:val="FootnoteText"/>
        <w:rPr>
          <w:rFonts w:cs="Arial"/>
          <w:color w:val="6E6E6E" w:themeColor="background1" w:themeShade="80"/>
          <w:szCs w:val="16"/>
          <w:lang w:val="en-GB"/>
        </w:rPr>
      </w:pPr>
      <w:r w:rsidRPr="003726BE">
        <w:rPr>
          <w:rStyle w:val="FootnoteReference"/>
        </w:rPr>
        <w:footnoteRef/>
      </w:r>
      <w:r w:rsidRPr="00CB34A3">
        <w:rPr>
          <w:lang w:val="en-GB"/>
        </w:rPr>
        <w:t xml:space="preserve"> This column is filled for the following result indicators: R1/T4 and </w:t>
      </w:r>
      <w:r w:rsidRPr="00CB34A3">
        <w:rPr>
          <w:color w:val="6E6E6E" w:themeColor="background1" w:themeShade="80"/>
          <w:lang w:val="en-GB"/>
        </w:rPr>
        <w:t xml:space="preserve">for additional indicators, if they are expressed in ratio values. If there are secondary contributions or LEADER/CLLD contributions to the value of indicator, please explain under point 6 “Answer to evaluation questions”. </w:t>
      </w:r>
    </w:p>
  </w:footnote>
  <w:footnote w:id="93">
    <w:p w14:paraId="404F08E8" w14:textId="77777777" w:rsidR="00692535" w:rsidRPr="00CB34A3" w:rsidRDefault="00692535" w:rsidP="00F7131C">
      <w:pPr>
        <w:pStyle w:val="ListParagraph"/>
        <w:spacing w:after="0" w:line="240" w:lineRule="auto"/>
        <w:ind w:left="0" w:firstLine="0"/>
        <w:jc w:val="both"/>
        <w:rPr>
          <w:rFonts w:ascii="Arial" w:hAnsi="Arial" w:cs="Arial"/>
          <w:snapToGrid/>
          <w:color w:val="808080"/>
          <w:sz w:val="16"/>
          <w:szCs w:val="16"/>
          <w:lang w:val="en-GB"/>
        </w:rPr>
      </w:pPr>
      <w:r w:rsidRPr="003726BE">
        <w:rPr>
          <w:rStyle w:val="FootnoteReference"/>
          <w:snapToGrid/>
          <w:color w:val="6E6E6E" w:themeColor="background1" w:themeShade="80"/>
        </w:rPr>
        <w:footnoteRef/>
      </w:r>
      <w:r w:rsidRPr="00CB34A3">
        <w:rPr>
          <w:i/>
          <w:color w:val="6E6E6E" w:themeColor="background1" w:themeShade="80"/>
          <w:sz w:val="16"/>
          <w:lang w:val="en-GB"/>
        </w:rPr>
        <w:t xml:space="preserve"> </w:t>
      </w:r>
      <w:r w:rsidRPr="00CB34A3">
        <w:rPr>
          <w:rFonts w:ascii="Arial" w:hAnsi="Arial"/>
          <w:snapToGrid/>
          <w:color w:val="6E6E6E" w:themeColor="background1" w:themeShade="80"/>
          <w:sz w:val="16"/>
          <w:lang w:val="en-GB"/>
        </w:rPr>
        <w:t xml:space="preserve">The gross value of complementary result indicator R2 is provided here. The gross value of used additional result indicators and common context indicators is inserted here as well, if </w:t>
      </w:r>
      <w:r w:rsidRPr="00CB34A3">
        <w:rPr>
          <w:rFonts w:ascii="Arial" w:hAnsi="Arial"/>
          <w:color w:val="6E6E6E" w:themeColor="background1" w:themeShade="80"/>
          <w:sz w:val="16"/>
          <w:lang w:val="en-GB"/>
        </w:rPr>
        <w:t>they are not expressed in ratio values. Gross value is the value of indicator observed within the group of RDP beneficiaries.</w:t>
      </w:r>
      <w:r w:rsidRPr="00CB34A3">
        <w:rPr>
          <w:rFonts w:ascii="Arial" w:hAnsi="Arial"/>
          <w:snapToGrid/>
          <w:color w:val="6E6E6E" w:themeColor="background1" w:themeShade="80"/>
          <w:sz w:val="16"/>
          <w:lang w:val="en-GB"/>
        </w:rPr>
        <w:t xml:space="preserve"> The </w:t>
      </w:r>
      <w:r w:rsidRPr="00CB34A3">
        <w:rPr>
          <w:rFonts w:ascii="Arial" w:hAnsi="Arial"/>
          <w:snapToGrid/>
          <w:color w:val="808080"/>
          <w:sz w:val="16"/>
          <w:lang w:val="en-GB"/>
        </w:rPr>
        <w:t>gross value of indicator is inserted also in case the net value has been inserted in the table.</w:t>
      </w:r>
    </w:p>
  </w:footnote>
  <w:footnote w:id="94">
    <w:p w14:paraId="331595EE" w14:textId="77777777" w:rsidR="00692535" w:rsidRPr="003726BE" w:rsidRDefault="00692535" w:rsidP="00F7131C">
      <w:pPr>
        <w:pStyle w:val="FootnoteText"/>
        <w:rPr>
          <w:rFonts w:cs="Arial"/>
          <w:color w:val="6E6E6E" w:themeColor="background1" w:themeShade="80"/>
          <w:szCs w:val="16"/>
          <w:lang w:val="en-GB"/>
        </w:rPr>
      </w:pPr>
      <w:r w:rsidRPr="003726BE">
        <w:rPr>
          <w:i/>
          <w:sz w:val="12"/>
        </w:rPr>
        <w:footnoteRef/>
      </w:r>
      <w:r w:rsidRPr="00CB34A3">
        <w:rPr>
          <w:sz w:val="12"/>
          <w:lang w:val="en-GB"/>
        </w:rPr>
        <w:t xml:space="preserve"> </w:t>
      </w:r>
      <w:r w:rsidRPr="00CB34A3">
        <w:rPr>
          <w:lang w:val="en-GB"/>
        </w:rPr>
        <w:t>T</w:t>
      </w:r>
      <w:r w:rsidRPr="00CB34A3">
        <w:rPr>
          <w:color w:val="6E6E6E" w:themeColor="background1" w:themeShade="80"/>
          <w:lang w:val="en-GB"/>
        </w:rPr>
        <w:t>he net value of complementary result indicator R2 (in case it was possible to calculate it) is inserted here. The net value of used common context indicators is inserted here as well, if they are not expressed in ratio values. Net value is the value of indicator attributed to the RDP intervention. See the guidelines Assessment of RDP results, chapter 7.2. If there are secondary contributions or LEADER/CLLD contributions to the value of indicator, please explain under point 6 “Answer to evaluation questions”.</w:t>
      </w:r>
    </w:p>
  </w:footnote>
  <w:footnote w:id="95">
    <w:p w14:paraId="5E25A9A5" w14:textId="77777777" w:rsidR="00692535" w:rsidRPr="00CB34A3" w:rsidRDefault="00692535" w:rsidP="00F7131C">
      <w:pPr>
        <w:pStyle w:val="ListParagraph"/>
        <w:tabs>
          <w:tab w:val="clear" w:pos="709"/>
          <w:tab w:val="left" w:pos="0"/>
        </w:tabs>
        <w:spacing w:after="0" w:line="240" w:lineRule="auto"/>
        <w:ind w:left="0" w:firstLine="0"/>
        <w:rPr>
          <w:rFonts w:ascii="Arial" w:hAnsi="Arial" w:cs="Arial"/>
          <w:snapToGrid/>
          <w:color w:val="6E6E6E" w:themeColor="background1" w:themeShade="80"/>
          <w:sz w:val="16"/>
          <w:szCs w:val="16"/>
          <w:lang w:val="en-GB"/>
        </w:rPr>
      </w:pPr>
      <w:r w:rsidRPr="003726BE">
        <w:rPr>
          <w:rStyle w:val="FootnoteReference"/>
        </w:rPr>
        <w:footnoteRef/>
      </w:r>
      <w:r w:rsidRPr="00CB34A3">
        <w:rPr>
          <w:i/>
          <w:color w:val="6E6E6E" w:themeColor="background1" w:themeShade="80"/>
          <w:sz w:val="16"/>
          <w:lang w:val="en-GB"/>
        </w:rPr>
        <w:t xml:space="preserve"> </w:t>
      </w:r>
      <w:r w:rsidRPr="00CB34A3">
        <w:rPr>
          <w:rFonts w:ascii="Arial" w:hAnsi="Arial"/>
          <w:snapToGrid/>
          <w:color w:val="6E6E6E" w:themeColor="background1" w:themeShade="80"/>
          <w:sz w:val="16"/>
          <w:lang w:val="en-GB"/>
        </w:rPr>
        <w:t xml:space="preserve">All data and information sources used for calculation of indicators should be listed here, e.g. Pillar II operations database, EU/national/regional statics, GIS, etc. </w:t>
      </w:r>
    </w:p>
  </w:footnote>
  <w:footnote w:id="96">
    <w:p w14:paraId="65EA0524" w14:textId="77777777" w:rsidR="00692535" w:rsidRPr="00CB34A3" w:rsidRDefault="00692535" w:rsidP="00F7131C">
      <w:pPr>
        <w:pStyle w:val="ListParagraph"/>
        <w:tabs>
          <w:tab w:val="clear" w:pos="709"/>
          <w:tab w:val="left" w:pos="0"/>
        </w:tabs>
        <w:spacing w:after="0" w:line="240" w:lineRule="auto"/>
        <w:ind w:left="0" w:firstLine="0"/>
        <w:rPr>
          <w:rFonts w:ascii="Arial" w:hAnsi="Arial" w:cs="Arial"/>
          <w:snapToGrid/>
          <w:color w:val="6E6E6E" w:themeColor="background1" w:themeShade="80"/>
          <w:sz w:val="16"/>
          <w:szCs w:val="16"/>
          <w:lang w:val="en-GB"/>
        </w:rPr>
      </w:pPr>
      <w:r w:rsidRPr="003726BE">
        <w:rPr>
          <w:rStyle w:val="FootnoteReference"/>
        </w:rPr>
        <w:footnoteRef/>
      </w:r>
      <w:r w:rsidRPr="00CB34A3">
        <w:rPr>
          <w:rFonts w:ascii="Arial" w:hAnsi="Arial"/>
          <w:snapToGrid/>
          <w:color w:val="6E6E6E" w:themeColor="background1" w:themeShade="80"/>
          <w:sz w:val="16"/>
          <w:lang w:val="en-GB"/>
        </w:rPr>
        <w:t xml:space="preserve"> The common output indicators can be also used, especially if the value of output indicator is necessary to calculate the result indicator or in case it provides important information for answering the evaluation question, e.g. number of holdings/operations supported (O3 and O4), physical areas supported (O6), number of livestock units supported (O8), etc. The selection of output indicators for answering the evaluation question is done in MS.</w:t>
      </w:r>
    </w:p>
  </w:footnote>
  <w:footnote w:id="97">
    <w:p w14:paraId="5DD42CFD" w14:textId="77777777" w:rsidR="00692535" w:rsidRPr="003726BE" w:rsidRDefault="00692535" w:rsidP="00F7131C">
      <w:pPr>
        <w:pStyle w:val="FootnoteText"/>
        <w:rPr>
          <w:rFonts w:cs="Arial"/>
          <w:color w:val="6E6E6E" w:themeColor="background1" w:themeShade="80"/>
          <w:szCs w:val="16"/>
          <w:lang w:val="en-GB"/>
        </w:rPr>
      </w:pPr>
      <w:r w:rsidRPr="003726BE">
        <w:rPr>
          <w:rStyle w:val="FootnoteReference"/>
        </w:rPr>
        <w:footnoteRef/>
      </w:r>
      <w:r w:rsidRPr="00CB34A3">
        <w:rPr>
          <w:i/>
          <w:color w:val="6E6E6E" w:themeColor="background1" w:themeShade="80"/>
          <w:lang w:val="en-GB"/>
        </w:rPr>
        <w:t xml:space="preserve"> </w:t>
      </w:r>
      <w:r w:rsidRPr="00CB34A3">
        <w:rPr>
          <w:color w:val="6E6E6E" w:themeColor="background1" w:themeShade="80"/>
          <w:lang w:val="en-GB"/>
        </w:rPr>
        <w:t>Values of common complementary result indicators are collected separately for numerator and denominator</w:t>
      </w:r>
    </w:p>
  </w:footnote>
  <w:footnote w:id="98">
    <w:p w14:paraId="2FCEC9DE" w14:textId="77777777" w:rsidR="00692535" w:rsidRPr="003726BE" w:rsidRDefault="00692535" w:rsidP="00F7131C">
      <w:pPr>
        <w:pStyle w:val="FootnoteText"/>
        <w:jc w:val="both"/>
        <w:rPr>
          <w:rFonts w:cs="Arial"/>
          <w:lang w:val="en-GB"/>
        </w:rPr>
      </w:pPr>
      <w:r w:rsidRPr="003726BE">
        <w:rPr>
          <w:rStyle w:val="FootnoteReference"/>
        </w:rPr>
        <w:footnoteRef/>
      </w:r>
      <w:r w:rsidRPr="00CB34A3">
        <w:rPr>
          <w:rStyle w:val="FootnoteReference"/>
          <w:lang w:val="en-GB"/>
        </w:rPr>
        <w:t xml:space="preserve"> </w:t>
      </w:r>
      <w:r w:rsidRPr="00CB34A3">
        <w:rPr>
          <w:lang w:val="en-GB"/>
        </w:rPr>
        <w:t>Additional indicators are optional and developed in MS to answer common evaluation questions in case the common indicators are considered insufficient for this purpose.</w:t>
      </w:r>
    </w:p>
  </w:footnote>
  <w:footnote w:id="99">
    <w:p w14:paraId="2B2308F7" w14:textId="77777777" w:rsidR="00692535" w:rsidRPr="003726BE" w:rsidRDefault="00692535" w:rsidP="00F7131C">
      <w:pPr>
        <w:pStyle w:val="FootnoteText"/>
        <w:jc w:val="both"/>
        <w:rPr>
          <w:lang w:val="en-GB"/>
        </w:rPr>
      </w:pPr>
      <w:r w:rsidRPr="003726BE">
        <w:rPr>
          <w:rStyle w:val="FootnoteReference"/>
        </w:rPr>
        <w:footnoteRef/>
      </w:r>
      <w:r w:rsidRPr="00CB34A3">
        <w:rPr>
          <w:lang w:val="en-GB"/>
        </w:rPr>
        <w:t xml:space="preserve"> The common context indicators can be also used to answer common evaluation questions if relevant (e. g. CCI 14, CCI 17, CCI 26).  </w:t>
      </w:r>
    </w:p>
  </w:footnote>
  <w:footnote w:id="100">
    <w:p w14:paraId="7A1BB1DC" w14:textId="77777777" w:rsidR="00692535" w:rsidRPr="003726BE" w:rsidRDefault="00692535" w:rsidP="00F7131C">
      <w:pPr>
        <w:pStyle w:val="FootnoteText"/>
        <w:jc w:val="both"/>
        <w:rPr>
          <w:rFonts w:asciiTheme="minorHAnsi" w:hAnsiTheme="minorHAnsi"/>
          <w:lang w:val="en-US"/>
        </w:rPr>
      </w:pPr>
      <w:r w:rsidRPr="003726BE">
        <w:rPr>
          <w:rStyle w:val="FootnoteReference"/>
        </w:rPr>
        <w:footnoteRef/>
      </w:r>
      <w:r w:rsidRPr="00CB34A3">
        <w:rPr>
          <w:lang w:val="en-GB"/>
        </w:rPr>
        <w:t xml:space="preserve"> Explain problems faced by the evaluator during the assessment, e.g. data and information availability, timing and coordination issues, etc. which might have threatened the reliability and validity of evaluation findings.  </w:t>
      </w:r>
    </w:p>
  </w:footnote>
  <w:footnote w:id="101">
    <w:p w14:paraId="138345BA" w14:textId="77777777" w:rsidR="00692535" w:rsidRPr="003726BE" w:rsidRDefault="00692535" w:rsidP="00F7131C">
      <w:pPr>
        <w:pStyle w:val="FootnoteText"/>
        <w:rPr>
          <w:lang w:val="en-GB"/>
        </w:rPr>
      </w:pPr>
      <w:r w:rsidRPr="003726BE">
        <w:rPr>
          <w:rStyle w:val="FootnoteReference"/>
        </w:rPr>
        <w:footnoteRef/>
      </w:r>
      <w:r w:rsidRPr="00CB34A3">
        <w:rPr>
          <w:lang w:val="en-GB"/>
        </w:rPr>
        <w:t xml:space="preserve"> On the basis of the evidence resulting from the analysis presented under points 3 and 4.</w:t>
      </w:r>
    </w:p>
  </w:footnote>
  <w:footnote w:id="102">
    <w:p w14:paraId="2E16AD57" w14:textId="77777777" w:rsidR="00692535" w:rsidRPr="003726BE" w:rsidRDefault="00692535" w:rsidP="00F7131C">
      <w:pPr>
        <w:pStyle w:val="FootnoteText"/>
        <w:rPr>
          <w:lang w:val="en-GB"/>
        </w:rPr>
      </w:pPr>
      <w:r w:rsidRPr="003726BE">
        <w:rPr>
          <w:rStyle w:val="FootnoteReference"/>
        </w:rPr>
        <w:footnoteRef/>
      </w:r>
      <w:r w:rsidRPr="00CB34A3">
        <w:rPr>
          <w:lang w:val="en-GB"/>
        </w:rPr>
        <w:t xml:space="preserve"> On the basis of the information collected under points 3 and 4 the answer given under point 6.</w:t>
      </w:r>
    </w:p>
  </w:footnote>
  <w:footnote w:id="103">
    <w:p w14:paraId="3704A1FF" w14:textId="77777777" w:rsidR="00692535" w:rsidRPr="00CB34A3" w:rsidRDefault="00692535" w:rsidP="00A8083B">
      <w:pPr>
        <w:pStyle w:val="FootnoteText"/>
      </w:pPr>
      <w:r>
        <w:rPr>
          <w:rStyle w:val="FootnoteReference"/>
        </w:rPr>
        <w:footnoteRef/>
      </w:r>
      <w:r>
        <w:t xml:space="preserve"> Ciò include anche quelle misure/sottomisure che hanno mostrato effetti secondari durante la valutazione, non solo quelle che sono state progettate per contribuire ulteriormente ad aspetti specifici diversi da quelli programmati durante la progettazione del programma.</w:t>
      </w:r>
    </w:p>
  </w:footnote>
  <w:footnote w:id="104">
    <w:p w14:paraId="47C780BD" w14:textId="77777777" w:rsidR="00692535" w:rsidRPr="00CB34A3" w:rsidRDefault="00692535" w:rsidP="00A8083B">
      <w:pPr>
        <w:pStyle w:val="FootnoteText"/>
      </w:pPr>
      <w:r>
        <w:rPr>
          <w:rStyle w:val="FootnoteReference"/>
        </w:rPr>
        <w:footnoteRef/>
      </w:r>
      <w:r>
        <w:t xml:space="preserve"> Indicatori aggiuntivi vengono utilizzati se gli indicatori comuni non sono sufficienti per rispondere alla domanda del QVC e se il successo è specificato con criteri di giudizio che non si misurano con indicatori comuni.</w:t>
      </w:r>
    </w:p>
  </w:footnote>
  <w:footnote w:id="105">
    <w:p w14:paraId="4BA2A8FA" w14:textId="77777777" w:rsidR="00692535" w:rsidRPr="00CB34A3" w:rsidRDefault="00692535" w:rsidP="00A8083B">
      <w:pPr>
        <w:pStyle w:val="FootnoteText"/>
      </w:pPr>
      <w:r>
        <w:rPr>
          <w:rStyle w:val="FootnoteReference"/>
        </w:rPr>
        <w:footnoteRef/>
      </w:r>
      <w:r>
        <w:t xml:space="preserve"> Elencare i criteri di giudizio utilizzati per specificare il successo dell'intervento all'interno del FA. I criteri di giudizio proposti dal documento di lavoro: "</w:t>
      </w:r>
      <w:r>
        <w:rPr>
          <w:i/>
        </w:rPr>
        <w:t>Common Evaluation Questions for rural development programmes 2014-2020</w:t>
      </w:r>
      <w:r>
        <w:t>" [Questionario valutativo comune per programmi di sviluppo rurale 2014-2020] (in inglese) sono precompilati nella tabella. Le parti interessate nello SM possono proporre i propri criteri di giudizio per specificare il successo in linea con la logica di intervento specifica del FA. Nel sistema per rispondere alle domande del QVC 1-21, un criterio di giudizio è collegato a un indicatore di risultato (comune o aggiuntivo).</w:t>
      </w:r>
    </w:p>
  </w:footnote>
  <w:footnote w:id="106">
    <w:p w14:paraId="3A396240" w14:textId="77777777" w:rsidR="00692535" w:rsidRPr="00CB34A3" w:rsidRDefault="00692535" w:rsidP="00A8083B">
      <w:pPr>
        <w:pStyle w:val="FootnoteText"/>
      </w:pPr>
      <w:r>
        <w:rPr>
          <w:rStyle w:val="FootnoteReference"/>
        </w:rPr>
        <w:footnoteRef/>
      </w:r>
      <w:r>
        <w:t xml:space="preserve"> Elencare gli indicatori di risultato comuni utilizzati nel rispondere al QVC. Assicurarsi che gli indicatori siano elencati in modo coerente con i criteri di giudizio e collocati nella stessa linea. </w:t>
      </w:r>
    </w:p>
  </w:footnote>
  <w:footnote w:id="107">
    <w:p w14:paraId="467B0C83" w14:textId="77777777" w:rsidR="00692535" w:rsidRPr="00CB34A3" w:rsidRDefault="00692535" w:rsidP="00A8083B">
      <w:pPr>
        <w:pStyle w:val="FootnoteText"/>
      </w:pPr>
      <w:r>
        <w:rPr>
          <w:rStyle w:val="FootnoteReference"/>
        </w:rPr>
        <w:footnoteRef/>
      </w:r>
      <w:r>
        <w:t xml:space="preserve"> Elencare gli indicatori aggiuntivi utilizzati nel rispondere al QVC. Assicurarsi che i criteri di giudizio siano elencati in modo coerente con gli indicatori aggiuntivi e collocati nella stessa linea. Gli indicatori aggiuntivi compilati in questa colonna sono quelli proposti nel documento di lavoro: </w:t>
      </w:r>
      <w:r>
        <w:rPr>
          <w:i/>
        </w:rPr>
        <w:t>Common Evaluation Questions for rural development programmes 2014-2020</w:t>
      </w:r>
      <w:r>
        <w:t xml:space="preserve"> [Questionario valutativo comune per programmi di sviluppo rurale 2014-2020] (in inglese), come informazioni "aggiuntive". Lo Stato membro può utilizzare le proprie informazioni e i propri indicatori aggiuntivi qualora ritenga che quelli precompilati non siano pertinenti per lo specifico PSR.    </w:t>
      </w:r>
    </w:p>
  </w:footnote>
  <w:footnote w:id="108">
    <w:p w14:paraId="799BE091" w14:textId="77777777" w:rsidR="00692535" w:rsidRPr="0032067F" w:rsidRDefault="00692535">
      <w:pPr>
        <w:pStyle w:val="FootnoteText"/>
        <w:rPr>
          <w:lang w:val="sk-SK"/>
        </w:rPr>
      </w:pPr>
      <w:r>
        <w:rPr>
          <w:rStyle w:val="FootnoteReference"/>
        </w:rPr>
        <w:footnoteRef/>
      </w:r>
      <w:r>
        <w:t xml:space="preserve"> Qualora lo stesso metodo sia stato utilizzato per rispondere a diverse domande di valutazione, non è necessario ripetere la descrizione in tutte le rispettive tabelle. È sufficiente fornire soltanto il riferimento alla rispettiva tabella del modello SFC, punto 7, nella quale il metodo è descritto in dettaglio.</w:t>
      </w:r>
    </w:p>
  </w:footnote>
  <w:footnote w:id="109">
    <w:p w14:paraId="6C0318DA" w14:textId="77777777" w:rsidR="00692535" w:rsidRPr="0032067F" w:rsidRDefault="00692535">
      <w:pPr>
        <w:pStyle w:val="FootnoteText"/>
        <w:rPr>
          <w:lang w:val="sk-SK"/>
        </w:rPr>
      </w:pPr>
      <w:r>
        <w:rPr>
          <w:rStyle w:val="FootnoteReference"/>
        </w:rPr>
        <w:footnoteRef/>
      </w:r>
      <w:r>
        <w:t xml:space="preserve"> I metodi quantitativi sono applicabili alla valutazione di tutti gli indicatori di risultato complementari e di tutti gli altri indicatori compresi quelli aggiuntivi, ad eccezione di quelli che sono misurati in valori assoluti e come rapporto e che possono essere dedotto direttamente dal sistema di monitoraggio.  </w:t>
      </w:r>
    </w:p>
  </w:footnote>
  <w:footnote w:id="110">
    <w:p w14:paraId="4DDD5EE7" w14:textId="77777777" w:rsidR="00692535" w:rsidRPr="00CB34A3" w:rsidRDefault="00692535" w:rsidP="00A8083B">
      <w:pPr>
        <w:pStyle w:val="FootnoteText"/>
      </w:pPr>
      <w:r>
        <w:rPr>
          <w:rStyle w:val="FootnoteReference"/>
        </w:rPr>
        <w:footnoteRef/>
      </w:r>
      <w:r>
        <w:t xml:space="preserve"> Nel caso il cui lo stesso metodo sia stato utilizzato per diversi indicatori, è necessario fornire l'elenco di tali indicatori.</w:t>
      </w:r>
    </w:p>
  </w:footnote>
  <w:footnote w:id="111">
    <w:p w14:paraId="408E9990" w14:textId="77777777" w:rsidR="00692535" w:rsidRPr="00CB34A3" w:rsidRDefault="00692535" w:rsidP="00A8083B">
      <w:pPr>
        <w:spacing w:after="0"/>
        <w:rPr>
          <w:color w:val="808080"/>
          <w:sz w:val="16"/>
          <w:szCs w:val="20"/>
        </w:rPr>
      </w:pPr>
      <w:r>
        <w:rPr>
          <w:rStyle w:val="FootnoteReference"/>
        </w:rPr>
        <w:footnoteRef/>
      </w:r>
      <w:r>
        <w:rPr>
          <w:sz w:val="20"/>
        </w:rPr>
        <w:t xml:space="preserve"> </w:t>
      </w:r>
      <w:r>
        <w:rPr>
          <w:color w:val="808080"/>
          <w:sz w:val="16"/>
        </w:rPr>
        <w:t xml:space="preserve">Spiegare le motivazioni che hanno determinato l'utilizzo dei metodi qualitativi per valutare i risultati del PSR legati al FA 2A: analisi qualitativa introduttiva, triangolazione di risultati quantitativi, nessun dato disponibile (ad esempio, assenza di utilizzo del PSR ai sensi del FA 2A), ecc. </w:t>
      </w:r>
    </w:p>
  </w:footnote>
  <w:footnote w:id="112">
    <w:p w14:paraId="39A5F464" w14:textId="77777777" w:rsidR="00692535" w:rsidRPr="00CB34A3" w:rsidRDefault="00692535" w:rsidP="00A8083B">
      <w:pPr>
        <w:pStyle w:val="FootnoteText"/>
      </w:pPr>
      <w:r>
        <w:rPr>
          <w:rStyle w:val="FootnoteReference"/>
        </w:rPr>
        <w:footnoteRef/>
      </w:r>
      <w:r>
        <w:t xml:space="preserve"> Nel caso il cui lo stesso metodo sia stato utilizzato per diversi indicatori, è necessario fornire l'elenco di tali indicatori.</w:t>
      </w:r>
    </w:p>
  </w:footnote>
  <w:footnote w:id="113">
    <w:p w14:paraId="2E9D7A52" w14:textId="77777777" w:rsidR="00692535" w:rsidRPr="00E556D7" w:rsidRDefault="00692535" w:rsidP="002B007A">
      <w:pPr>
        <w:pStyle w:val="FootnoteText"/>
        <w:rPr>
          <w:lang w:val="sk-SK"/>
        </w:rPr>
      </w:pPr>
      <w:r>
        <w:rPr>
          <w:rStyle w:val="FootnoteReference"/>
        </w:rPr>
        <w:footnoteRef/>
      </w:r>
      <w:r>
        <w:t xml:space="preserve"> I valori si basano sui metodi quantitativi sopra descritti (indicatori di risultato complementari o indicatori aggiuntivi) o sui valori raccolti tramite la banca dati delle operazioni (indicatori di obiettivo).</w:t>
      </w:r>
    </w:p>
  </w:footnote>
  <w:footnote w:id="114">
    <w:p w14:paraId="6A6A5508" w14:textId="77777777" w:rsidR="00692535" w:rsidRPr="00CB34A3" w:rsidRDefault="00692535" w:rsidP="00366FFF">
      <w:pPr>
        <w:pStyle w:val="FootnoteText"/>
        <w:jc w:val="both"/>
      </w:pPr>
      <w:r>
        <w:rPr>
          <w:rStyle w:val="FootnoteReference"/>
        </w:rPr>
        <w:footnoteRef/>
      </w:r>
      <w:r>
        <w:t xml:space="preserve"> Il valore è aggregato dalla banca dati delle operazioni del pilastro II per indicatori di prodotto e/o da banche dati di statistiche per gli indicatori comuni di contesto o gli indicatori aggiuntivi, se vengono utilizzati per rispondere al QVC.</w:t>
      </w:r>
    </w:p>
  </w:footnote>
  <w:footnote w:id="115">
    <w:p w14:paraId="0C4D0B6C" w14:textId="77777777" w:rsidR="00692535" w:rsidRPr="00CB34A3" w:rsidRDefault="00692535" w:rsidP="009A2D2D">
      <w:pPr>
        <w:pStyle w:val="FootnoteText"/>
        <w:rPr>
          <w:rFonts w:cs="Arial"/>
          <w:color w:val="808080" w:themeColor="accent1" w:themeShade="80"/>
          <w:szCs w:val="16"/>
        </w:rPr>
      </w:pPr>
      <w:r>
        <w:rPr>
          <w:rStyle w:val="FootnoteReference"/>
        </w:rPr>
        <w:footnoteRef/>
      </w:r>
      <w:r>
        <w:t xml:space="preserve"> Questa colonna viene compilata per i seguenti indicatori di risultato: R1/T4 e per indicatori aggiuntivi, se sono espressi come valori di rapporto.</w:t>
      </w:r>
      <w:r>
        <w:rPr>
          <w:color w:val="6E6E6E" w:themeColor="background1" w:themeShade="80"/>
        </w:rPr>
        <w:t xml:space="preserve"> Qualora vi siano contributi secondari o contributi LEADER/CLLD al valore dell'indicatore, si prega di fornire spiegazioni in merito al punto 6 "Risposta alle domande di valutazione".</w:t>
      </w:r>
    </w:p>
  </w:footnote>
  <w:footnote w:id="116">
    <w:p w14:paraId="02BBD6D9" w14:textId="77777777" w:rsidR="00692535" w:rsidRPr="00CD05CD" w:rsidRDefault="00692535" w:rsidP="00B6293F">
      <w:pPr>
        <w:pStyle w:val="ListParagraph"/>
        <w:tabs>
          <w:tab w:val="clear" w:pos="709"/>
        </w:tabs>
        <w:spacing w:after="0" w:line="240" w:lineRule="auto"/>
        <w:ind w:left="284" w:hanging="284"/>
        <w:rPr>
          <w:rFonts w:ascii="Arial" w:hAnsi="Arial" w:cs="Arial"/>
          <w:snapToGrid/>
          <w:color w:val="808080"/>
          <w:sz w:val="16"/>
          <w:szCs w:val="20"/>
        </w:rPr>
      </w:pPr>
      <w:r>
        <w:rPr>
          <w:rStyle w:val="FootnoteReference"/>
          <w:snapToGrid/>
          <w:color w:val="808080" w:themeColor="accent1" w:themeShade="80"/>
        </w:rPr>
        <w:footnoteRef/>
      </w:r>
      <w:r>
        <w:rPr>
          <w:i/>
          <w:color w:val="808080" w:themeColor="accent1" w:themeShade="80"/>
          <w:sz w:val="16"/>
        </w:rPr>
        <w:t xml:space="preserve"> </w:t>
      </w:r>
      <w:r>
        <w:rPr>
          <w:rFonts w:ascii="Arial" w:hAnsi="Arial"/>
          <w:snapToGrid/>
          <w:color w:val="808080" w:themeColor="accent1" w:themeShade="80"/>
          <w:sz w:val="16"/>
        </w:rPr>
        <w:t xml:space="preserve"> Il valore lordo dell'indicatore di risultato complementare R2 è fornito qui. Anche il valore lordo degli indicatori di risultato aggiuntivi e degli indicatori comuni di contesto utilizzati viene inserito qui, se non si tratta di valori espressi in forma di rapporto. Il valore lordo è il valore dell'indicatore osservato all'interno del gruppo di beneficiari del PSR. Il valore lordo dell'indicatore viene inserito anche nel caso in cui il valore netto sia stato inserito nella tabella.</w:t>
      </w:r>
    </w:p>
  </w:footnote>
  <w:footnote w:id="117">
    <w:p w14:paraId="7B2E078A" w14:textId="77777777" w:rsidR="00692535" w:rsidRPr="00CB34A3" w:rsidRDefault="00692535" w:rsidP="00366FFF">
      <w:pPr>
        <w:pStyle w:val="FootnoteText"/>
        <w:rPr>
          <w:rFonts w:cs="Arial"/>
        </w:rPr>
      </w:pPr>
      <w:r>
        <w:rPr>
          <w:i/>
          <w:sz w:val="12"/>
        </w:rPr>
        <w:footnoteRef/>
      </w:r>
      <w:r>
        <w:t xml:space="preserve"> Il valore netto dell'indicatore di risultato complementare R2 (nel caso fosse stato possibile calcolarlo) va inserito qui. Anche il valore netto degli indicatori comuni di contesto utilizzati viene inserito qui, se non si tratta di valori espressi in forma di rapporto. Il valore netto è il valore dell'indicatore attribuito all'intervento del PSR. Cfr. Linee guida sulla valutazione dei risultati del PSR, capitolo 7.2. </w:t>
      </w:r>
      <w:r>
        <w:rPr>
          <w:color w:val="6E6E6E" w:themeColor="background1" w:themeShade="80"/>
        </w:rPr>
        <w:t>Qualora vi siano contributi secondari o contributi LEADER/CLLD al valore dell'indicatore, si prega di fornire spiegazioni in merito al punto 6 "Risposta alle domande di valutazione".</w:t>
      </w:r>
    </w:p>
  </w:footnote>
  <w:footnote w:id="118">
    <w:p w14:paraId="2FE428A1" w14:textId="77777777" w:rsidR="00692535" w:rsidRPr="000307AE" w:rsidRDefault="00692535" w:rsidP="00366FFF">
      <w:pPr>
        <w:pStyle w:val="ListParagraph"/>
        <w:tabs>
          <w:tab w:val="clear" w:pos="709"/>
          <w:tab w:val="left" w:pos="0"/>
        </w:tabs>
        <w:spacing w:after="0" w:line="240" w:lineRule="auto"/>
        <w:ind w:left="0" w:firstLine="0"/>
        <w:rPr>
          <w:rFonts w:ascii="Arial" w:hAnsi="Arial" w:cs="Arial"/>
          <w:snapToGrid/>
          <w:color w:val="808080"/>
          <w:sz w:val="16"/>
          <w:szCs w:val="20"/>
        </w:rPr>
      </w:pPr>
      <w:r>
        <w:rPr>
          <w:rStyle w:val="FootnoteReference"/>
          <w:snapToGrid/>
        </w:rPr>
        <w:footnoteRef/>
      </w:r>
      <w:r>
        <w:rPr>
          <w:rStyle w:val="FootnoteReference"/>
          <w:snapToGrid/>
        </w:rPr>
        <w:t xml:space="preserve"> </w:t>
      </w:r>
      <w:r>
        <w:rPr>
          <w:rFonts w:ascii="Arial" w:hAnsi="Arial"/>
          <w:snapToGrid/>
          <w:color w:val="808080"/>
          <w:sz w:val="16"/>
        </w:rPr>
        <w:t xml:space="preserve">Tutte le fonti di dati e informazioni utilizzate per il calcolo di indicatori dovrebbero essere elencate qui, ad esempio, banca dati delle operazioni del pilastro II, statistiche EU/nazionali/regionali, GIS, ecc. </w:t>
      </w:r>
    </w:p>
  </w:footnote>
  <w:footnote w:id="119">
    <w:p w14:paraId="5EF77DD4" w14:textId="77777777" w:rsidR="00692535" w:rsidRPr="000307AE" w:rsidRDefault="00692535" w:rsidP="00366FFF">
      <w:pPr>
        <w:pStyle w:val="ListParagraph"/>
        <w:tabs>
          <w:tab w:val="clear" w:pos="709"/>
          <w:tab w:val="left" w:pos="0"/>
        </w:tabs>
        <w:spacing w:after="0" w:line="240" w:lineRule="auto"/>
        <w:ind w:left="0" w:firstLine="0"/>
        <w:rPr>
          <w:rFonts w:ascii="Arial" w:hAnsi="Arial" w:cs="Arial"/>
          <w:snapToGrid/>
          <w:color w:val="808080"/>
          <w:sz w:val="16"/>
          <w:szCs w:val="20"/>
        </w:rPr>
      </w:pPr>
      <w:r>
        <w:rPr>
          <w:rStyle w:val="FootnoteReference"/>
          <w:snapToGrid/>
        </w:rPr>
        <w:footnoteRef/>
      </w:r>
      <w:r>
        <w:rPr>
          <w:i/>
          <w:sz w:val="16"/>
        </w:rPr>
        <w:t xml:space="preserve"> </w:t>
      </w:r>
      <w:r>
        <w:rPr>
          <w:rFonts w:ascii="Arial" w:hAnsi="Arial"/>
          <w:snapToGrid/>
          <w:color w:val="808080"/>
          <w:sz w:val="16"/>
        </w:rPr>
        <w:t>Si possono utilizzare anche indicatori comuni di prodotto, soprattutto se il valore dell'indicatore di prodotto è necessario per calcolare l'indicatore di risultato o nel caso in cui fornisca informazioni importanti per rispondere alla domanda di valutazione, ad esempio numero di aziende agricole/operazioni che hanno fruito di un sostegno (O3 e O4), superfici fisiche sovvenzionate (O6), numero di unità di bestiame sovvenzionate (O8), ecc. La scelta degli indicatori di prodotto per rispondere alla domanda di valutazione avviene nello SM.</w:t>
      </w:r>
    </w:p>
  </w:footnote>
  <w:footnote w:id="120">
    <w:p w14:paraId="57A329F2" w14:textId="77777777" w:rsidR="00692535" w:rsidRPr="00CB34A3" w:rsidRDefault="00692535" w:rsidP="00366FFF">
      <w:pPr>
        <w:pStyle w:val="FootnoteText"/>
        <w:rPr>
          <w:rFonts w:cs="Arial"/>
        </w:rPr>
      </w:pPr>
      <w:r>
        <w:rPr>
          <w:rStyle w:val="FootnoteReference"/>
        </w:rPr>
        <w:footnoteRef/>
      </w:r>
      <w:r>
        <w:rPr>
          <w:rStyle w:val="FootnoteReference"/>
        </w:rPr>
        <w:t xml:space="preserve"> </w:t>
      </w:r>
      <w:r>
        <w:t>I valori degli indicatori comuni di risultato complementari sono raccolti separatamente per numeratore e denominatore.</w:t>
      </w:r>
    </w:p>
  </w:footnote>
  <w:footnote w:id="121">
    <w:p w14:paraId="298D1364" w14:textId="77777777" w:rsidR="00692535" w:rsidRPr="00CB34A3" w:rsidRDefault="00692535" w:rsidP="00366FFF">
      <w:pPr>
        <w:pStyle w:val="FootnoteText"/>
        <w:jc w:val="both"/>
        <w:rPr>
          <w:rFonts w:cs="Arial"/>
        </w:rPr>
      </w:pPr>
      <w:r>
        <w:rPr>
          <w:rStyle w:val="FootnoteReference"/>
        </w:rPr>
        <w:footnoteRef/>
      </w:r>
      <w:r>
        <w:rPr>
          <w:rStyle w:val="FootnoteReference"/>
        </w:rPr>
        <w:t xml:space="preserve"> </w:t>
      </w:r>
      <w:r>
        <w:t>Gli indicatori aggiuntivi sono opzionali e sviluppati negli SM per rispondere al QVC nel caso in cui gli indicatori comuni siano considerati insufficienti a tale scopo.</w:t>
      </w:r>
    </w:p>
  </w:footnote>
  <w:footnote w:id="122">
    <w:p w14:paraId="242D9B14" w14:textId="77777777" w:rsidR="00692535" w:rsidRPr="00CB34A3" w:rsidRDefault="00692535" w:rsidP="00366FFF">
      <w:pPr>
        <w:pStyle w:val="FootnoteText"/>
        <w:jc w:val="both"/>
      </w:pPr>
      <w:r>
        <w:rPr>
          <w:rStyle w:val="FootnoteReference"/>
        </w:rPr>
        <w:footnoteRef/>
      </w:r>
      <w:r>
        <w:t xml:space="preserve"> Possono essere utilizzati anche indicatori comuni di contesto per rispondere al QVC se pertinente (per esempio CCI 14, CCI 17, CCI 26).  </w:t>
      </w:r>
    </w:p>
  </w:footnote>
  <w:footnote w:id="123">
    <w:p w14:paraId="04A30724" w14:textId="77777777" w:rsidR="00692535" w:rsidRPr="009A2D2D" w:rsidRDefault="00692535">
      <w:pPr>
        <w:pStyle w:val="FootnoteText"/>
        <w:rPr>
          <w:lang w:val="sk-SK"/>
        </w:rPr>
      </w:pPr>
      <w:r>
        <w:rPr>
          <w:rStyle w:val="FootnoteReference"/>
        </w:rPr>
        <w:footnoteRef/>
      </w:r>
      <w:r>
        <w:t xml:space="preserve"> Spiegare i problemi incontrati dal valutatore durante la valutazione, ad esempio questioni legate alla disponibilità di dati e informazioni, alle tempistiche e al coordinamento, ecc. che potrebbero aver minacciato l'affidabilità e la validità dei risultati della valutazione.  </w:t>
      </w:r>
    </w:p>
  </w:footnote>
  <w:footnote w:id="124">
    <w:p w14:paraId="7D559E61" w14:textId="77777777" w:rsidR="00692535" w:rsidRPr="00CB34A3" w:rsidRDefault="00692535" w:rsidP="00A07941">
      <w:pPr>
        <w:pStyle w:val="FootnoteText"/>
      </w:pPr>
      <w:r>
        <w:rPr>
          <w:rStyle w:val="FootnoteReference"/>
        </w:rPr>
        <w:footnoteRef/>
      </w:r>
      <w:r>
        <w:t xml:space="preserve"> Sulla base delle prove risultanti dall'analisi presentata ai punti 3 e 4.</w:t>
      </w:r>
    </w:p>
  </w:footnote>
  <w:footnote w:id="125">
    <w:p w14:paraId="58A9F92E" w14:textId="77777777" w:rsidR="00692535" w:rsidRPr="00CB34A3" w:rsidRDefault="00692535" w:rsidP="00A07941">
      <w:pPr>
        <w:pStyle w:val="FootnoteText"/>
      </w:pPr>
      <w:r>
        <w:rPr>
          <w:rStyle w:val="FootnoteReference"/>
        </w:rPr>
        <w:footnoteRef/>
      </w:r>
      <w:r>
        <w:t xml:space="preserve"> Sulla base delle informazioni raccolte ai punti 3 e 4 e della risposta data al punto 6.</w:t>
      </w:r>
    </w:p>
  </w:footnote>
  <w:footnote w:id="126">
    <w:p w14:paraId="0BC942FD" w14:textId="77777777" w:rsidR="00692535" w:rsidRPr="003726BE" w:rsidRDefault="00692535" w:rsidP="00080C42">
      <w:pPr>
        <w:pStyle w:val="FootnoteText"/>
        <w:rPr>
          <w:lang w:val="en-US"/>
        </w:rPr>
      </w:pPr>
      <w:r w:rsidRPr="003726BE">
        <w:rPr>
          <w:rStyle w:val="FootnoteReference"/>
        </w:rPr>
        <w:footnoteRef/>
      </w:r>
      <w:r w:rsidRPr="00CB34A3">
        <w:rPr>
          <w:lang w:val="en-GB"/>
        </w:rPr>
        <w:t xml:space="preserve"> Insert the number and title of the programme specific focus area, e.g. 2C – “Improving the economic performance and market participation of forestry enterprises”</w:t>
      </w:r>
    </w:p>
  </w:footnote>
  <w:footnote w:id="127">
    <w:p w14:paraId="431B9F41" w14:textId="77777777" w:rsidR="00692535" w:rsidRPr="003726BE" w:rsidRDefault="00692535" w:rsidP="00080C42">
      <w:pPr>
        <w:pStyle w:val="FootnoteText"/>
        <w:rPr>
          <w:lang w:val="en-US"/>
        </w:rPr>
      </w:pPr>
      <w:r w:rsidRPr="003726BE">
        <w:rPr>
          <w:rStyle w:val="FootnoteReference"/>
        </w:rPr>
        <w:footnoteRef/>
      </w:r>
      <w:r w:rsidRPr="00CB34A3">
        <w:rPr>
          <w:lang w:val="en-GB"/>
        </w:rPr>
        <w:t xml:space="preserve"> Insert the title of programme specific evaluation question, e.g. “To what extent have the RDP interventions supported the improvement of economic performance and market participation of forestry enterprises?”</w:t>
      </w:r>
    </w:p>
  </w:footnote>
  <w:footnote w:id="128">
    <w:p w14:paraId="15B9550F" w14:textId="77777777" w:rsidR="00692535" w:rsidRPr="003726BE" w:rsidRDefault="00692535" w:rsidP="00080C42">
      <w:pPr>
        <w:pStyle w:val="FootnoteText"/>
        <w:rPr>
          <w:lang w:val="en-US"/>
        </w:rPr>
      </w:pPr>
      <w:r w:rsidRPr="003726BE">
        <w:rPr>
          <w:rStyle w:val="FootnoteReference"/>
        </w:rPr>
        <w:footnoteRef/>
      </w:r>
      <w:r w:rsidRPr="00CB34A3">
        <w:rPr>
          <w:lang w:val="en-GB"/>
        </w:rPr>
        <w:t xml:space="preserve"> Explain reasons why the programme specific focus area has been introduced in the RDP, linking it to the SWOT and needs assessment and to the overall RDP intervention logic. </w:t>
      </w:r>
    </w:p>
  </w:footnote>
  <w:footnote w:id="129">
    <w:p w14:paraId="0200EF21" w14:textId="77777777" w:rsidR="00692535" w:rsidRPr="003726BE" w:rsidRDefault="00692535" w:rsidP="00080C42">
      <w:pPr>
        <w:pStyle w:val="FootnoteText"/>
        <w:rPr>
          <w:lang w:val="en-US"/>
        </w:rPr>
      </w:pPr>
      <w:r w:rsidRPr="003726BE">
        <w:rPr>
          <w:rStyle w:val="FootnoteReference"/>
        </w:rPr>
        <w:footnoteRef/>
      </w:r>
      <w:r w:rsidRPr="00CB34A3">
        <w:rPr>
          <w:lang w:val="en-GB"/>
        </w:rPr>
        <w:t xml:space="preserve"> This covers measures /sub-measures which have shown secondary contribution during the evaluation not only those who have been planned to contribute additionally to focus areas other than those programmed during the programme design.</w:t>
      </w:r>
    </w:p>
  </w:footnote>
  <w:footnote w:id="130">
    <w:p w14:paraId="78E26DD2" w14:textId="77777777" w:rsidR="00692535" w:rsidRPr="003726BE" w:rsidRDefault="00692535" w:rsidP="00B51C90">
      <w:pPr>
        <w:pStyle w:val="FootnoteText"/>
        <w:rPr>
          <w:lang w:val="en-GB"/>
        </w:rPr>
      </w:pPr>
      <w:r w:rsidRPr="003726BE">
        <w:rPr>
          <w:rStyle w:val="FootnoteReference"/>
        </w:rPr>
        <w:footnoteRef/>
      </w:r>
      <w:r w:rsidRPr="00CB34A3">
        <w:rPr>
          <w:lang w:val="en-GB"/>
        </w:rPr>
        <w:t xml:space="preserve"> Programme specific result indicators are used to answer the PSEQ. Common indicators can be also used if relevant.</w:t>
      </w:r>
    </w:p>
  </w:footnote>
  <w:footnote w:id="131">
    <w:p w14:paraId="219C1145" w14:textId="77777777" w:rsidR="00692535" w:rsidRPr="003726BE" w:rsidRDefault="00692535" w:rsidP="00080C42">
      <w:pPr>
        <w:pStyle w:val="FootnoteText"/>
        <w:rPr>
          <w:lang w:val="en-US"/>
        </w:rPr>
      </w:pPr>
      <w:r w:rsidRPr="003726BE">
        <w:rPr>
          <w:rStyle w:val="FootnoteReference"/>
        </w:rPr>
        <w:footnoteRef/>
      </w:r>
      <w:r w:rsidRPr="00CB34A3">
        <w:rPr>
          <w:lang w:val="en-GB"/>
        </w:rPr>
        <w:t xml:space="preserve"> Programme specific judgment criteria specify the success of the intervention under the programme specific focus area and are linked to common and programme specific indicators used to answer the PSEQ</w:t>
      </w:r>
    </w:p>
  </w:footnote>
  <w:footnote w:id="132">
    <w:p w14:paraId="7B4F57E8" w14:textId="77777777" w:rsidR="00692535" w:rsidRPr="003726BE" w:rsidRDefault="00692535" w:rsidP="00080C42">
      <w:pPr>
        <w:pStyle w:val="FootnoteText"/>
        <w:rPr>
          <w:lang w:val="en-US"/>
        </w:rPr>
      </w:pPr>
      <w:r w:rsidRPr="003726BE">
        <w:rPr>
          <w:rStyle w:val="FootnoteReference"/>
        </w:rPr>
        <w:footnoteRef/>
      </w:r>
      <w:r w:rsidRPr="00CB34A3">
        <w:rPr>
          <w:lang w:val="en-GB"/>
        </w:rPr>
        <w:t xml:space="preserve"> List common result indicators used in answering the CEQ. Ensure that the indicators are listed in a consistent way with the judgment criteria and placed in the same line.</w:t>
      </w:r>
    </w:p>
  </w:footnote>
  <w:footnote w:id="133">
    <w:p w14:paraId="2DEC694D" w14:textId="77777777" w:rsidR="00692535" w:rsidRPr="003726BE" w:rsidRDefault="00692535" w:rsidP="00B51C90">
      <w:pPr>
        <w:pStyle w:val="FootnoteText"/>
        <w:rPr>
          <w:lang w:val="en-GB"/>
        </w:rPr>
      </w:pPr>
      <w:r w:rsidRPr="003726BE">
        <w:rPr>
          <w:rStyle w:val="FootnoteReference"/>
        </w:rPr>
        <w:footnoteRef/>
      </w:r>
      <w:r w:rsidRPr="00CB34A3">
        <w:rPr>
          <w:lang w:val="en-GB"/>
        </w:rPr>
        <w:t xml:space="preserve"> List programme specific result indicators used in answering the PSEQ in consistency with programme specific judgment criteria. Indicators must be in consistency with the judgment criteria.</w:t>
      </w:r>
    </w:p>
  </w:footnote>
  <w:footnote w:id="134">
    <w:p w14:paraId="619078ED" w14:textId="77777777" w:rsidR="00692535" w:rsidRPr="003726BE" w:rsidRDefault="00692535" w:rsidP="00080C42">
      <w:pPr>
        <w:pStyle w:val="FootnoteText"/>
        <w:rPr>
          <w:lang w:val="en-US"/>
        </w:rPr>
      </w:pPr>
      <w:r w:rsidRPr="003726BE">
        <w:rPr>
          <w:rStyle w:val="FootnoteReference"/>
        </w:rPr>
        <w:footnoteRef/>
      </w:r>
      <w:r w:rsidRPr="00CB34A3">
        <w:rPr>
          <w:lang w:val="en-GB"/>
        </w:rPr>
        <w:t xml:space="preserve"> In case the same method was used in answering this PSEQ as in answering other evaluation questions, the description does not need to be repeated in all respective tables. It is sufficient just to provide the reference to the respective table of the SFC template, point 7, where the method is described in detail. </w:t>
      </w:r>
    </w:p>
  </w:footnote>
  <w:footnote w:id="135">
    <w:p w14:paraId="7E7C00A6" w14:textId="77777777" w:rsidR="00692535" w:rsidRPr="003726BE" w:rsidRDefault="00692535" w:rsidP="00080C42">
      <w:pPr>
        <w:pStyle w:val="FootnoteText"/>
        <w:rPr>
          <w:rFonts w:cs="Arial"/>
          <w:color w:val="6F6F6F" w:themeColor="text1"/>
          <w:szCs w:val="16"/>
          <w:lang w:val="en-US"/>
        </w:rPr>
      </w:pPr>
      <w:r w:rsidRPr="003726BE">
        <w:rPr>
          <w:rStyle w:val="FootnoteReference"/>
        </w:rPr>
        <w:footnoteRef/>
      </w:r>
      <w:r w:rsidRPr="00CB34A3">
        <w:rPr>
          <w:color w:val="6F6F6F" w:themeColor="text1"/>
          <w:sz w:val="8"/>
          <w:lang w:val="en-GB"/>
        </w:rPr>
        <w:t xml:space="preserve"> </w:t>
      </w:r>
      <w:r w:rsidRPr="00CB34A3">
        <w:rPr>
          <w:color w:val="6F6F6F" w:themeColor="text1"/>
          <w:lang w:val="en-GB"/>
        </w:rPr>
        <w:t xml:space="preserve">Quantitative methods are applicable for the assessment of all common complementary result indicators and for programme specific indicators of similar nature, apart from those which can be deducted directly from the monitoring system.  </w:t>
      </w:r>
    </w:p>
  </w:footnote>
  <w:footnote w:id="136">
    <w:p w14:paraId="7631D75D" w14:textId="77777777" w:rsidR="00692535" w:rsidRPr="003726BE" w:rsidRDefault="00692535" w:rsidP="00080C42">
      <w:pPr>
        <w:pStyle w:val="FootnoteText"/>
        <w:rPr>
          <w:rFonts w:cs="Arial"/>
          <w:color w:val="6F6F6F" w:themeColor="text1"/>
          <w:szCs w:val="16"/>
          <w:lang w:val="en-US"/>
        </w:rPr>
      </w:pPr>
      <w:r w:rsidRPr="003726BE">
        <w:rPr>
          <w:rStyle w:val="FootnoteReference"/>
        </w:rPr>
        <w:footnoteRef/>
      </w:r>
      <w:r w:rsidRPr="00CB34A3">
        <w:rPr>
          <w:color w:val="6F6F6F" w:themeColor="text1"/>
          <w:sz w:val="8"/>
          <w:lang w:val="en-GB"/>
        </w:rPr>
        <w:t xml:space="preserve"> </w:t>
      </w:r>
      <w:r w:rsidRPr="00CB34A3">
        <w:rPr>
          <w:color w:val="6F6F6F" w:themeColor="text1"/>
          <w:lang w:val="en-GB"/>
        </w:rPr>
        <w:t>In case the same method was used for several indicators, the list of these indicators should be provided.</w:t>
      </w:r>
    </w:p>
  </w:footnote>
  <w:footnote w:id="137">
    <w:p w14:paraId="711FFCC0" w14:textId="77777777" w:rsidR="00692535" w:rsidRPr="003726BE" w:rsidRDefault="00692535" w:rsidP="00080C42">
      <w:pPr>
        <w:spacing w:after="0"/>
        <w:rPr>
          <w:rFonts w:cs="Arial"/>
          <w:color w:val="6F6F6F" w:themeColor="text1"/>
          <w:sz w:val="16"/>
          <w:szCs w:val="16"/>
          <w:lang w:val="en-US"/>
        </w:rPr>
      </w:pPr>
      <w:r w:rsidRPr="003726BE">
        <w:rPr>
          <w:rStyle w:val="FootnoteReference"/>
        </w:rPr>
        <w:footnoteRef/>
      </w:r>
      <w:r w:rsidRPr="00CB34A3">
        <w:rPr>
          <w:color w:val="6F6F6F" w:themeColor="text1"/>
          <w:sz w:val="8"/>
          <w:lang w:val="en-GB"/>
        </w:rPr>
        <w:t xml:space="preserve"> </w:t>
      </w:r>
      <w:r w:rsidRPr="00CB34A3">
        <w:rPr>
          <w:color w:val="6F6F6F" w:themeColor="text1"/>
          <w:sz w:val="16"/>
          <w:lang w:val="en-GB"/>
        </w:rPr>
        <w:t xml:space="preserve">Explain the reasons why qualitative methods have been used to assess the RDP results linked to programme specific FA - introductory qualitative analysis, triangulation of quantitative findings, no data available (e.g. no RDP uptake under the FA), etc. </w:t>
      </w:r>
    </w:p>
  </w:footnote>
  <w:footnote w:id="138">
    <w:p w14:paraId="7330363A" w14:textId="77777777" w:rsidR="00692535" w:rsidRPr="003726BE" w:rsidRDefault="00692535" w:rsidP="00080C42">
      <w:pPr>
        <w:pStyle w:val="FootnoteText"/>
        <w:rPr>
          <w:rFonts w:cs="Arial"/>
          <w:color w:val="6F6F6F" w:themeColor="text1"/>
          <w:szCs w:val="16"/>
          <w:lang w:val="en-US"/>
        </w:rPr>
      </w:pPr>
      <w:r w:rsidRPr="003726BE">
        <w:rPr>
          <w:rStyle w:val="FootnoteReference"/>
        </w:rPr>
        <w:footnoteRef/>
      </w:r>
      <w:r w:rsidRPr="00CB34A3">
        <w:rPr>
          <w:color w:val="6F6F6F" w:themeColor="text1"/>
          <w:sz w:val="8"/>
          <w:lang w:val="en-GB"/>
        </w:rPr>
        <w:t xml:space="preserve"> </w:t>
      </w:r>
      <w:r w:rsidRPr="00CB34A3">
        <w:rPr>
          <w:color w:val="6F6F6F" w:themeColor="text1"/>
          <w:lang w:val="en-GB"/>
        </w:rPr>
        <w:t>In case the same method was used for several indicators, the list of these indicators should be provided.</w:t>
      </w:r>
    </w:p>
  </w:footnote>
  <w:footnote w:id="139">
    <w:p w14:paraId="1B9D3F3E" w14:textId="77777777" w:rsidR="00692535" w:rsidRPr="003726BE" w:rsidRDefault="00692535" w:rsidP="00080C42">
      <w:pPr>
        <w:pStyle w:val="FootnoteText"/>
        <w:rPr>
          <w:rFonts w:cs="Arial"/>
          <w:color w:val="6F6F6F" w:themeColor="text1"/>
          <w:szCs w:val="16"/>
          <w:lang w:val="en-US"/>
        </w:rPr>
      </w:pPr>
      <w:r w:rsidRPr="003726BE">
        <w:rPr>
          <w:rStyle w:val="FootnoteReference"/>
        </w:rPr>
        <w:footnoteRef/>
      </w:r>
      <w:r w:rsidRPr="00CB34A3">
        <w:rPr>
          <w:rStyle w:val="FootnoteReference"/>
          <w:lang w:val="en-GB"/>
        </w:rPr>
        <w:t xml:space="preserve"> </w:t>
      </w:r>
      <w:r w:rsidRPr="00CB34A3">
        <w:rPr>
          <w:color w:val="6F6F6F" w:themeColor="text1"/>
          <w:lang w:val="en-GB"/>
        </w:rPr>
        <w:t>Values are based on the quantitative methods described above.</w:t>
      </w:r>
    </w:p>
  </w:footnote>
  <w:footnote w:id="140">
    <w:p w14:paraId="7A8FDDD9" w14:textId="77777777" w:rsidR="00692535" w:rsidRPr="003726BE" w:rsidRDefault="00692535" w:rsidP="00080C42">
      <w:pPr>
        <w:pStyle w:val="FootnoteText"/>
        <w:rPr>
          <w:rFonts w:cs="Arial"/>
          <w:color w:val="6F6F6F" w:themeColor="text1"/>
          <w:szCs w:val="16"/>
          <w:lang w:val="en-US"/>
        </w:rPr>
      </w:pPr>
      <w:r w:rsidRPr="003726BE">
        <w:rPr>
          <w:rStyle w:val="FootnoteReference"/>
        </w:rPr>
        <w:footnoteRef/>
      </w:r>
      <w:r w:rsidRPr="00CB34A3">
        <w:rPr>
          <w:color w:val="6F6F6F" w:themeColor="text1"/>
          <w:lang w:val="en-GB"/>
        </w:rPr>
        <w:t xml:space="preserve"> Value is aggregated from Pillar II operations database for output indicators, and/or from statistics databases for common indicators or programme specific indicators, if they are used to answer the PSEQ.</w:t>
      </w:r>
    </w:p>
  </w:footnote>
  <w:footnote w:id="141">
    <w:p w14:paraId="7C3ED41A" w14:textId="77777777" w:rsidR="00692535" w:rsidRPr="003726BE" w:rsidRDefault="00692535" w:rsidP="00080C42">
      <w:pPr>
        <w:pStyle w:val="FootnoteText"/>
        <w:rPr>
          <w:rFonts w:cs="Arial"/>
          <w:color w:val="6F6F6F" w:themeColor="text1"/>
          <w:szCs w:val="16"/>
          <w:lang w:val="en-US"/>
        </w:rPr>
      </w:pPr>
      <w:r w:rsidRPr="003726BE">
        <w:rPr>
          <w:rStyle w:val="FootnoteReference"/>
        </w:rPr>
        <w:footnoteRef/>
      </w:r>
      <w:r w:rsidRPr="00CB34A3">
        <w:rPr>
          <w:color w:val="6F6F6F" w:themeColor="text1"/>
          <w:lang w:val="en-GB"/>
        </w:rPr>
        <w:t xml:space="preserve"> This column is filled for the common and programme specific indicators if they are expressed as ratio. </w:t>
      </w:r>
    </w:p>
  </w:footnote>
  <w:footnote w:id="142">
    <w:p w14:paraId="115BD678" w14:textId="77777777" w:rsidR="00692535" w:rsidRPr="003726BE" w:rsidRDefault="00692535" w:rsidP="00E95C99">
      <w:pPr>
        <w:pStyle w:val="FootnoteText"/>
        <w:rPr>
          <w:rFonts w:cs="Arial"/>
          <w:color w:val="6F6F6F" w:themeColor="text1"/>
          <w:szCs w:val="16"/>
          <w:lang w:val="en-US"/>
        </w:rPr>
      </w:pPr>
      <w:r w:rsidRPr="003726BE">
        <w:rPr>
          <w:rStyle w:val="FootnoteReference"/>
        </w:rPr>
        <w:footnoteRef/>
      </w:r>
      <w:r w:rsidRPr="00CB34A3">
        <w:rPr>
          <w:color w:val="6F6F6F" w:themeColor="text1"/>
          <w:lang w:val="en-GB"/>
        </w:rPr>
        <w:t xml:space="preserve"> This column is filled for gross values of common and programme specific indicators, if applicable. Gross value is the value observed within the group of RDP beneficiaries. The gross value of indicators is inserted also in case the net value has been inserted in the table. </w:t>
      </w:r>
      <w:r w:rsidRPr="00CB34A3">
        <w:rPr>
          <w:color w:val="6E6E6E" w:themeColor="background1" w:themeShade="80"/>
          <w:lang w:val="en-GB"/>
        </w:rPr>
        <w:t>If there are secondary contributions or LEADER/CLLD contributions to the value of indicator, please explain under point 6 “Answer to evaluation questions”.</w:t>
      </w:r>
    </w:p>
  </w:footnote>
  <w:footnote w:id="143">
    <w:p w14:paraId="0B3F782A" w14:textId="77777777" w:rsidR="00692535" w:rsidRPr="003726BE" w:rsidRDefault="00692535" w:rsidP="00080C42">
      <w:pPr>
        <w:pStyle w:val="FootnoteText"/>
        <w:rPr>
          <w:rFonts w:cs="Arial"/>
          <w:color w:val="6F6F6F" w:themeColor="text1"/>
          <w:szCs w:val="16"/>
          <w:lang w:val="en-US"/>
        </w:rPr>
      </w:pPr>
      <w:r w:rsidRPr="003726BE">
        <w:rPr>
          <w:rStyle w:val="FootnoteReference"/>
        </w:rPr>
        <w:footnoteRef/>
      </w:r>
      <w:r w:rsidRPr="00CB34A3">
        <w:rPr>
          <w:color w:val="6F6F6F" w:themeColor="text1"/>
          <w:sz w:val="8"/>
          <w:lang w:val="en-GB"/>
        </w:rPr>
        <w:t xml:space="preserve"> </w:t>
      </w:r>
      <w:r w:rsidRPr="00CB34A3">
        <w:rPr>
          <w:color w:val="6F6F6F" w:themeColor="text1"/>
          <w:lang w:val="en-GB"/>
        </w:rPr>
        <w:t xml:space="preserve">This column is filled for net values of common and programme specific indicators, if applicable. Net value is the value of indicator attributed to the RDP intervention. See the guidelines Assessment of RDP results, chapter 7.2. </w:t>
      </w:r>
      <w:r w:rsidRPr="00CB34A3">
        <w:rPr>
          <w:color w:val="6E6E6E" w:themeColor="background1" w:themeShade="80"/>
          <w:lang w:val="en-GB"/>
        </w:rPr>
        <w:t>If there are secondary contributions or LEADER/CLLD contributions to the value of indicator, please explain under point 6 “Answer to evaluation questions”.</w:t>
      </w:r>
    </w:p>
  </w:footnote>
  <w:footnote w:id="144">
    <w:p w14:paraId="1CF18A13" w14:textId="77777777" w:rsidR="00692535" w:rsidRPr="003726BE" w:rsidRDefault="00692535" w:rsidP="00E95C99">
      <w:pPr>
        <w:pStyle w:val="FootnoteText"/>
        <w:rPr>
          <w:rFonts w:cs="Arial"/>
          <w:color w:val="6F6F6F" w:themeColor="text1"/>
          <w:szCs w:val="16"/>
          <w:lang w:val="en-US"/>
        </w:rPr>
      </w:pPr>
      <w:r w:rsidRPr="003726BE">
        <w:rPr>
          <w:rStyle w:val="FootnoteReference"/>
        </w:rPr>
        <w:footnoteRef/>
      </w:r>
      <w:r w:rsidRPr="00CB34A3">
        <w:rPr>
          <w:color w:val="6F6F6F" w:themeColor="text1"/>
          <w:sz w:val="8"/>
          <w:lang w:val="en-GB"/>
        </w:rPr>
        <w:t xml:space="preserve"> </w:t>
      </w:r>
      <w:r w:rsidRPr="00CB34A3">
        <w:rPr>
          <w:color w:val="6F6F6F" w:themeColor="text1"/>
          <w:lang w:val="en-GB"/>
        </w:rPr>
        <w:t xml:space="preserve">All data and information sources used for calculation of indicators should be listed here, e.g. Pillar II operations database, EU/national/regional statistics, GIS etc. </w:t>
      </w:r>
    </w:p>
  </w:footnote>
  <w:footnote w:id="145">
    <w:p w14:paraId="794AB1D2" w14:textId="77777777" w:rsidR="00692535" w:rsidRPr="003726BE" w:rsidRDefault="00692535" w:rsidP="00E95C99">
      <w:pPr>
        <w:pStyle w:val="FootnoteText"/>
        <w:rPr>
          <w:rFonts w:cs="Arial"/>
          <w:color w:val="6F6F6F" w:themeColor="text1"/>
          <w:szCs w:val="16"/>
          <w:lang w:val="en-US"/>
        </w:rPr>
      </w:pPr>
      <w:r w:rsidRPr="003726BE">
        <w:rPr>
          <w:rStyle w:val="FootnoteReference"/>
        </w:rPr>
        <w:footnoteRef/>
      </w:r>
      <w:r w:rsidRPr="00CB34A3">
        <w:rPr>
          <w:color w:val="6F6F6F" w:themeColor="text1"/>
          <w:sz w:val="8"/>
          <w:lang w:val="en-GB"/>
        </w:rPr>
        <w:t xml:space="preserve"> </w:t>
      </w:r>
      <w:r w:rsidRPr="00CB34A3">
        <w:rPr>
          <w:color w:val="6F6F6F" w:themeColor="text1"/>
          <w:lang w:val="en-GB"/>
        </w:rPr>
        <w:t>The common output indicators can be also used to answer the PSEQ. The selection of output indicators for answering the evaluation question is done in MS.</w:t>
      </w:r>
    </w:p>
  </w:footnote>
  <w:footnote w:id="146">
    <w:p w14:paraId="4194CAF6" w14:textId="77777777" w:rsidR="00692535" w:rsidRPr="003726BE" w:rsidRDefault="00692535" w:rsidP="00E95C99">
      <w:pPr>
        <w:pStyle w:val="FootnoteText"/>
        <w:rPr>
          <w:rFonts w:cs="Arial"/>
          <w:color w:val="6F6F6F" w:themeColor="text1"/>
          <w:szCs w:val="16"/>
          <w:lang w:val="en-US"/>
        </w:rPr>
      </w:pPr>
      <w:r w:rsidRPr="003726BE">
        <w:rPr>
          <w:rStyle w:val="FootnoteReference"/>
        </w:rPr>
        <w:footnoteRef/>
      </w:r>
      <w:r w:rsidRPr="00CB34A3">
        <w:rPr>
          <w:color w:val="6F6F6F" w:themeColor="text1"/>
          <w:lang w:val="en-GB"/>
        </w:rPr>
        <w:t xml:space="preserve"> The MS can also apply programme specific output indicators to answer the PSEQ.  </w:t>
      </w:r>
    </w:p>
  </w:footnote>
  <w:footnote w:id="147">
    <w:p w14:paraId="043B1B02" w14:textId="77777777" w:rsidR="00692535" w:rsidRPr="003726BE" w:rsidRDefault="00692535" w:rsidP="00080C42">
      <w:pPr>
        <w:pStyle w:val="FootnoteText"/>
        <w:rPr>
          <w:lang w:val="en-GB"/>
        </w:rPr>
      </w:pPr>
      <w:r w:rsidRPr="003726BE">
        <w:rPr>
          <w:rStyle w:val="FootnoteReference"/>
        </w:rPr>
        <w:footnoteRef/>
      </w:r>
      <w:r w:rsidRPr="00CB34A3">
        <w:rPr>
          <w:sz w:val="8"/>
          <w:lang w:val="en-GB"/>
        </w:rPr>
        <w:t xml:space="preserve"> </w:t>
      </w:r>
      <w:r w:rsidRPr="00CB34A3">
        <w:rPr>
          <w:lang w:val="en-GB"/>
        </w:rPr>
        <w:t xml:space="preserve">The common indicators can be also used to answer PSEQ. Decision which common indicators could be used in done in MS.  </w:t>
      </w:r>
    </w:p>
  </w:footnote>
  <w:footnote w:id="148">
    <w:p w14:paraId="6A87D4D2" w14:textId="77777777" w:rsidR="00692535" w:rsidRPr="003571F4" w:rsidRDefault="00692535" w:rsidP="00080C42">
      <w:pPr>
        <w:pStyle w:val="FootnoteText"/>
        <w:rPr>
          <w:vanish/>
          <w:lang w:val="en-GB"/>
        </w:rPr>
      </w:pPr>
      <w:r>
        <w:rPr>
          <w:rStyle w:val="FootnoteReference"/>
          <w:vanish/>
        </w:rPr>
        <w:footnoteRef/>
      </w:r>
      <w:r w:rsidRPr="00CB34A3">
        <w:rPr>
          <w:vanish/>
          <w:lang w:val="en-GB"/>
        </w:rPr>
        <w:t xml:space="preserve"> PSEQ is answered with programme specific indicators which are developed in MS. </w:t>
      </w:r>
    </w:p>
  </w:footnote>
  <w:footnote w:id="149">
    <w:p w14:paraId="77FC65DC" w14:textId="77777777" w:rsidR="00692535" w:rsidRPr="003571F4" w:rsidRDefault="00692535" w:rsidP="00080C42">
      <w:pPr>
        <w:pStyle w:val="FootnoteText"/>
        <w:rPr>
          <w:vanish/>
          <w:lang w:val="en-GB"/>
        </w:rPr>
      </w:pPr>
      <w:r>
        <w:rPr>
          <w:rStyle w:val="FootnoteReference"/>
          <w:vanish/>
        </w:rPr>
        <w:footnoteRef/>
      </w:r>
      <w:r w:rsidRPr="00CB34A3">
        <w:rPr>
          <w:vanish/>
          <w:lang w:val="en-GB"/>
        </w:rPr>
        <w:t xml:space="preserve"> Explain problems faced by the evaluator during the assessment, e.g. data and information availability, timing and coordination issues, etc. which might have threatened the reliability and validity of evaluation findings.  </w:t>
      </w:r>
    </w:p>
  </w:footnote>
  <w:footnote w:id="150">
    <w:p w14:paraId="28DCA681" w14:textId="77777777" w:rsidR="00692535" w:rsidRPr="003571F4" w:rsidRDefault="00692535" w:rsidP="00080C42">
      <w:pPr>
        <w:pStyle w:val="FootnoteText"/>
        <w:rPr>
          <w:vanish/>
          <w:lang w:val="en-GB"/>
        </w:rPr>
      </w:pPr>
      <w:r>
        <w:rPr>
          <w:rStyle w:val="FootnoteReference"/>
          <w:vanish/>
        </w:rPr>
        <w:footnoteRef/>
      </w:r>
      <w:r w:rsidRPr="00CB34A3">
        <w:rPr>
          <w:vanish/>
          <w:lang w:val="en-GB"/>
        </w:rPr>
        <w:t xml:space="preserve"> On the basis of the evidence resulting from the analysis presented under points 4 and 5.</w:t>
      </w:r>
    </w:p>
  </w:footnote>
  <w:footnote w:id="151">
    <w:p w14:paraId="33EC66D3" w14:textId="77777777" w:rsidR="00692535" w:rsidRPr="00CD05CD" w:rsidRDefault="00692535" w:rsidP="00080C42">
      <w:pPr>
        <w:pStyle w:val="FootnoteText"/>
        <w:rPr>
          <w:lang w:val="en-GB"/>
        </w:rPr>
      </w:pPr>
      <w:r>
        <w:rPr>
          <w:rStyle w:val="FootnoteReference"/>
          <w:vanish/>
        </w:rPr>
        <w:footnoteRef/>
      </w:r>
      <w:r w:rsidRPr="00CB34A3">
        <w:rPr>
          <w:vanish/>
          <w:lang w:val="en-GB"/>
        </w:rPr>
        <w:t xml:space="preserve"> On the basis of the information collected under points 4 and 5 and the answer given under point 7.</w:t>
      </w:r>
    </w:p>
  </w:footnote>
  <w:footnote w:id="152">
    <w:p w14:paraId="0F317CD4" w14:textId="77777777" w:rsidR="00692535" w:rsidRPr="00CB34A3" w:rsidRDefault="00692535" w:rsidP="00E95C99">
      <w:pPr>
        <w:pStyle w:val="FootnoteText"/>
        <w:jc w:val="both"/>
        <w:rPr>
          <w:rFonts w:cs="Arial"/>
        </w:rPr>
      </w:pPr>
      <w:r>
        <w:rPr>
          <w:rStyle w:val="FootnoteReference"/>
        </w:rPr>
        <w:footnoteRef/>
      </w:r>
      <w:r>
        <w:t xml:space="preserve"> Inserire il numero e il titolo dell'aspetto specifico del programma, ad esempio 2C - "Migliorare le prestazioni economiche e la partecipazione al mercato delle aziende forestali".</w:t>
      </w:r>
    </w:p>
  </w:footnote>
  <w:footnote w:id="153">
    <w:p w14:paraId="788E9220" w14:textId="77777777" w:rsidR="00692535" w:rsidRPr="00CB34A3" w:rsidRDefault="00692535" w:rsidP="00E95C99">
      <w:pPr>
        <w:pStyle w:val="FootnoteText"/>
        <w:jc w:val="both"/>
        <w:rPr>
          <w:rFonts w:cs="Arial"/>
        </w:rPr>
      </w:pPr>
      <w:r>
        <w:rPr>
          <w:rStyle w:val="FootnoteReference"/>
        </w:rPr>
        <w:footnoteRef/>
      </w:r>
      <w:r>
        <w:t xml:space="preserve"> Inserire il titolo della domanda di valutazione specifica del programma, ad esempio "In che misura gli interventi del PSR hanno sostenuto il miglioramento delle prestazioni economiche e della partecipazione al mercato delle aziende forestali?".</w:t>
      </w:r>
    </w:p>
  </w:footnote>
  <w:footnote w:id="154">
    <w:p w14:paraId="1088CFE9" w14:textId="77777777" w:rsidR="00692535" w:rsidRPr="00CB34A3" w:rsidRDefault="00692535" w:rsidP="00E95C99">
      <w:pPr>
        <w:pStyle w:val="FootnoteText"/>
        <w:jc w:val="both"/>
        <w:rPr>
          <w:rFonts w:cs="Arial"/>
        </w:rPr>
      </w:pPr>
      <w:r>
        <w:rPr>
          <w:rStyle w:val="FootnoteReference"/>
        </w:rPr>
        <w:footnoteRef/>
      </w:r>
      <w:r>
        <w:t xml:space="preserve"> Spiegare le ragioni per cui l'aspetto specifico del programma è stato introdotto nel PSR, collegandolo alla valutazione SWOT e delle esigenze e alla logica complessiva di intervento del PSR. </w:t>
      </w:r>
    </w:p>
  </w:footnote>
  <w:footnote w:id="155">
    <w:p w14:paraId="6B9CE1E7" w14:textId="77777777" w:rsidR="00692535" w:rsidRPr="00CB34A3" w:rsidRDefault="00692535" w:rsidP="00E95C99">
      <w:pPr>
        <w:pStyle w:val="FootnoteText"/>
        <w:jc w:val="both"/>
        <w:rPr>
          <w:rFonts w:cs="Arial"/>
          <w:szCs w:val="16"/>
        </w:rPr>
      </w:pPr>
      <w:r>
        <w:rPr>
          <w:rStyle w:val="FootnoteReference"/>
        </w:rPr>
        <w:footnoteRef/>
      </w:r>
      <w:r>
        <w:t xml:space="preserve"> Ciò include le misure/sottomisure che hanno mostrato un contributo secondario durante la valutazione, non solo quelle che sono state progettate per contribuire ulteriormente ad aspetti specifici diversi da quelli programmati durante la progettazione del programma.</w:t>
      </w:r>
    </w:p>
  </w:footnote>
  <w:footnote w:id="156">
    <w:p w14:paraId="7C9346F6" w14:textId="77777777" w:rsidR="00692535" w:rsidRPr="00CB34A3" w:rsidRDefault="00692535" w:rsidP="00E95C99">
      <w:pPr>
        <w:pStyle w:val="FootnoteText"/>
        <w:jc w:val="both"/>
        <w:rPr>
          <w:rFonts w:cs="Arial"/>
          <w:szCs w:val="16"/>
        </w:rPr>
      </w:pPr>
      <w:r>
        <w:rPr>
          <w:rStyle w:val="FootnoteReference"/>
        </w:rPr>
        <w:footnoteRef/>
      </w:r>
      <w:r>
        <w:t xml:space="preserve"> Indicatori di risultato specifici per programma vengono utilizzati per rispondere alla DVSP e se il successo è specificato con criteri di giudizio che non si misurano con indicatori comuni.</w:t>
      </w:r>
    </w:p>
  </w:footnote>
  <w:footnote w:id="157">
    <w:p w14:paraId="391648DF" w14:textId="77777777" w:rsidR="00692535" w:rsidRPr="00CB34A3" w:rsidRDefault="00692535" w:rsidP="00E95C99">
      <w:pPr>
        <w:pStyle w:val="FootnoteText"/>
        <w:jc w:val="both"/>
        <w:rPr>
          <w:rFonts w:cs="Arial"/>
          <w:szCs w:val="16"/>
        </w:rPr>
      </w:pPr>
      <w:r>
        <w:rPr>
          <w:rStyle w:val="FootnoteReference"/>
        </w:rPr>
        <w:footnoteRef/>
      </w:r>
      <w:r>
        <w:t xml:space="preserve"> I criteri di giudizio specifici del programma specificano il successo dell'intervento ai sensi del FA del programma e sono collegati a indicatori comuni e specifici del programma utilizzati per rispondere alla DVSP.</w:t>
      </w:r>
    </w:p>
  </w:footnote>
  <w:footnote w:id="158">
    <w:p w14:paraId="26F67672" w14:textId="77777777" w:rsidR="00692535" w:rsidRPr="00CB34A3" w:rsidRDefault="00692535" w:rsidP="00E95C99">
      <w:pPr>
        <w:pStyle w:val="FootnoteText"/>
        <w:jc w:val="both"/>
        <w:rPr>
          <w:rFonts w:cs="Arial"/>
          <w:szCs w:val="16"/>
        </w:rPr>
      </w:pPr>
      <w:r>
        <w:rPr>
          <w:rStyle w:val="FootnoteReference"/>
        </w:rPr>
        <w:footnoteRef/>
      </w:r>
      <w:r>
        <w:t xml:space="preserve"> Elencare gli indicatori di risultato comuni utilizzati nel rispondere al QVC. Assicurarsi che gli indicatori siano elencati in modo coerente con i criteri di giudizio e collocati nella stessa linea.</w:t>
      </w:r>
    </w:p>
  </w:footnote>
  <w:footnote w:id="159">
    <w:p w14:paraId="582AA850" w14:textId="77777777" w:rsidR="00692535" w:rsidRPr="00CB34A3" w:rsidRDefault="00692535" w:rsidP="00E95C99">
      <w:pPr>
        <w:pStyle w:val="FootnoteText"/>
        <w:jc w:val="both"/>
        <w:rPr>
          <w:rFonts w:cs="Arial"/>
          <w:szCs w:val="16"/>
        </w:rPr>
      </w:pPr>
      <w:r>
        <w:rPr>
          <w:rStyle w:val="FootnoteReference"/>
        </w:rPr>
        <w:footnoteRef/>
      </w:r>
      <w:r>
        <w:t xml:space="preserve"> Elencare gli indicatori di risultato specifici per programma utilizzati per rispondere alla DVSP in maniera coerente con i criteri di giudizio specifici del programma.</w:t>
      </w:r>
    </w:p>
  </w:footnote>
  <w:footnote w:id="160">
    <w:p w14:paraId="7787E80A" w14:textId="77777777" w:rsidR="00692535" w:rsidRPr="00CB34A3" w:rsidRDefault="00692535" w:rsidP="00E95C99">
      <w:pPr>
        <w:pStyle w:val="FootnoteText"/>
        <w:jc w:val="both"/>
        <w:rPr>
          <w:rFonts w:cs="Arial"/>
          <w:szCs w:val="16"/>
        </w:rPr>
      </w:pPr>
      <w:r>
        <w:rPr>
          <w:rStyle w:val="FootnoteReference"/>
        </w:rPr>
        <w:footnoteRef/>
      </w:r>
      <w:r>
        <w:t xml:space="preserve"> Qualora lo stesso metodo sia stato utilizzato per rispondere a questa DVSP così come per rispondere ad altre domande di valutazione, non è necessario ripetere la descrizione in tutte le rispettive tabelle. È sufficiente fornire soltanto il riferimento alla rispettiva tabella del modello SFC, punto 7, nella quale il metodo è descritto in dettaglio. </w:t>
      </w:r>
    </w:p>
  </w:footnote>
  <w:footnote w:id="161">
    <w:p w14:paraId="33DDC5D0" w14:textId="77777777" w:rsidR="00692535" w:rsidRPr="00CB34A3" w:rsidRDefault="00692535" w:rsidP="00E95C99">
      <w:pPr>
        <w:pStyle w:val="FootnoteText"/>
        <w:jc w:val="both"/>
        <w:rPr>
          <w:rFonts w:cs="Arial"/>
          <w:szCs w:val="16"/>
        </w:rPr>
      </w:pPr>
      <w:r>
        <w:rPr>
          <w:rStyle w:val="FootnoteReference"/>
        </w:rPr>
        <w:footnoteRef/>
      </w:r>
      <w:r>
        <w:t xml:space="preserve"> I metodi quantitativi sono applicabili alla valutazione di tutti gli indicatori comuni di risultato complementari e agli indicatori specifici per programma di natura analoga, ad eccezione di quelli che possono essere dedotti direttamente dal sistema di monitoraggio.  </w:t>
      </w:r>
    </w:p>
  </w:footnote>
  <w:footnote w:id="162">
    <w:p w14:paraId="5DFA91E8" w14:textId="77777777" w:rsidR="00692535" w:rsidRPr="00CB34A3" w:rsidRDefault="00692535" w:rsidP="00E95C99">
      <w:pPr>
        <w:pStyle w:val="FootnoteText"/>
        <w:jc w:val="both"/>
        <w:rPr>
          <w:rFonts w:cs="Arial"/>
          <w:szCs w:val="16"/>
        </w:rPr>
      </w:pPr>
      <w:r>
        <w:rPr>
          <w:rStyle w:val="FootnoteReference"/>
        </w:rPr>
        <w:footnoteRef/>
      </w:r>
      <w:r>
        <w:t xml:space="preserve"> Nel caso il cui lo stesso metodo sia stato utilizzato per diversi indicatori, è necessario fornire l'elenco di tali indicatori.</w:t>
      </w:r>
    </w:p>
  </w:footnote>
  <w:footnote w:id="163">
    <w:p w14:paraId="70BC46D9" w14:textId="77777777" w:rsidR="00692535" w:rsidRPr="00626F04" w:rsidRDefault="00692535" w:rsidP="00E95C99">
      <w:pPr>
        <w:spacing w:after="0"/>
        <w:rPr>
          <w:rFonts w:cs="Arial"/>
          <w:color w:val="6F6F6F" w:themeColor="text1"/>
          <w:sz w:val="16"/>
          <w:szCs w:val="16"/>
        </w:rPr>
      </w:pPr>
      <w:r>
        <w:rPr>
          <w:rStyle w:val="FootnoteReference"/>
        </w:rPr>
        <w:footnoteRef/>
      </w:r>
      <w:r>
        <w:rPr>
          <w:sz w:val="16"/>
        </w:rPr>
        <w:t xml:space="preserve"> </w:t>
      </w:r>
      <w:r>
        <w:rPr>
          <w:color w:val="6F6F6F" w:themeColor="text1"/>
          <w:sz w:val="16"/>
        </w:rPr>
        <w:t xml:space="preserve">Spiegare le motivazioni che hanno determinato l'utilizzo dei metodi qualitativi per valutare i risultati del PSR legati al FA specifico del programma: analisi qualitativa introduttiva, triangolazione di risultati quantitativi, nessun dato disponibile (ad esempio, assenza di utilizzo del PSR ai sensi del FA), ecc. </w:t>
      </w:r>
    </w:p>
  </w:footnote>
  <w:footnote w:id="164">
    <w:p w14:paraId="01F6DD4F" w14:textId="77777777" w:rsidR="00692535" w:rsidRPr="00CB34A3" w:rsidRDefault="00692535" w:rsidP="00E95C99">
      <w:pPr>
        <w:pStyle w:val="FootnoteText"/>
        <w:jc w:val="both"/>
        <w:rPr>
          <w:rFonts w:cs="Arial"/>
          <w:color w:val="6F6F6F" w:themeColor="text1"/>
        </w:rPr>
      </w:pPr>
      <w:r>
        <w:rPr>
          <w:rStyle w:val="FootnoteReference"/>
          <w:color w:val="6F6F6F" w:themeColor="text1"/>
        </w:rPr>
        <w:footnoteRef/>
      </w:r>
      <w:r>
        <w:rPr>
          <w:color w:val="6F6F6F" w:themeColor="text1"/>
        </w:rPr>
        <w:t xml:space="preserve"> Nel caso il cui lo stesso metodo sia stato utilizzato per diversi indicatori, è necessario fornire l'elenco di tali indicatori.</w:t>
      </w:r>
    </w:p>
  </w:footnote>
  <w:footnote w:id="165">
    <w:p w14:paraId="7694D785" w14:textId="77777777" w:rsidR="00692535" w:rsidRPr="00CB34A3" w:rsidRDefault="00692535" w:rsidP="00E95C99">
      <w:pPr>
        <w:pStyle w:val="FootnoteText"/>
        <w:jc w:val="both"/>
        <w:rPr>
          <w:rFonts w:cs="Arial"/>
          <w:color w:val="6F6F6F" w:themeColor="text1"/>
        </w:rPr>
      </w:pPr>
      <w:r>
        <w:rPr>
          <w:rStyle w:val="FootnoteReference"/>
          <w:color w:val="6F6F6F" w:themeColor="text1"/>
        </w:rPr>
        <w:footnoteRef/>
      </w:r>
      <w:r>
        <w:rPr>
          <w:color w:val="6F6F6F" w:themeColor="text1"/>
        </w:rPr>
        <w:t xml:space="preserve"> I valori sono basati sui metodi quantitativi descritti in precedenza.</w:t>
      </w:r>
    </w:p>
  </w:footnote>
  <w:footnote w:id="166">
    <w:p w14:paraId="471CEF85" w14:textId="77777777" w:rsidR="00692535" w:rsidRPr="00CB34A3" w:rsidRDefault="00692535" w:rsidP="00E95C99">
      <w:pPr>
        <w:pStyle w:val="FootnoteText"/>
        <w:jc w:val="both"/>
        <w:rPr>
          <w:rFonts w:cs="Arial"/>
          <w:color w:val="6F6F6F" w:themeColor="text1"/>
        </w:rPr>
      </w:pPr>
      <w:r>
        <w:rPr>
          <w:rStyle w:val="FootnoteReference"/>
          <w:color w:val="6F6F6F" w:themeColor="text1"/>
        </w:rPr>
        <w:footnoteRef/>
      </w:r>
      <w:r>
        <w:rPr>
          <w:color w:val="6F6F6F" w:themeColor="text1"/>
        </w:rPr>
        <w:t xml:space="preserve"> Il valore è aggregato dalla banca dati delle operazioni del pilastro II per indicatori di prodotto e/o da banche dati di statistiche per gli indicatori comuni o gli indicatori specifici per programma, se vengono utilizzati per rispondere alla DVSP.</w:t>
      </w:r>
    </w:p>
  </w:footnote>
  <w:footnote w:id="167">
    <w:p w14:paraId="3C1DA8F1" w14:textId="77777777" w:rsidR="00692535" w:rsidRPr="00CB34A3" w:rsidRDefault="00692535" w:rsidP="00E95C99">
      <w:pPr>
        <w:pStyle w:val="FootnoteText"/>
        <w:jc w:val="both"/>
        <w:rPr>
          <w:rFonts w:cs="Arial"/>
        </w:rPr>
      </w:pPr>
      <w:r>
        <w:rPr>
          <w:rStyle w:val="FootnoteReference"/>
          <w:color w:val="6F6F6F" w:themeColor="text1"/>
        </w:rPr>
        <w:footnoteRef/>
      </w:r>
      <w:r>
        <w:rPr>
          <w:color w:val="6F6F6F" w:themeColor="text1"/>
        </w:rPr>
        <w:t xml:space="preserve"> Questa colonna viene compilata per gli indicatori comuni e specifici per programma se sono espressi come rapporto. </w:t>
      </w:r>
    </w:p>
  </w:footnote>
  <w:footnote w:id="168">
    <w:p w14:paraId="58E70768" w14:textId="77777777" w:rsidR="00692535" w:rsidRPr="00626F04" w:rsidRDefault="00692535" w:rsidP="00626F04">
      <w:pPr>
        <w:spacing w:after="0"/>
        <w:rPr>
          <w:rFonts w:cs="Arial"/>
          <w:color w:val="6F6F6F" w:themeColor="text1"/>
          <w:sz w:val="16"/>
          <w:szCs w:val="16"/>
        </w:rPr>
      </w:pPr>
      <w:r>
        <w:rPr>
          <w:i/>
          <w:color w:val="6F6F6F" w:themeColor="text1"/>
          <w:sz w:val="12"/>
        </w:rPr>
        <w:footnoteRef/>
      </w:r>
      <w:r>
        <w:rPr>
          <w:color w:val="6F6F6F" w:themeColor="text1"/>
          <w:sz w:val="16"/>
        </w:rPr>
        <w:t xml:space="preserve"> Questa colonna viene compilata per i valori lordi degli indicatori comuni e specifici per programma, se applicabile. Il valore lordo è il valore osservato all'interno del gruppo di beneficiari del PSR. Il valore lordo degli indicatori è inserito anche nel caso in cui il valore netto sia stato inserito nella tabella. Qualora vi siano contributi secondari o contributi LEADER/CLLD al valore dell'indicatore, si prega di fornire spiegazioni in merito al punto 6 "Risposta alle domande di valutazione".</w:t>
      </w:r>
    </w:p>
  </w:footnote>
  <w:footnote w:id="169">
    <w:p w14:paraId="3214032A" w14:textId="77777777" w:rsidR="00692535" w:rsidRPr="00626F04" w:rsidRDefault="00692535" w:rsidP="00B6293F">
      <w:pPr>
        <w:spacing w:before="0" w:after="0" w:line="240" w:lineRule="auto"/>
        <w:rPr>
          <w:rFonts w:cs="Arial"/>
          <w:color w:val="6F6F6F" w:themeColor="text1"/>
          <w:sz w:val="16"/>
          <w:szCs w:val="16"/>
        </w:rPr>
      </w:pPr>
      <w:r>
        <w:rPr>
          <w:i/>
          <w:color w:val="6F6F6F" w:themeColor="text1"/>
          <w:sz w:val="12"/>
        </w:rPr>
        <w:footnoteRef/>
      </w:r>
      <w:r>
        <w:rPr>
          <w:color w:val="6F6F6F" w:themeColor="text1"/>
          <w:sz w:val="16"/>
        </w:rPr>
        <w:t xml:space="preserve"> Questa colonna viene compilata per i valori netti degli indicatori comuni e specifici per programma, se applicabile. Questa colonna viene compilata per i valori netti degli indicatori comuni e specifici per programma, se applicabile. Il valore netto è il valore dell'indicatore attribuito all'intervento del PSR. Cfr. Linee guida sulla valutazione dei risultati del PSR, capitolo 7.2. Qualora vi siano contributi secondari o contributi LEADER/CLLD al valore dell'indicatore, si prega di fornire spiegazioni in merito al punto 6 "Risposta alle domande di valutazione". </w:t>
      </w:r>
    </w:p>
  </w:footnote>
  <w:footnote w:id="170">
    <w:p w14:paraId="44CA28B1" w14:textId="77777777" w:rsidR="00692535" w:rsidRPr="00626F04" w:rsidRDefault="00692535" w:rsidP="00626F04">
      <w:pPr>
        <w:spacing w:after="0"/>
        <w:rPr>
          <w:rFonts w:cs="Arial"/>
          <w:color w:val="6F6F6F" w:themeColor="text1"/>
          <w:sz w:val="16"/>
          <w:szCs w:val="16"/>
        </w:rPr>
      </w:pPr>
      <w:r>
        <w:rPr>
          <w:i/>
          <w:color w:val="6F6F6F" w:themeColor="text1"/>
          <w:sz w:val="12"/>
        </w:rPr>
        <w:footnoteRef/>
      </w:r>
      <w:r>
        <w:rPr>
          <w:color w:val="6F6F6F" w:themeColor="text1"/>
          <w:sz w:val="16"/>
        </w:rPr>
        <w:t xml:space="preserve"> Tutte le fonti di dati e informazioni utilizzate per il calcolo di indicatori dovrebbero essere elencate qui, ad esempio, banca dati delle operazioni del pilastro II, statistiche EU/nazionali/regionali, GIS, ecc. </w:t>
      </w:r>
    </w:p>
  </w:footnote>
  <w:footnote w:id="171">
    <w:p w14:paraId="1A87DE40" w14:textId="77777777" w:rsidR="00692535" w:rsidRPr="00626F04" w:rsidRDefault="00692535" w:rsidP="00626F04">
      <w:pPr>
        <w:spacing w:after="0"/>
        <w:rPr>
          <w:rFonts w:cs="Arial"/>
          <w:color w:val="6F6F6F" w:themeColor="text1"/>
          <w:sz w:val="16"/>
          <w:szCs w:val="16"/>
        </w:rPr>
      </w:pPr>
      <w:r>
        <w:rPr>
          <w:i/>
          <w:color w:val="6F6F6F" w:themeColor="text1"/>
          <w:sz w:val="12"/>
        </w:rPr>
        <w:footnoteRef/>
      </w:r>
      <w:r>
        <w:rPr>
          <w:color w:val="6F6F6F" w:themeColor="text1"/>
          <w:sz w:val="16"/>
        </w:rPr>
        <w:t xml:space="preserve"> Si possono utilizzare anche indicatori comuni di prodotto per rispondere alla DVSP. La selezione degli indicatori di prodotto per rispondere alla domanda di valutazione avviene nello SM.</w:t>
      </w:r>
    </w:p>
  </w:footnote>
  <w:footnote w:id="172">
    <w:p w14:paraId="69660FD2" w14:textId="77777777" w:rsidR="00692535" w:rsidRPr="00CB34A3" w:rsidRDefault="00692535" w:rsidP="00626F04">
      <w:pPr>
        <w:pStyle w:val="FootnoteText"/>
        <w:jc w:val="both"/>
        <w:rPr>
          <w:rFonts w:cs="Arial"/>
        </w:rPr>
      </w:pPr>
      <w:r>
        <w:rPr>
          <w:i/>
          <w:sz w:val="12"/>
        </w:rPr>
        <w:footnoteRef/>
      </w:r>
      <w:r>
        <w:t xml:space="preserve"> Lo SM può applicare anche indicatori di prodotto specifici per programma per rispondere alla DVSP.  </w:t>
      </w:r>
    </w:p>
  </w:footnote>
  <w:footnote w:id="173">
    <w:p w14:paraId="0B79CB93" w14:textId="77777777" w:rsidR="00692535" w:rsidRPr="00CB34A3" w:rsidRDefault="00692535" w:rsidP="00E95C99">
      <w:pPr>
        <w:pStyle w:val="FootnoteText"/>
        <w:jc w:val="both"/>
        <w:rPr>
          <w:rFonts w:cs="Arial"/>
        </w:rPr>
      </w:pPr>
      <w:r>
        <w:rPr>
          <w:rStyle w:val="FootnoteReference"/>
        </w:rPr>
        <w:footnoteRef/>
      </w:r>
      <w:r>
        <w:t xml:space="preserve"> Si possono utilizzare anche indicatori comuni per rispondere alla DVSP. La decisione in merito a quali indicatori comuni possano essere utilizzati avviene nello SM.  </w:t>
      </w:r>
    </w:p>
  </w:footnote>
  <w:footnote w:id="174">
    <w:p w14:paraId="5A838989" w14:textId="77777777" w:rsidR="00692535" w:rsidRPr="00CB34A3" w:rsidRDefault="00692535" w:rsidP="00E95C99">
      <w:pPr>
        <w:pStyle w:val="FootnoteText"/>
        <w:jc w:val="both"/>
        <w:rPr>
          <w:rFonts w:cs="Arial"/>
        </w:rPr>
      </w:pPr>
      <w:r>
        <w:rPr>
          <w:rStyle w:val="FootnoteReference"/>
        </w:rPr>
        <w:footnoteRef/>
      </w:r>
      <w:r>
        <w:t xml:space="preserve"> La risposta alla DVSP viene fornita utilizzando indicatori specifici per programma sviluppati nello SM. </w:t>
      </w:r>
    </w:p>
  </w:footnote>
  <w:footnote w:id="175">
    <w:p w14:paraId="03404363" w14:textId="77777777" w:rsidR="00692535" w:rsidRPr="00CB34A3" w:rsidRDefault="00692535" w:rsidP="00E95C99">
      <w:pPr>
        <w:pStyle w:val="FootnoteText"/>
        <w:jc w:val="both"/>
        <w:rPr>
          <w:rFonts w:cs="Arial"/>
        </w:rPr>
      </w:pPr>
      <w:r>
        <w:rPr>
          <w:rStyle w:val="FootnoteReference"/>
        </w:rPr>
        <w:footnoteRef/>
      </w:r>
      <w:r>
        <w:t xml:space="preserve"> Spiegare i problemi incontrati dal valutatore durante la valutazione, ad esempio questioni legate alla disponibilità di dati e informazioni, alle tempistiche e al coordinamento, ecc. che potrebbero aver minacciato l'affidabilità e la validità dei risultati della valutazione.  </w:t>
      </w:r>
    </w:p>
  </w:footnote>
  <w:footnote w:id="176">
    <w:p w14:paraId="5365CEAF" w14:textId="77777777" w:rsidR="00692535" w:rsidRPr="00CB34A3" w:rsidRDefault="00692535" w:rsidP="00E95C99">
      <w:pPr>
        <w:pStyle w:val="FootnoteText"/>
        <w:jc w:val="both"/>
        <w:rPr>
          <w:rFonts w:cs="Arial"/>
        </w:rPr>
      </w:pPr>
      <w:r>
        <w:rPr>
          <w:rStyle w:val="FootnoteReference"/>
        </w:rPr>
        <w:footnoteRef/>
      </w:r>
      <w:r>
        <w:t xml:space="preserve"> Sulla base delle prove risultanti dall'analisi presentata ai punti 4 e 5.</w:t>
      </w:r>
    </w:p>
  </w:footnote>
  <w:footnote w:id="177">
    <w:p w14:paraId="03B6DF61" w14:textId="77777777" w:rsidR="00692535" w:rsidRPr="00CB34A3" w:rsidRDefault="00692535" w:rsidP="00E95C99">
      <w:pPr>
        <w:pStyle w:val="FootnoteText"/>
        <w:jc w:val="both"/>
        <w:rPr>
          <w:rFonts w:cs="Arial"/>
        </w:rPr>
      </w:pPr>
      <w:r>
        <w:rPr>
          <w:rStyle w:val="FootnoteReference"/>
        </w:rPr>
        <w:footnoteRef/>
      </w:r>
      <w:r>
        <w:t xml:space="preserve"> Sulla base delle informazioni raccolte ai punti 4 e 5 e della risposta data al punto 7.</w:t>
      </w:r>
    </w:p>
  </w:footnote>
  <w:footnote w:id="178">
    <w:p w14:paraId="19A44184" w14:textId="77777777" w:rsidR="00692535" w:rsidRPr="003726BE" w:rsidRDefault="00692535" w:rsidP="002B2ED6">
      <w:pPr>
        <w:pStyle w:val="FootnoteText"/>
        <w:rPr>
          <w:rFonts w:cs="Arial"/>
          <w:lang w:val="en-US"/>
        </w:rPr>
      </w:pPr>
      <w:r w:rsidRPr="003726BE">
        <w:rPr>
          <w:rStyle w:val="FootnoteReference"/>
        </w:rPr>
        <w:footnoteRef/>
      </w:r>
      <w:r w:rsidRPr="00CB34A3">
        <w:rPr>
          <w:lang w:val="en-GB"/>
        </w:rPr>
        <w:t xml:space="preserve"> Working Paper/UPDATED Guidelines for strategic programming for the period 2014-2020</w:t>
      </w:r>
    </w:p>
  </w:footnote>
  <w:footnote w:id="179">
    <w:p w14:paraId="4D721E0C" w14:textId="77777777" w:rsidR="00692535" w:rsidRPr="003726BE" w:rsidRDefault="00692535" w:rsidP="002B2ED6">
      <w:pPr>
        <w:pStyle w:val="FootnoteText"/>
        <w:rPr>
          <w:rFonts w:cs="Arial"/>
          <w:lang w:val="en-US"/>
        </w:rPr>
      </w:pPr>
      <w:r w:rsidRPr="003726BE">
        <w:rPr>
          <w:rStyle w:val="FootnoteReference"/>
        </w:rPr>
        <w:footnoteRef/>
      </w:r>
      <w:r w:rsidRPr="00CB34A3">
        <w:rPr>
          <w:lang w:val="en-US"/>
        </w:rPr>
        <w:t xml:space="preserve"> Working document: Target indicators fiches for Pillar II (Priority 1 – 6), Working document: Complementary result indicators fiches for Pillar II, Working document: Context indicators fiches, Working document: Impact indicators fiches and Working document: Defining proxy indicators for rural development programmes  </w:t>
      </w:r>
    </w:p>
  </w:footnote>
  <w:footnote w:id="180">
    <w:p w14:paraId="2DF79BEF" w14:textId="77777777" w:rsidR="00692535" w:rsidRPr="003726BE" w:rsidRDefault="00692535" w:rsidP="002B2ED6">
      <w:pPr>
        <w:pStyle w:val="FootnoteText"/>
        <w:rPr>
          <w:rFonts w:cs="Arial"/>
          <w:lang w:val="en-US"/>
        </w:rPr>
      </w:pPr>
      <w:r w:rsidRPr="003726BE">
        <w:rPr>
          <w:rStyle w:val="FootnoteReference"/>
        </w:rPr>
        <w:footnoteRef/>
      </w:r>
      <w:r w:rsidRPr="00CB34A3">
        <w:rPr>
          <w:lang w:val="en-GB"/>
        </w:rPr>
        <w:t xml:space="preserve"> Guidance fiche Performance framework review and reserve in 2014 – 2020, </w:t>
      </w:r>
      <w:hyperlink r:id="rId18">
        <w:r w:rsidRPr="00CB34A3">
          <w:rPr>
            <w:rStyle w:val="Hyperlink"/>
            <w:lang w:val="en-GB"/>
          </w:rPr>
          <w:t>http://ec.europa.eu/fisheries/reform/emff/doc/09-performance-framework_en.pdf</w:t>
        </w:r>
      </w:hyperlink>
    </w:p>
  </w:footnote>
  <w:footnote w:id="181">
    <w:p w14:paraId="0F25F70B" w14:textId="77777777" w:rsidR="00692535" w:rsidRPr="003726BE" w:rsidRDefault="00692535" w:rsidP="002B2ED6">
      <w:pPr>
        <w:pStyle w:val="FootnoteText"/>
        <w:rPr>
          <w:rFonts w:cs="Arial"/>
          <w:lang w:val="en-US"/>
        </w:rPr>
      </w:pPr>
      <w:r w:rsidRPr="003726BE">
        <w:rPr>
          <w:rStyle w:val="FootnoteReference"/>
        </w:rPr>
        <w:footnoteRef/>
      </w:r>
      <w:r w:rsidRPr="00CB34A3">
        <w:rPr>
          <w:lang w:val="en-GB"/>
        </w:rPr>
        <w:t xml:space="preserve"> Working paper: Common evaluation questions for rural development programmes 2014-2020, </w:t>
      </w:r>
      <w:hyperlink r:id="rId19">
        <w:r w:rsidRPr="00CB34A3">
          <w:rPr>
            <w:rStyle w:val="Hyperlink"/>
            <w:lang w:val="en-GB"/>
          </w:rPr>
          <w:t>https://enrd.ec.europa.eu/en/evaluation-helpdesks-publications</w:t>
        </w:r>
      </w:hyperlink>
    </w:p>
  </w:footnote>
  <w:footnote w:id="182">
    <w:p w14:paraId="3E8324F5" w14:textId="77777777" w:rsidR="00692535" w:rsidRPr="003726BE" w:rsidRDefault="00692535" w:rsidP="002B2ED6">
      <w:pPr>
        <w:pStyle w:val="FootnoteText"/>
        <w:rPr>
          <w:rFonts w:cs="Arial"/>
          <w:lang w:val="en-US"/>
        </w:rPr>
      </w:pPr>
      <w:r w:rsidRPr="003726BE">
        <w:rPr>
          <w:rStyle w:val="FootnoteReference"/>
        </w:rPr>
        <w:footnoteRef/>
      </w:r>
      <w:r w:rsidRPr="00CB34A3">
        <w:rPr>
          <w:lang w:val="en-GB"/>
        </w:rPr>
        <w:t xml:space="preserve"> Working document: Rural development monitoring – implementation report tables, Working document: Rural development programming and target setting, Data item list for Pillar II, Operations database</w:t>
      </w:r>
    </w:p>
  </w:footnote>
  <w:footnote w:id="183">
    <w:p w14:paraId="482D9B2D" w14:textId="77777777" w:rsidR="00692535" w:rsidRPr="003726BE" w:rsidRDefault="00692535" w:rsidP="002B2ED6">
      <w:pPr>
        <w:pStyle w:val="FootnoteText"/>
        <w:rPr>
          <w:rFonts w:cs="Arial"/>
          <w:lang w:val="en-GB"/>
        </w:rPr>
      </w:pPr>
      <w:r w:rsidRPr="003726BE">
        <w:rPr>
          <w:rStyle w:val="FootnoteReference"/>
        </w:rPr>
        <w:footnoteRef/>
      </w:r>
      <w:r w:rsidRPr="00CB34A3">
        <w:rPr>
          <w:lang w:val="en-GB"/>
        </w:rPr>
        <w:t xml:space="preserve"> Regulation (EU) No 1305/2013, Art 71</w:t>
      </w:r>
    </w:p>
  </w:footnote>
  <w:footnote w:id="184">
    <w:p w14:paraId="18A6F4D4" w14:textId="77777777" w:rsidR="00692535" w:rsidRPr="003726BE" w:rsidRDefault="00692535" w:rsidP="002B2ED6">
      <w:pPr>
        <w:pStyle w:val="FootnoteText"/>
        <w:rPr>
          <w:rFonts w:cs="Arial"/>
          <w:lang w:val="en-GB"/>
        </w:rPr>
      </w:pPr>
      <w:r w:rsidRPr="003726BE">
        <w:rPr>
          <w:rStyle w:val="FootnoteReference"/>
        </w:rPr>
        <w:footnoteRef/>
      </w:r>
      <w:r w:rsidRPr="00CB34A3">
        <w:rPr>
          <w:lang w:val="en-GB"/>
        </w:rPr>
        <w:t xml:space="preserve"> Regulation (EU) No 1305/2013, Art 70</w:t>
      </w:r>
    </w:p>
  </w:footnote>
  <w:footnote w:id="185">
    <w:p w14:paraId="580B1692" w14:textId="77777777" w:rsidR="00692535" w:rsidRPr="003726BE" w:rsidRDefault="00692535" w:rsidP="002B2ED6">
      <w:pPr>
        <w:pStyle w:val="FootnoteText"/>
        <w:rPr>
          <w:rFonts w:cs="Arial"/>
          <w:lang w:val="en-US"/>
        </w:rPr>
      </w:pPr>
      <w:r w:rsidRPr="003726BE">
        <w:rPr>
          <w:rStyle w:val="FootnoteReference"/>
        </w:rPr>
        <w:footnoteRef/>
      </w:r>
      <w:r w:rsidRPr="00CB34A3">
        <w:rPr>
          <w:lang w:val="en-GB"/>
        </w:rPr>
        <w:t xml:space="preserve"> Commission implementing regulation No 808/2014, Annex VII</w:t>
      </w:r>
    </w:p>
  </w:footnote>
  <w:footnote w:id="186">
    <w:p w14:paraId="3C6DC9AA" w14:textId="77777777" w:rsidR="00692535" w:rsidRPr="003726BE" w:rsidRDefault="00692535" w:rsidP="002B2ED6">
      <w:pPr>
        <w:pStyle w:val="FootnoteText"/>
        <w:rPr>
          <w:rFonts w:cs="Arial"/>
          <w:lang w:val="en-GB"/>
        </w:rPr>
      </w:pPr>
      <w:r w:rsidRPr="003726BE">
        <w:rPr>
          <w:rStyle w:val="FootnoteReference"/>
        </w:rPr>
        <w:footnoteRef/>
      </w:r>
      <w:r w:rsidRPr="00CB34A3">
        <w:rPr>
          <w:lang w:val="en-GB"/>
        </w:rPr>
        <w:t xml:space="preserve"> Regulation (EU) No 1305/2013, Art. 11</w:t>
      </w:r>
    </w:p>
  </w:footnote>
  <w:footnote w:id="187">
    <w:p w14:paraId="5ADE4471" w14:textId="77777777" w:rsidR="00692535" w:rsidRPr="003726BE" w:rsidRDefault="00692535" w:rsidP="002B2ED6">
      <w:pPr>
        <w:pStyle w:val="FootnoteText"/>
        <w:rPr>
          <w:rFonts w:cs="Arial"/>
          <w:lang w:val="en-US"/>
        </w:rPr>
      </w:pPr>
      <w:r w:rsidRPr="003726BE">
        <w:rPr>
          <w:rStyle w:val="FootnoteReference"/>
        </w:rPr>
        <w:footnoteRef/>
      </w:r>
      <w:r w:rsidRPr="00CB34A3">
        <w:rPr>
          <w:lang w:val="en-GB"/>
        </w:rPr>
        <w:t xml:space="preserve"> Commission implementing regulation No 808/2014, Annex VII, point 2</w:t>
      </w:r>
    </w:p>
  </w:footnote>
  <w:footnote w:id="188">
    <w:p w14:paraId="1BF47A0C" w14:textId="77777777" w:rsidR="00692535" w:rsidRPr="003726BE" w:rsidRDefault="00692535" w:rsidP="002B2ED6">
      <w:pPr>
        <w:pStyle w:val="FootnoteText"/>
        <w:rPr>
          <w:rFonts w:cs="Arial"/>
          <w:lang w:val="en-US"/>
        </w:rPr>
      </w:pPr>
      <w:r w:rsidRPr="003726BE">
        <w:rPr>
          <w:rStyle w:val="FootnoteReference"/>
        </w:rPr>
        <w:footnoteRef/>
      </w:r>
      <w:r w:rsidRPr="00CB34A3">
        <w:rPr>
          <w:lang w:val="en-GB"/>
        </w:rPr>
        <w:t xml:space="preserve"> Regulation (EU) No 1303/2013, Art. 55 and Regulation (EU) No 1305/2013, Art. 77</w:t>
      </w:r>
    </w:p>
  </w:footnote>
  <w:footnote w:id="189">
    <w:p w14:paraId="0CFACD6B" w14:textId="77777777" w:rsidR="00692535" w:rsidRPr="003726BE" w:rsidRDefault="00692535" w:rsidP="002B2ED6">
      <w:pPr>
        <w:pStyle w:val="FootnoteText"/>
        <w:rPr>
          <w:rFonts w:cs="Arial"/>
          <w:lang w:val="en-US"/>
        </w:rPr>
      </w:pPr>
      <w:r w:rsidRPr="003726BE">
        <w:rPr>
          <w:rStyle w:val="FootnoteReference"/>
        </w:rPr>
        <w:footnoteRef/>
      </w:r>
      <w:r w:rsidRPr="00CB34A3">
        <w:rPr>
          <w:lang w:val="en-GB"/>
        </w:rPr>
        <w:t xml:space="preserve"> Regulation (EU) No 1303/2013, Art. 57 and Regulation (EU) No 1305/2013, Art. 78</w:t>
      </w:r>
    </w:p>
  </w:footnote>
  <w:footnote w:id="190">
    <w:p w14:paraId="0CA7380C" w14:textId="77777777" w:rsidR="00692535" w:rsidRPr="003726BE" w:rsidRDefault="00692535" w:rsidP="002B2ED6">
      <w:pPr>
        <w:pStyle w:val="FootnoteText"/>
        <w:rPr>
          <w:rFonts w:cs="Arial"/>
          <w:lang w:val="en-US"/>
        </w:rPr>
      </w:pPr>
      <w:r w:rsidRPr="003726BE">
        <w:rPr>
          <w:rStyle w:val="FootnoteReference"/>
        </w:rPr>
        <w:footnoteRef/>
      </w:r>
      <w:r w:rsidRPr="00CB34A3">
        <w:rPr>
          <w:lang w:val="en-GB"/>
        </w:rPr>
        <w:t xml:space="preserve"> Commission Implementing Regulation (EU) No 808/2014</w:t>
      </w:r>
    </w:p>
  </w:footnote>
  <w:footnote w:id="191">
    <w:p w14:paraId="061DE45A" w14:textId="77777777" w:rsidR="00692535" w:rsidRPr="003726BE" w:rsidRDefault="00692535" w:rsidP="002B2ED6">
      <w:pPr>
        <w:pStyle w:val="FootnoteText"/>
        <w:rPr>
          <w:rFonts w:cs="Arial"/>
          <w:lang w:val="en-GB"/>
        </w:rPr>
      </w:pPr>
      <w:r w:rsidRPr="003726BE">
        <w:rPr>
          <w:rStyle w:val="FootnoteReference"/>
        </w:rPr>
        <w:footnoteRef/>
      </w:r>
      <w:r w:rsidRPr="00CB34A3">
        <w:rPr>
          <w:lang w:val="en-GB"/>
        </w:rPr>
        <w:t xml:space="preserve"> Regulation (EU) No 1303/2013</w:t>
      </w:r>
    </w:p>
  </w:footnote>
  <w:footnote w:id="192">
    <w:p w14:paraId="43CE08D1" w14:textId="77777777" w:rsidR="00692535" w:rsidRPr="003726BE" w:rsidRDefault="00692535" w:rsidP="002B2ED6">
      <w:pPr>
        <w:pStyle w:val="FootnoteText"/>
        <w:rPr>
          <w:rFonts w:cs="Arial"/>
          <w:lang w:val="en-GB"/>
        </w:rPr>
      </w:pPr>
      <w:r w:rsidRPr="003726BE">
        <w:rPr>
          <w:rStyle w:val="FootnoteReference"/>
        </w:rPr>
        <w:footnoteRef/>
      </w:r>
      <w:r w:rsidRPr="00CB34A3">
        <w:rPr>
          <w:lang w:val="en-GB"/>
        </w:rPr>
        <w:t xml:space="preserve"> Regulation (EU) No 1305/2013</w:t>
      </w:r>
    </w:p>
  </w:footnote>
  <w:footnote w:id="193">
    <w:p w14:paraId="523515A3" w14:textId="77777777" w:rsidR="00692535" w:rsidRPr="003726BE" w:rsidRDefault="00692535" w:rsidP="002B2ED6">
      <w:pPr>
        <w:pStyle w:val="FootnoteText"/>
        <w:rPr>
          <w:rFonts w:cs="Arial"/>
          <w:lang w:val="en-US"/>
        </w:rPr>
      </w:pPr>
      <w:r w:rsidRPr="003726BE">
        <w:rPr>
          <w:rStyle w:val="FootnoteReference"/>
        </w:rPr>
        <w:footnoteRef/>
      </w:r>
      <w:r w:rsidRPr="00CB34A3">
        <w:rPr>
          <w:lang w:val="en-GB"/>
        </w:rPr>
        <w:t xml:space="preserve"> Regulation (EU) No 1303/2013, Art. 50 and Commission implementing regulation No 808/2014, Annex VII, point 2 e) and point 3</w:t>
      </w:r>
    </w:p>
  </w:footnote>
  <w:footnote w:id="194">
    <w:p w14:paraId="598BF4A4" w14:textId="77777777" w:rsidR="00692535" w:rsidRPr="003726BE" w:rsidRDefault="00692535" w:rsidP="002B2ED6">
      <w:pPr>
        <w:pStyle w:val="FootnoteText"/>
        <w:rPr>
          <w:rFonts w:cs="Arial"/>
          <w:lang w:val="en-US"/>
        </w:rPr>
      </w:pPr>
      <w:r w:rsidRPr="003726BE">
        <w:rPr>
          <w:rStyle w:val="FootnoteReference"/>
        </w:rPr>
        <w:footnoteRef/>
      </w:r>
      <w:r w:rsidRPr="00CB34A3">
        <w:rPr>
          <w:lang w:val="en-GB"/>
        </w:rPr>
        <w:t xml:space="preserve"> Regulation (EU) No 1305/2013, Art. 75 and Commission implementing regulation No 808/2014, Annex VII, point 2  </w:t>
      </w:r>
    </w:p>
  </w:footnote>
  <w:footnote w:id="195">
    <w:p w14:paraId="69351D07" w14:textId="77777777" w:rsidR="00692535" w:rsidRPr="003726BE" w:rsidRDefault="00692535" w:rsidP="002B2ED6">
      <w:pPr>
        <w:pStyle w:val="FootnoteText"/>
        <w:rPr>
          <w:rFonts w:cs="Arial"/>
          <w:lang w:val="en-US"/>
        </w:rPr>
      </w:pPr>
      <w:r w:rsidRPr="003726BE">
        <w:rPr>
          <w:rStyle w:val="FootnoteReference"/>
        </w:rPr>
        <w:footnoteRef/>
      </w:r>
      <w:r w:rsidRPr="00CB34A3">
        <w:rPr>
          <w:lang w:val="en-GB"/>
        </w:rPr>
        <w:t xml:space="preserve"> Regulation (EU) No 1305/2013, Art. 75 and Commission implementing regulation No 808/2014, Annex VII, point 2</w:t>
      </w:r>
    </w:p>
  </w:footnote>
  <w:footnote w:id="196">
    <w:p w14:paraId="35A79380" w14:textId="77777777" w:rsidR="00692535" w:rsidRPr="003726BE" w:rsidRDefault="00692535" w:rsidP="002B2ED6">
      <w:pPr>
        <w:pStyle w:val="FootnoteText"/>
        <w:rPr>
          <w:rFonts w:cs="Arial"/>
          <w:lang w:val="en-US"/>
        </w:rPr>
      </w:pPr>
      <w:r w:rsidRPr="003726BE">
        <w:rPr>
          <w:rStyle w:val="FootnoteReference"/>
        </w:rPr>
        <w:footnoteRef/>
      </w:r>
      <w:r w:rsidRPr="00CB34A3">
        <w:rPr>
          <w:lang w:val="en-GB"/>
        </w:rPr>
        <w:t xml:space="preserve"> Commission implementing regulation, Annex VII, point 1</w:t>
      </w:r>
    </w:p>
  </w:footnote>
  <w:footnote w:id="197">
    <w:p w14:paraId="78D255EF" w14:textId="77777777" w:rsidR="00692535" w:rsidRPr="003726BE" w:rsidRDefault="00692535" w:rsidP="002B2ED6">
      <w:pPr>
        <w:pStyle w:val="FootnoteText"/>
        <w:rPr>
          <w:rFonts w:cs="Arial"/>
          <w:lang w:val="en-US"/>
        </w:rPr>
      </w:pPr>
      <w:r w:rsidRPr="003726BE">
        <w:rPr>
          <w:rStyle w:val="FootnoteReference"/>
        </w:rPr>
        <w:footnoteRef/>
      </w:r>
      <w:r w:rsidRPr="00CB34A3">
        <w:rPr>
          <w:lang w:val="en-GB"/>
        </w:rPr>
        <w:t xml:space="preserve"> Regulation (EU) No 1303/2013, Art. 50 and 57 (ex post), Commission implementing regulation No 808/2014, Art. 14.1 b) and Annex IV and Annex VII, point 1 and point 7</w:t>
      </w:r>
    </w:p>
  </w:footnote>
  <w:footnote w:id="198">
    <w:p w14:paraId="3837BA1F" w14:textId="77777777" w:rsidR="00692535" w:rsidRPr="003726BE" w:rsidRDefault="00692535" w:rsidP="002B2ED6">
      <w:pPr>
        <w:pStyle w:val="FootnoteText"/>
        <w:rPr>
          <w:rFonts w:cs="Arial"/>
          <w:lang w:val="en-GB"/>
        </w:rPr>
      </w:pPr>
      <w:r w:rsidRPr="003726BE">
        <w:rPr>
          <w:rStyle w:val="FootnoteReference"/>
        </w:rPr>
        <w:footnoteRef/>
      </w:r>
      <w:r w:rsidRPr="00CB34A3">
        <w:rPr>
          <w:lang w:val="en-GB"/>
        </w:rPr>
        <w:t xml:space="preserve"> Regulation (EU) No 1303/2013, Art. 46</w:t>
      </w:r>
    </w:p>
  </w:footnote>
  <w:footnote w:id="199">
    <w:p w14:paraId="4CEBFA52" w14:textId="77777777" w:rsidR="00692535" w:rsidRPr="003726BE" w:rsidRDefault="00692535" w:rsidP="002B2ED6">
      <w:pPr>
        <w:pStyle w:val="FootnoteText"/>
        <w:rPr>
          <w:rFonts w:cs="Arial"/>
          <w:lang w:val="en-US"/>
        </w:rPr>
      </w:pPr>
      <w:r w:rsidRPr="003726BE">
        <w:rPr>
          <w:rStyle w:val="FootnoteReference"/>
        </w:rPr>
        <w:footnoteRef/>
      </w:r>
      <w:r w:rsidRPr="00CB34A3">
        <w:rPr>
          <w:lang w:val="en-GB"/>
        </w:rPr>
        <w:t xml:space="preserve"> Commission implementing regulation No 808/2014, Art.14.4</w:t>
      </w:r>
    </w:p>
  </w:footnote>
  <w:footnote w:id="200">
    <w:p w14:paraId="13EF0B6F" w14:textId="77777777" w:rsidR="00692535" w:rsidRPr="003726BE" w:rsidRDefault="00692535" w:rsidP="002B2ED6">
      <w:pPr>
        <w:pStyle w:val="FootnoteText"/>
        <w:rPr>
          <w:rFonts w:cs="Arial"/>
          <w:lang w:val="en-US"/>
        </w:rPr>
      </w:pPr>
      <w:r w:rsidRPr="003726BE">
        <w:rPr>
          <w:rStyle w:val="FootnoteReference"/>
        </w:rPr>
        <w:footnoteRef/>
      </w:r>
      <w:r w:rsidRPr="00CB34A3">
        <w:rPr>
          <w:lang w:val="en-GB"/>
        </w:rPr>
        <w:t xml:space="preserve"> Regulation (EU) No 1303/2013, Art. 50 and Common implementing regulation No 808/2014, Annex VII, point 2 d) and e)</w:t>
      </w:r>
    </w:p>
  </w:footnote>
  <w:footnote w:id="201">
    <w:p w14:paraId="54966D86" w14:textId="77777777" w:rsidR="00692535" w:rsidRPr="003726BE" w:rsidRDefault="00692535" w:rsidP="002B2ED6">
      <w:pPr>
        <w:pStyle w:val="FootnoteText"/>
        <w:rPr>
          <w:rFonts w:cs="Arial"/>
          <w:lang w:val="en-GB"/>
        </w:rPr>
      </w:pPr>
      <w:r w:rsidRPr="003726BE">
        <w:rPr>
          <w:rStyle w:val="FootnoteReference"/>
        </w:rPr>
        <w:footnoteRef/>
      </w:r>
      <w:r w:rsidRPr="00CB34A3">
        <w:rPr>
          <w:lang w:val="en-GB"/>
        </w:rPr>
        <w:t xml:space="preserve"> Regulation (EU) No 1303/2013, Art.50</w:t>
      </w:r>
    </w:p>
  </w:footnote>
  <w:footnote w:id="202">
    <w:p w14:paraId="29F4A378" w14:textId="77777777" w:rsidR="00692535" w:rsidRPr="003726BE" w:rsidRDefault="00692535" w:rsidP="002B2ED6">
      <w:pPr>
        <w:pStyle w:val="FootnoteText"/>
        <w:rPr>
          <w:rFonts w:cs="Arial"/>
          <w:lang w:val="en-US"/>
        </w:rPr>
      </w:pPr>
      <w:r w:rsidRPr="003726BE">
        <w:rPr>
          <w:rStyle w:val="FootnoteReference"/>
        </w:rPr>
        <w:footnoteRef/>
      </w:r>
      <w:r w:rsidRPr="00CB34A3">
        <w:rPr>
          <w:lang w:val="en-GB"/>
        </w:rPr>
        <w:t xml:space="preserve"> Regulation (EU) No 1303/2013, Art. 50 and Commission implementing regulation No 808/2014, Annex VII, point 7</w:t>
      </w:r>
    </w:p>
  </w:footnote>
  <w:footnote w:id="203">
    <w:p w14:paraId="292FFAC0" w14:textId="77777777" w:rsidR="00692535" w:rsidRPr="003726BE" w:rsidRDefault="00692535" w:rsidP="002B2ED6">
      <w:pPr>
        <w:pStyle w:val="FootnoteText"/>
        <w:rPr>
          <w:rFonts w:cs="Arial"/>
          <w:lang w:val="en-US"/>
        </w:rPr>
      </w:pPr>
      <w:r w:rsidRPr="003726BE">
        <w:rPr>
          <w:rStyle w:val="FootnoteReference"/>
        </w:rPr>
        <w:footnoteRef/>
      </w:r>
      <w:r w:rsidRPr="00CB34A3">
        <w:rPr>
          <w:lang w:val="en-GB"/>
        </w:rPr>
        <w:t xml:space="preserve"> Common implementing regulation No 808/2014, Annex VII, point 8</w:t>
      </w:r>
    </w:p>
  </w:footnote>
  <w:footnote w:id="204">
    <w:p w14:paraId="30B36E85" w14:textId="77777777" w:rsidR="00692535" w:rsidRPr="003726BE" w:rsidRDefault="00692535" w:rsidP="002B2ED6">
      <w:pPr>
        <w:pStyle w:val="FootnoteText"/>
        <w:rPr>
          <w:rFonts w:cs="Arial"/>
          <w:lang w:val="en-US"/>
        </w:rPr>
      </w:pPr>
      <w:r w:rsidRPr="003726BE">
        <w:rPr>
          <w:rStyle w:val="FootnoteReference"/>
        </w:rPr>
        <w:footnoteRef/>
      </w:r>
      <w:r w:rsidRPr="00CB34A3">
        <w:rPr>
          <w:lang w:val="en-GB"/>
        </w:rPr>
        <w:t xml:space="preserve"> Common implementing regulation No 808/2014, Annex VII, point 6</w:t>
      </w:r>
    </w:p>
  </w:footnote>
  <w:footnote w:id="205">
    <w:p w14:paraId="6EA3A4D4" w14:textId="77777777" w:rsidR="00692535" w:rsidRPr="003726BE" w:rsidRDefault="00692535" w:rsidP="002B2ED6">
      <w:pPr>
        <w:pStyle w:val="FootnoteText"/>
        <w:rPr>
          <w:rFonts w:cs="Arial"/>
          <w:lang w:val="sk-SK"/>
        </w:rPr>
      </w:pPr>
      <w:r w:rsidRPr="003726BE">
        <w:rPr>
          <w:rStyle w:val="FootnoteReference"/>
        </w:rPr>
        <w:footnoteRef/>
      </w:r>
      <w:r w:rsidRPr="00CB34A3">
        <w:rPr>
          <w:lang w:val="en-GB"/>
        </w:rPr>
        <w:t xml:space="preserve"> Commission implementing regulation (EU) no 808/2014, Annex I, part 5</w:t>
      </w:r>
    </w:p>
  </w:footnote>
  <w:footnote w:id="206">
    <w:p w14:paraId="16F741EB" w14:textId="77777777" w:rsidR="00692535" w:rsidRPr="003726BE" w:rsidRDefault="00692535" w:rsidP="002B2ED6">
      <w:pPr>
        <w:pStyle w:val="FootnoteText"/>
        <w:rPr>
          <w:rFonts w:cs="Arial"/>
          <w:lang w:val="sk-SK"/>
        </w:rPr>
      </w:pPr>
      <w:r w:rsidRPr="003726BE">
        <w:rPr>
          <w:rStyle w:val="FootnoteReference"/>
        </w:rPr>
        <w:footnoteRef/>
      </w:r>
      <w:r w:rsidRPr="00CB34A3">
        <w:rPr>
          <w:lang w:val="en-GB"/>
        </w:rPr>
        <w:t xml:space="preserve"> Commission implementing regulation (EU) no 808/2014, Annex I, part 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90E992" w14:textId="77777777" w:rsidR="00692535" w:rsidRDefault="00692535" w:rsidP="00EE0DAB">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6C8EBB" w14:textId="77777777" w:rsidR="00692535" w:rsidRPr="002C3379" w:rsidRDefault="00692535" w:rsidP="008402F5">
    <w:pPr>
      <w:pStyle w:val="Header"/>
      <w:pBdr>
        <w:bottom w:val="none" w:sz="0" w:space="0" w:color="auto"/>
      </w:pBdr>
      <w:tabs>
        <w:tab w:val="clear" w:pos="8618"/>
      </w:tabs>
      <w:ind w:left="0" w:right="-32"/>
      <w:jc w:val="right"/>
    </w:pPr>
    <w:r>
      <w:tab/>
      <w:t>Linee guida - Valutazione dei risultati del PSR: come prepararsi per la rendicontazione in merito alla valutazione nel 2017</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EB2DCA" w14:textId="77777777" w:rsidR="00692535" w:rsidRPr="00CB7E9D" w:rsidRDefault="00692535" w:rsidP="008402F5">
    <w:pPr>
      <w:pStyle w:val="Header"/>
      <w:pBdr>
        <w:bottom w:val="none" w:sz="0" w:space="0" w:color="auto"/>
      </w:pBdr>
      <w:tabs>
        <w:tab w:val="clear" w:pos="8618"/>
      </w:tabs>
      <w:ind w:left="0" w:right="-32"/>
      <w:jc w:val="right"/>
    </w:pPr>
    <w:r>
      <w:tab/>
      <w:t>Linee guida - Valutazione dei risultati del PSR: come prepararsi per la rendicontazione in merito alla valutazione nel 2017</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49F85A" w14:textId="77777777" w:rsidR="00692535" w:rsidRDefault="00692535">
    <w:pPr>
      <w:pStyle w:val="Header"/>
    </w:pPr>
  </w:p>
  <w:p w14:paraId="5EC93F67" w14:textId="77777777" w:rsidR="00692535" w:rsidRDefault="00692535"/>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84C236" w14:textId="77777777" w:rsidR="00692535" w:rsidRPr="0052778E" w:rsidRDefault="00692535" w:rsidP="00FE5DEE">
    <w:pPr>
      <w:pStyle w:val="H-Header"/>
      <w:tabs>
        <w:tab w:val="clear" w:pos="4536"/>
        <w:tab w:val="clear" w:pos="9072"/>
      </w:tabs>
      <w:rPr>
        <w:sz w:val="24"/>
      </w:rPr>
    </w:pPr>
    <w:r>
      <w:tab/>
      <w:t xml:space="preserve"> </w:t>
    </w:r>
    <w:r>
      <w:rPr>
        <w:rFonts w:ascii="Arial" w:hAnsi="Arial"/>
        <w:color w:val="F07E31"/>
        <w:sz w:val="18"/>
      </w:rPr>
      <w:t>Linee guida - Valutazione dei risultati del PSR: come prepararsi per la rendicontazione in merito alla valutazione nel 2017</w:t>
    </w:r>
  </w:p>
  <w:p w14:paraId="6E1B78CA" w14:textId="77777777" w:rsidR="00692535" w:rsidRDefault="00692535"/>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48E1AC" w14:textId="77777777" w:rsidR="00692535" w:rsidRPr="00150D5B" w:rsidRDefault="00692535" w:rsidP="00FD7022">
    <w:pPr>
      <w:pStyle w:val="Header"/>
      <w:pBdr>
        <w:bottom w:val="none" w:sz="0" w:space="0" w:color="auto"/>
      </w:pBd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EA716D" w14:textId="77777777" w:rsidR="00692535" w:rsidRPr="00FD7022" w:rsidRDefault="00692535" w:rsidP="00FD7022">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F4784F" w14:textId="77777777" w:rsidR="00692535" w:rsidRPr="002C3379" w:rsidRDefault="00692535" w:rsidP="008402F5">
    <w:pPr>
      <w:pStyle w:val="Header"/>
      <w:pBdr>
        <w:bottom w:val="none" w:sz="0" w:space="0" w:color="auto"/>
      </w:pBdr>
      <w:tabs>
        <w:tab w:val="clear" w:pos="8618"/>
      </w:tabs>
      <w:ind w:left="0" w:right="-2"/>
      <w:jc w:val="right"/>
    </w:pPr>
    <w:r>
      <w:tab/>
      <w:t>Linee guida - Valutazione dei risultati del PSR: come prepararsi per la rendicontazione in merito alla valutazione nel 2017</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519A05" w14:textId="77777777" w:rsidR="00692535" w:rsidRPr="00CB7E9D" w:rsidRDefault="00692535" w:rsidP="003726BE">
    <w:pPr>
      <w:pStyle w:val="Header"/>
      <w:pBdr>
        <w:bottom w:val="none" w:sz="0" w:space="0" w:color="auto"/>
      </w:pBdr>
      <w:tabs>
        <w:tab w:val="clear" w:pos="8618"/>
      </w:tabs>
      <w:ind w:left="0" w:right="-286"/>
      <w:jc w:val="right"/>
    </w:pPr>
    <w:r>
      <w:tab/>
      <w:t>Linee guida - Valutazione dei risultati del PSR: come prepararsi per la rendicontazione in merito alla valutazione nel 2017</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C3385E" w14:textId="77777777" w:rsidR="00692535" w:rsidRPr="002C3379" w:rsidRDefault="00692535" w:rsidP="008402F5">
    <w:pPr>
      <w:pStyle w:val="Header"/>
      <w:pBdr>
        <w:bottom w:val="none" w:sz="0" w:space="0" w:color="auto"/>
      </w:pBdr>
      <w:tabs>
        <w:tab w:val="clear" w:pos="8618"/>
      </w:tabs>
      <w:ind w:left="0" w:right="0"/>
      <w:jc w:val="right"/>
    </w:pPr>
    <w:r>
      <w:tab/>
      <w:t>Linee guida - Valutazione dei risultati del PSR: come prepararsi per la rendicontazione in merito alla valutazione nel 2017</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F9AC0A" w14:textId="77777777" w:rsidR="00692535" w:rsidRPr="00CB7E9D" w:rsidRDefault="00692535" w:rsidP="008402F5">
    <w:pPr>
      <w:pStyle w:val="Header"/>
      <w:pBdr>
        <w:bottom w:val="none" w:sz="0" w:space="0" w:color="auto"/>
      </w:pBdr>
      <w:tabs>
        <w:tab w:val="clear" w:pos="8618"/>
      </w:tabs>
      <w:ind w:left="0" w:right="-32"/>
      <w:jc w:val="right"/>
    </w:pPr>
    <w:r>
      <w:tab/>
      <w:t>Linee guida - Valutazione dei risultati del PSR: come prepararsi per la rendicontazione in merito alla valutazione nel 2017</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0A52C8" w14:textId="77777777" w:rsidR="00692535" w:rsidRPr="002C3379" w:rsidRDefault="00692535" w:rsidP="008402F5">
    <w:pPr>
      <w:pStyle w:val="Header"/>
      <w:pBdr>
        <w:bottom w:val="none" w:sz="0" w:space="0" w:color="auto"/>
      </w:pBdr>
      <w:tabs>
        <w:tab w:val="clear" w:pos="8618"/>
      </w:tabs>
      <w:ind w:left="0" w:right="-2"/>
      <w:jc w:val="right"/>
    </w:pPr>
    <w:r>
      <w:tab/>
      <w:t>Linee guida - Valutazione dei risultati del PSR: come prepararsi per la rendicontazione in merito alla valutazione nel 2017</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DD8BD0" w14:textId="77777777" w:rsidR="00692535" w:rsidRPr="00CB7E9D" w:rsidRDefault="00692535" w:rsidP="008402F5">
    <w:pPr>
      <w:pStyle w:val="Header"/>
      <w:pBdr>
        <w:bottom w:val="none" w:sz="0" w:space="0" w:color="auto"/>
      </w:pBdr>
      <w:tabs>
        <w:tab w:val="clear" w:pos="8618"/>
      </w:tabs>
      <w:ind w:left="0" w:right="-2"/>
      <w:jc w:val="right"/>
    </w:pPr>
    <w:r>
      <w:tab/>
      <w:t>Linee guida - Valutazione dei risultati del PSR: come prepararsi per la rendicontazione in merito alla valutazione nel 2017</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86B823" w14:textId="77777777" w:rsidR="00692535" w:rsidRPr="002C3379" w:rsidRDefault="00692535" w:rsidP="008402F5">
    <w:pPr>
      <w:pStyle w:val="Header"/>
      <w:pBdr>
        <w:bottom w:val="none" w:sz="0" w:space="0" w:color="auto"/>
      </w:pBdr>
      <w:tabs>
        <w:tab w:val="clear" w:pos="8618"/>
      </w:tabs>
      <w:ind w:left="0" w:right="-2"/>
      <w:jc w:val="right"/>
    </w:pPr>
    <w:r>
      <w:tab/>
      <w:t>Linee guida - Valutazione dei risultati del PSR: come prepararsi per la rendicontazione in merito alla valutazione nel 2017</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9CC46B" w14:textId="77777777" w:rsidR="00692535" w:rsidRPr="00CB7E9D" w:rsidRDefault="00692535" w:rsidP="008402F5">
    <w:pPr>
      <w:pStyle w:val="Header"/>
      <w:pBdr>
        <w:bottom w:val="none" w:sz="0" w:space="0" w:color="auto"/>
      </w:pBdr>
      <w:tabs>
        <w:tab w:val="clear" w:pos="8618"/>
      </w:tabs>
      <w:ind w:left="0" w:right="-2"/>
      <w:jc w:val="right"/>
    </w:pPr>
    <w:r>
      <w:tab/>
      <w:t>Linee guida - Valutazione dei risultati del PSR: come prepararsi per la rendicontazione in merito alla valutazione nel 2017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A2DB0"/>
    <w:multiLevelType w:val="hybridMultilevel"/>
    <w:tmpl w:val="E6CEFBE8"/>
    <w:lvl w:ilvl="0" w:tplc="86B09552">
      <w:start w:val="1"/>
      <w:numFmt w:val="decimal"/>
      <w:pStyle w:val="HHeadingboxes"/>
      <w:suff w:val="space"/>
      <w:lvlText w:val="Box %1."/>
      <w:lvlJc w:val="left"/>
      <w:pPr>
        <w:ind w:left="0" w:firstLine="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39233C4"/>
    <w:multiLevelType w:val="hybridMultilevel"/>
    <w:tmpl w:val="42565614"/>
    <w:lvl w:ilvl="0" w:tplc="BB1257F8">
      <w:start w:val="1"/>
      <w:numFmt w:val="bullet"/>
      <w:lvlText w:val=""/>
      <w:lvlJc w:val="left"/>
      <w:pPr>
        <w:ind w:left="720" w:hanging="360"/>
      </w:pPr>
      <w:rPr>
        <w:rFonts w:ascii="Symbol" w:hAnsi="Symbol" w:hint="default"/>
        <w:color w:val="57825E" w:themeColor="accent4"/>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C8565D"/>
    <w:multiLevelType w:val="hybridMultilevel"/>
    <w:tmpl w:val="F12CB5A2"/>
    <w:lvl w:ilvl="0" w:tplc="FA900DF0">
      <w:start w:val="1"/>
      <w:numFmt w:val="decimal"/>
      <w:pStyle w:val="HHeadingmaps"/>
      <w:lvlText w:val="Strumento %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0BA732E3"/>
    <w:multiLevelType w:val="hybridMultilevel"/>
    <w:tmpl w:val="FE4EABF2"/>
    <w:lvl w:ilvl="0" w:tplc="E79C11A8">
      <w:start w:val="1"/>
      <w:numFmt w:val="bullet"/>
      <w:lvlText w:val=""/>
      <w:lvlJc w:val="left"/>
      <w:pPr>
        <w:ind w:left="720" w:hanging="360"/>
      </w:pPr>
      <w:rPr>
        <w:rFonts w:ascii="Symbol" w:hAnsi="Symbol" w:hint="default"/>
        <w:color w:val="57825E"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DF0FAC"/>
    <w:multiLevelType w:val="multilevel"/>
    <w:tmpl w:val="08200D8C"/>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1305488C"/>
    <w:multiLevelType w:val="multilevel"/>
    <w:tmpl w:val="0C07001F"/>
    <w:styleLink w:val="111111"/>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6" w15:restartNumberingAfterBreak="0">
    <w:nsid w:val="13252AD3"/>
    <w:multiLevelType w:val="hybridMultilevel"/>
    <w:tmpl w:val="2C3AF572"/>
    <w:lvl w:ilvl="0" w:tplc="011850AC">
      <w:start w:val="1"/>
      <w:numFmt w:val="bullet"/>
      <w:pStyle w:val="Hlistbullet2"/>
      <w:lvlText w:val="o"/>
      <w:lvlJc w:val="left"/>
      <w:pPr>
        <w:ind w:left="720" w:hanging="360"/>
      </w:pPr>
      <w:rPr>
        <w:rFonts w:ascii="Courier New" w:hAnsi="Courier New" w:hint="default"/>
        <w:color w:val="F07E31" w:themeColor="background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C84A41"/>
    <w:multiLevelType w:val="multilevel"/>
    <w:tmpl w:val="B5F87352"/>
    <w:lvl w:ilvl="0">
      <w:start w:val="1"/>
      <w:numFmt w:val="decimal"/>
      <w:pStyle w:val="Heading1"/>
      <w:lvlText w:val="%1"/>
      <w:lvlJc w:val="left"/>
      <w:pPr>
        <w:tabs>
          <w:tab w:val="num" w:pos="474"/>
        </w:tabs>
        <w:ind w:left="262" w:hanging="148"/>
      </w:pPr>
      <w:rPr>
        <w:rFonts w:hint="default"/>
      </w:rPr>
    </w:lvl>
    <w:lvl w:ilvl="1">
      <w:start w:val="1"/>
      <w:numFmt w:val="decimal"/>
      <w:pStyle w:val="Heading2"/>
      <w:lvlText w:val="%1.%2"/>
      <w:lvlJc w:val="left"/>
      <w:pPr>
        <w:tabs>
          <w:tab w:val="num" w:pos="360"/>
        </w:tabs>
        <w:ind w:left="0" w:firstLine="0"/>
      </w:pPr>
      <w:rPr>
        <w:rFonts w:hint="default"/>
      </w:rPr>
    </w:lvl>
    <w:lvl w:ilvl="2">
      <w:start w:val="1"/>
      <w:numFmt w:val="decimal"/>
      <w:pStyle w:val="Heading3"/>
      <w:lvlText w:val="%1.%2.%3"/>
      <w:lvlJc w:val="left"/>
      <w:pPr>
        <w:tabs>
          <w:tab w:val="num" w:pos="720"/>
        </w:tabs>
        <w:ind w:left="0" w:firstLine="0"/>
      </w:pPr>
      <w:rPr>
        <w:rFonts w:hint="default"/>
      </w:rPr>
    </w:lvl>
    <w:lvl w:ilvl="3">
      <w:start w:val="1"/>
      <w:numFmt w:val="decimal"/>
      <w:pStyle w:val="Heading4"/>
      <w:lvlText w:val="%1.%2.%3.%4"/>
      <w:lvlJc w:val="left"/>
      <w:pPr>
        <w:tabs>
          <w:tab w:val="num" w:pos="1080"/>
        </w:tabs>
        <w:ind w:left="0" w:firstLine="0"/>
      </w:pPr>
      <w:rPr>
        <w:rFonts w:hint="default"/>
      </w:rPr>
    </w:lvl>
    <w:lvl w:ilvl="4">
      <w:start w:val="1"/>
      <w:numFmt w:val="decimal"/>
      <w:lvlText w:val="%1.%2.%3.%4.%5"/>
      <w:lvlJc w:val="left"/>
      <w:pPr>
        <w:tabs>
          <w:tab w:val="num" w:pos="838"/>
        </w:tabs>
        <w:ind w:left="838" w:hanging="1008"/>
      </w:pPr>
      <w:rPr>
        <w:rFonts w:hint="default"/>
      </w:rPr>
    </w:lvl>
    <w:lvl w:ilvl="5">
      <w:start w:val="1"/>
      <w:numFmt w:val="decimal"/>
      <w:lvlText w:val="%1.%2.%3.%4.%5.%6"/>
      <w:lvlJc w:val="left"/>
      <w:pPr>
        <w:tabs>
          <w:tab w:val="num" w:pos="982"/>
        </w:tabs>
        <w:ind w:left="982" w:hanging="1152"/>
      </w:pPr>
      <w:rPr>
        <w:rFonts w:hint="default"/>
      </w:rPr>
    </w:lvl>
    <w:lvl w:ilvl="6">
      <w:start w:val="1"/>
      <w:numFmt w:val="decimal"/>
      <w:lvlText w:val="%1.%2.%3.%4.%5.%6.%7"/>
      <w:lvlJc w:val="left"/>
      <w:pPr>
        <w:tabs>
          <w:tab w:val="num" w:pos="1126"/>
        </w:tabs>
        <w:ind w:left="1126" w:hanging="1296"/>
      </w:pPr>
      <w:rPr>
        <w:rFonts w:hint="default"/>
      </w:rPr>
    </w:lvl>
    <w:lvl w:ilvl="7">
      <w:start w:val="1"/>
      <w:numFmt w:val="decimal"/>
      <w:lvlText w:val="%1.%2.%3.%4.%5.%6.%7.%8"/>
      <w:lvlJc w:val="left"/>
      <w:pPr>
        <w:tabs>
          <w:tab w:val="num" w:pos="1270"/>
        </w:tabs>
        <w:ind w:left="1270" w:hanging="1440"/>
      </w:pPr>
      <w:rPr>
        <w:rFonts w:hint="default"/>
      </w:rPr>
    </w:lvl>
    <w:lvl w:ilvl="8">
      <w:start w:val="1"/>
      <w:numFmt w:val="decimal"/>
      <w:lvlText w:val="%1.%2.%3.%4.%5.%6.%7.%8.%9"/>
      <w:lvlJc w:val="left"/>
      <w:pPr>
        <w:tabs>
          <w:tab w:val="num" w:pos="1414"/>
        </w:tabs>
        <w:ind w:left="1414" w:hanging="1584"/>
      </w:pPr>
      <w:rPr>
        <w:rFonts w:hint="default"/>
      </w:rPr>
    </w:lvl>
  </w:abstractNum>
  <w:abstractNum w:abstractNumId="8" w15:restartNumberingAfterBreak="0">
    <w:nsid w:val="1A49295C"/>
    <w:multiLevelType w:val="hybridMultilevel"/>
    <w:tmpl w:val="C8A84DE2"/>
    <w:lvl w:ilvl="0" w:tplc="3FF028A6">
      <w:start w:val="1"/>
      <w:numFmt w:val="lowerLetter"/>
      <w:pStyle w:val="H-ParagraphList"/>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9" w15:restartNumberingAfterBreak="0">
    <w:nsid w:val="1D101BF3"/>
    <w:multiLevelType w:val="hybridMultilevel"/>
    <w:tmpl w:val="F4E8313A"/>
    <w:lvl w:ilvl="0" w:tplc="FB046D44">
      <w:start w:val="1"/>
      <w:numFmt w:val="bullet"/>
      <w:pStyle w:val="HBox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1685383"/>
    <w:multiLevelType w:val="hybridMultilevel"/>
    <w:tmpl w:val="15887418"/>
    <w:lvl w:ilvl="0" w:tplc="0809001B">
      <w:start w:val="1"/>
      <w:numFmt w:val="lowerRoman"/>
      <w:lvlText w:val="%1."/>
      <w:lvlJc w:val="right"/>
      <w:pPr>
        <w:ind w:left="1069" w:hanging="360"/>
      </w:pPr>
      <w:rPr>
        <w:rFonts w:hint="default"/>
        <w:color w:val="F07E31"/>
      </w:rPr>
    </w:lvl>
    <w:lvl w:ilvl="1" w:tplc="04070003" w:tentative="1">
      <w:start w:val="1"/>
      <w:numFmt w:val="bullet"/>
      <w:lvlText w:val="o"/>
      <w:lvlJc w:val="left"/>
      <w:pPr>
        <w:tabs>
          <w:tab w:val="num" w:pos="1582"/>
        </w:tabs>
        <w:ind w:left="1582" w:hanging="360"/>
      </w:pPr>
      <w:rPr>
        <w:rFonts w:ascii="Courier New" w:hAnsi="Courier New" w:hint="default"/>
      </w:rPr>
    </w:lvl>
    <w:lvl w:ilvl="2" w:tplc="04070005" w:tentative="1">
      <w:start w:val="1"/>
      <w:numFmt w:val="bullet"/>
      <w:lvlText w:val=""/>
      <w:lvlJc w:val="left"/>
      <w:pPr>
        <w:tabs>
          <w:tab w:val="num" w:pos="2302"/>
        </w:tabs>
        <w:ind w:left="2302" w:hanging="360"/>
      </w:pPr>
      <w:rPr>
        <w:rFonts w:ascii="Wingdings" w:hAnsi="Wingdings" w:hint="default"/>
      </w:rPr>
    </w:lvl>
    <w:lvl w:ilvl="3" w:tplc="04070001" w:tentative="1">
      <w:start w:val="1"/>
      <w:numFmt w:val="bullet"/>
      <w:lvlText w:val=""/>
      <w:lvlJc w:val="left"/>
      <w:pPr>
        <w:tabs>
          <w:tab w:val="num" w:pos="3022"/>
        </w:tabs>
        <w:ind w:left="3022" w:hanging="360"/>
      </w:pPr>
      <w:rPr>
        <w:rFonts w:ascii="Symbol" w:hAnsi="Symbol" w:hint="default"/>
      </w:rPr>
    </w:lvl>
    <w:lvl w:ilvl="4" w:tplc="04070003" w:tentative="1">
      <w:start w:val="1"/>
      <w:numFmt w:val="bullet"/>
      <w:lvlText w:val="o"/>
      <w:lvlJc w:val="left"/>
      <w:pPr>
        <w:tabs>
          <w:tab w:val="num" w:pos="3742"/>
        </w:tabs>
        <w:ind w:left="3742" w:hanging="360"/>
      </w:pPr>
      <w:rPr>
        <w:rFonts w:ascii="Courier New" w:hAnsi="Courier New" w:hint="default"/>
      </w:rPr>
    </w:lvl>
    <w:lvl w:ilvl="5" w:tplc="04070005" w:tentative="1">
      <w:start w:val="1"/>
      <w:numFmt w:val="bullet"/>
      <w:lvlText w:val=""/>
      <w:lvlJc w:val="left"/>
      <w:pPr>
        <w:tabs>
          <w:tab w:val="num" w:pos="4462"/>
        </w:tabs>
        <w:ind w:left="4462" w:hanging="360"/>
      </w:pPr>
      <w:rPr>
        <w:rFonts w:ascii="Wingdings" w:hAnsi="Wingdings" w:hint="default"/>
      </w:rPr>
    </w:lvl>
    <w:lvl w:ilvl="6" w:tplc="04070001" w:tentative="1">
      <w:start w:val="1"/>
      <w:numFmt w:val="bullet"/>
      <w:lvlText w:val=""/>
      <w:lvlJc w:val="left"/>
      <w:pPr>
        <w:tabs>
          <w:tab w:val="num" w:pos="5182"/>
        </w:tabs>
        <w:ind w:left="5182" w:hanging="360"/>
      </w:pPr>
      <w:rPr>
        <w:rFonts w:ascii="Symbol" w:hAnsi="Symbol" w:hint="default"/>
      </w:rPr>
    </w:lvl>
    <w:lvl w:ilvl="7" w:tplc="04070003" w:tentative="1">
      <w:start w:val="1"/>
      <w:numFmt w:val="bullet"/>
      <w:lvlText w:val="o"/>
      <w:lvlJc w:val="left"/>
      <w:pPr>
        <w:tabs>
          <w:tab w:val="num" w:pos="5902"/>
        </w:tabs>
        <w:ind w:left="5902" w:hanging="360"/>
      </w:pPr>
      <w:rPr>
        <w:rFonts w:ascii="Courier New" w:hAnsi="Courier New" w:hint="default"/>
      </w:rPr>
    </w:lvl>
    <w:lvl w:ilvl="8" w:tplc="04070005" w:tentative="1">
      <w:start w:val="1"/>
      <w:numFmt w:val="bullet"/>
      <w:lvlText w:val=""/>
      <w:lvlJc w:val="left"/>
      <w:pPr>
        <w:tabs>
          <w:tab w:val="num" w:pos="6622"/>
        </w:tabs>
        <w:ind w:left="6622" w:hanging="360"/>
      </w:pPr>
      <w:rPr>
        <w:rFonts w:ascii="Wingdings" w:hAnsi="Wingdings" w:hint="default"/>
      </w:rPr>
    </w:lvl>
  </w:abstractNum>
  <w:abstractNum w:abstractNumId="11" w15:restartNumberingAfterBreak="0">
    <w:nsid w:val="252E10FD"/>
    <w:multiLevelType w:val="hybridMultilevel"/>
    <w:tmpl w:val="82905672"/>
    <w:lvl w:ilvl="0" w:tplc="D4844340">
      <w:start w:val="1"/>
      <w:numFmt w:val="bullet"/>
      <w:lvlText w:val=""/>
      <w:lvlJc w:val="left"/>
      <w:pPr>
        <w:ind w:left="720" w:hanging="360"/>
      </w:pPr>
      <w:rPr>
        <w:rFonts w:ascii="Symbol" w:hAnsi="Symbol" w:hint="default"/>
        <w:color w:val="57825E"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7006F01"/>
    <w:multiLevelType w:val="hybridMultilevel"/>
    <w:tmpl w:val="0BF0595E"/>
    <w:lvl w:ilvl="0" w:tplc="E632BA9E">
      <w:start w:val="1"/>
      <w:numFmt w:val="bullet"/>
      <w:pStyle w:val="Hlistline3"/>
      <w:lvlText w:val="o"/>
      <w:lvlJc w:val="left"/>
      <w:pPr>
        <w:ind w:left="-207" w:hanging="360"/>
      </w:pPr>
      <w:rPr>
        <w:rFonts w:ascii="Courier New" w:hAnsi="Courier New" w:hint="default"/>
        <w:color w:val="F07E31" w:themeColor="background2"/>
      </w:rPr>
    </w:lvl>
    <w:lvl w:ilvl="1" w:tplc="04070003" w:tentative="1">
      <w:start w:val="1"/>
      <w:numFmt w:val="bullet"/>
      <w:lvlText w:val="o"/>
      <w:lvlJc w:val="left"/>
      <w:pPr>
        <w:tabs>
          <w:tab w:val="num" w:pos="306"/>
        </w:tabs>
        <w:ind w:left="306" w:hanging="360"/>
      </w:pPr>
      <w:rPr>
        <w:rFonts w:ascii="Courier New" w:hAnsi="Courier New" w:hint="default"/>
      </w:rPr>
    </w:lvl>
    <w:lvl w:ilvl="2" w:tplc="04070005" w:tentative="1">
      <w:start w:val="1"/>
      <w:numFmt w:val="bullet"/>
      <w:lvlText w:val=""/>
      <w:lvlJc w:val="left"/>
      <w:pPr>
        <w:tabs>
          <w:tab w:val="num" w:pos="1026"/>
        </w:tabs>
        <w:ind w:left="1026" w:hanging="360"/>
      </w:pPr>
      <w:rPr>
        <w:rFonts w:ascii="Wingdings" w:hAnsi="Wingdings" w:hint="default"/>
      </w:rPr>
    </w:lvl>
    <w:lvl w:ilvl="3" w:tplc="04070001" w:tentative="1">
      <w:start w:val="1"/>
      <w:numFmt w:val="bullet"/>
      <w:lvlText w:val=""/>
      <w:lvlJc w:val="left"/>
      <w:pPr>
        <w:tabs>
          <w:tab w:val="num" w:pos="1746"/>
        </w:tabs>
        <w:ind w:left="1746" w:hanging="360"/>
      </w:pPr>
      <w:rPr>
        <w:rFonts w:ascii="Symbol" w:hAnsi="Symbol" w:hint="default"/>
      </w:rPr>
    </w:lvl>
    <w:lvl w:ilvl="4" w:tplc="04070003" w:tentative="1">
      <w:start w:val="1"/>
      <w:numFmt w:val="bullet"/>
      <w:lvlText w:val="o"/>
      <w:lvlJc w:val="left"/>
      <w:pPr>
        <w:tabs>
          <w:tab w:val="num" w:pos="2466"/>
        </w:tabs>
        <w:ind w:left="2466" w:hanging="360"/>
      </w:pPr>
      <w:rPr>
        <w:rFonts w:ascii="Courier New" w:hAnsi="Courier New" w:hint="default"/>
      </w:rPr>
    </w:lvl>
    <w:lvl w:ilvl="5" w:tplc="04070005" w:tentative="1">
      <w:start w:val="1"/>
      <w:numFmt w:val="bullet"/>
      <w:lvlText w:val=""/>
      <w:lvlJc w:val="left"/>
      <w:pPr>
        <w:tabs>
          <w:tab w:val="num" w:pos="3186"/>
        </w:tabs>
        <w:ind w:left="3186" w:hanging="360"/>
      </w:pPr>
      <w:rPr>
        <w:rFonts w:ascii="Wingdings" w:hAnsi="Wingdings" w:hint="default"/>
      </w:rPr>
    </w:lvl>
    <w:lvl w:ilvl="6" w:tplc="04070001" w:tentative="1">
      <w:start w:val="1"/>
      <w:numFmt w:val="bullet"/>
      <w:lvlText w:val=""/>
      <w:lvlJc w:val="left"/>
      <w:pPr>
        <w:tabs>
          <w:tab w:val="num" w:pos="3906"/>
        </w:tabs>
        <w:ind w:left="3906" w:hanging="360"/>
      </w:pPr>
      <w:rPr>
        <w:rFonts w:ascii="Symbol" w:hAnsi="Symbol" w:hint="default"/>
      </w:rPr>
    </w:lvl>
    <w:lvl w:ilvl="7" w:tplc="04070003" w:tentative="1">
      <w:start w:val="1"/>
      <w:numFmt w:val="bullet"/>
      <w:lvlText w:val="o"/>
      <w:lvlJc w:val="left"/>
      <w:pPr>
        <w:tabs>
          <w:tab w:val="num" w:pos="4626"/>
        </w:tabs>
        <w:ind w:left="4626" w:hanging="360"/>
      </w:pPr>
      <w:rPr>
        <w:rFonts w:ascii="Courier New" w:hAnsi="Courier New" w:hint="default"/>
      </w:rPr>
    </w:lvl>
    <w:lvl w:ilvl="8" w:tplc="04070005" w:tentative="1">
      <w:start w:val="1"/>
      <w:numFmt w:val="bullet"/>
      <w:lvlText w:val=""/>
      <w:lvlJc w:val="left"/>
      <w:pPr>
        <w:tabs>
          <w:tab w:val="num" w:pos="5346"/>
        </w:tabs>
        <w:ind w:left="5346" w:hanging="360"/>
      </w:pPr>
      <w:rPr>
        <w:rFonts w:ascii="Wingdings" w:hAnsi="Wingdings" w:hint="default"/>
      </w:rPr>
    </w:lvl>
  </w:abstractNum>
  <w:abstractNum w:abstractNumId="13" w15:restartNumberingAfterBreak="0">
    <w:nsid w:val="27465188"/>
    <w:multiLevelType w:val="hybridMultilevel"/>
    <w:tmpl w:val="64023580"/>
    <w:lvl w:ilvl="0" w:tplc="CC8CACE2">
      <w:start w:val="1"/>
      <w:numFmt w:val="bullet"/>
      <w:pStyle w:val="Hlistbullet"/>
      <w:lvlText w:val=""/>
      <w:lvlJc w:val="left"/>
      <w:pPr>
        <w:ind w:left="360" w:hanging="360"/>
      </w:pPr>
      <w:rPr>
        <w:rFonts w:ascii="Symbol" w:hAnsi="Symbol" w:hint="default"/>
        <w:color w:val="57825E" w:themeColor="accent4"/>
        <w:sz w:val="18"/>
      </w:rPr>
    </w:lvl>
    <w:lvl w:ilvl="1" w:tplc="080C0003">
      <w:start w:val="1"/>
      <w:numFmt w:val="bullet"/>
      <w:lvlText w:val="o"/>
      <w:lvlJc w:val="left"/>
      <w:pPr>
        <w:ind w:left="1156" w:hanging="360"/>
      </w:pPr>
      <w:rPr>
        <w:rFonts w:ascii="Courier New" w:hAnsi="Courier New" w:cs="Courier New" w:hint="default"/>
      </w:rPr>
    </w:lvl>
    <w:lvl w:ilvl="2" w:tplc="080C0005" w:tentative="1">
      <w:start w:val="1"/>
      <w:numFmt w:val="bullet"/>
      <w:lvlText w:val=""/>
      <w:lvlJc w:val="left"/>
      <w:pPr>
        <w:ind w:left="1876" w:hanging="360"/>
      </w:pPr>
      <w:rPr>
        <w:rFonts w:ascii="Wingdings" w:hAnsi="Wingdings" w:hint="default"/>
      </w:rPr>
    </w:lvl>
    <w:lvl w:ilvl="3" w:tplc="080C0001" w:tentative="1">
      <w:start w:val="1"/>
      <w:numFmt w:val="bullet"/>
      <w:lvlText w:val=""/>
      <w:lvlJc w:val="left"/>
      <w:pPr>
        <w:ind w:left="2596" w:hanging="360"/>
      </w:pPr>
      <w:rPr>
        <w:rFonts w:ascii="Symbol" w:hAnsi="Symbol" w:hint="default"/>
      </w:rPr>
    </w:lvl>
    <w:lvl w:ilvl="4" w:tplc="080C0003" w:tentative="1">
      <w:start w:val="1"/>
      <w:numFmt w:val="bullet"/>
      <w:lvlText w:val="o"/>
      <w:lvlJc w:val="left"/>
      <w:pPr>
        <w:ind w:left="3316" w:hanging="360"/>
      </w:pPr>
      <w:rPr>
        <w:rFonts w:ascii="Courier New" w:hAnsi="Courier New" w:cs="Courier New" w:hint="default"/>
      </w:rPr>
    </w:lvl>
    <w:lvl w:ilvl="5" w:tplc="080C0005" w:tentative="1">
      <w:start w:val="1"/>
      <w:numFmt w:val="bullet"/>
      <w:lvlText w:val=""/>
      <w:lvlJc w:val="left"/>
      <w:pPr>
        <w:ind w:left="4036" w:hanging="360"/>
      </w:pPr>
      <w:rPr>
        <w:rFonts w:ascii="Wingdings" w:hAnsi="Wingdings" w:hint="default"/>
      </w:rPr>
    </w:lvl>
    <w:lvl w:ilvl="6" w:tplc="080C0001" w:tentative="1">
      <w:start w:val="1"/>
      <w:numFmt w:val="bullet"/>
      <w:lvlText w:val=""/>
      <w:lvlJc w:val="left"/>
      <w:pPr>
        <w:ind w:left="4756" w:hanging="360"/>
      </w:pPr>
      <w:rPr>
        <w:rFonts w:ascii="Symbol" w:hAnsi="Symbol" w:hint="default"/>
      </w:rPr>
    </w:lvl>
    <w:lvl w:ilvl="7" w:tplc="080C0003" w:tentative="1">
      <w:start w:val="1"/>
      <w:numFmt w:val="bullet"/>
      <w:lvlText w:val="o"/>
      <w:lvlJc w:val="left"/>
      <w:pPr>
        <w:ind w:left="5476" w:hanging="360"/>
      </w:pPr>
      <w:rPr>
        <w:rFonts w:ascii="Courier New" w:hAnsi="Courier New" w:cs="Courier New" w:hint="default"/>
      </w:rPr>
    </w:lvl>
    <w:lvl w:ilvl="8" w:tplc="080C0005" w:tentative="1">
      <w:start w:val="1"/>
      <w:numFmt w:val="bullet"/>
      <w:lvlText w:val=""/>
      <w:lvlJc w:val="left"/>
      <w:pPr>
        <w:ind w:left="6196" w:hanging="360"/>
      </w:pPr>
      <w:rPr>
        <w:rFonts w:ascii="Wingdings" w:hAnsi="Wingdings" w:hint="default"/>
      </w:rPr>
    </w:lvl>
  </w:abstractNum>
  <w:abstractNum w:abstractNumId="14" w15:restartNumberingAfterBreak="0">
    <w:nsid w:val="283E0DF0"/>
    <w:multiLevelType w:val="multilevel"/>
    <w:tmpl w:val="080C001D"/>
    <w:styleLink w:val="MaListe"/>
    <w:lvl w:ilvl="0">
      <w:start w:val="1"/>
      <w:numFmt w:val="decimal"/>
      <w:lvlText w:val="%1)"/>
      <w:lvlJc w:val="left"/>
      <w:pPr>
        <w:ind w:left="360" w:hanging="360"/>
      </w:pPr>
      <w:rPr>
        <w:color w:val="F38337"/>
        <w:sz w:val="20"/>
      </w:rPr>
    </w:lvl>
    <w:lvl w:ilvl="1">
      <w:start w:val="1"/>
      <w:numFmt w:val="lowerLetter"/>
      <w:lvlText w:val="%2)"/>
      <w:lvlJc w:val="left"/>
      <w:pPr>
        <w:ind w:left="720" w:hanging="360"/>
      </w:pPr>
    </w:lvl>
    <w:lvl w:ilvl="2">
      <w:start w:val="1"/>
      <w:numFmt w:val="decimal"/>
      <w:lvlText w:val="%3)"/>
      <w:lvlJc w:val="left"/>
      <w:pPr>
        <w:ind w:left="1080" w:hanging="360"/>
      </w:pPr>
      <w:rPr>
        <w:color w:val="F38337"/>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28726937"/>
    <w:multiLevelType w:val="hybridMultilevel"/>
    <w:tmpl w:val="D14E3CE4"/>
    <w:lvl w:ilvl="0" w:tplc="B914CCB4">
      <w:start w:val="5"/>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B3D77C8"/>
    <w:multiLevelType w:val="hybridMultilevel"/>
    <w:tmpl w:val="5D2CCB22"/>
    <w:lvl w:ilvl="0" w:tplc="5900BB34">
      <w:start w:val="1"/>
      <w:numFmt w:val="bullet"/>
      <w:pStyle w:val="Normal1"/>
      <w:lvlText w:val=""/>
      <w:lvlJc w:val="left"/>
      <w:pPr>
        <w:ind w:left="720" w:hanging="360"/>
      </w:pPr>
      <w:rPr>
        <w:rFonts w:ascii="Symbol" w:hAnsi="Symbol" w:hint="default"/>
        <w:color w:val="006463"/>
        <w:sz w:val="20"/>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7" w15:restartNumberingAfterBreak="0">
    <w:nsid w:val="2F837949"/>
    <w:multiLevelType w:val="hybridMultilevel"/>
    <w:tmpl w:val="7A5EC86A"/>
    <w:lvl w:ilvl="0" w:tplc="041B000D">
      <w:start w:val="1"/>
      <w:numFmt w:val="bullet"/>
      <w:pStyle w:val="Tiret1"/>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8" w15:restartNumberingAfterBreak="0">
    <w:nsid w:val="310547BD"/>
    <w:multiLevelType w:val="hybridMultilevel"/>
    <w:tmpl w:val="80F0F81C"/>
    <w:lvl w:ilvl="0" w:tplc="6AC69EB2">
      <w:start w:val="1"/>
      <w:numFmt w:val="decimal"/>
      <w:pStyle w:val="HHeadingfigures"/>
      <w:suff w:val="space"/>
      <w:lvlText w:val="Figura %1."/>
      <w:lvlJc w:val="left"/>
      <w:pPr>
        <w:ind w:left="142" w:firstLine="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34864613"/>
    <w:multiLevelType w:val="hybridMultilevel"/>
    <w:tmpl w:val="2ABCF642"/>
    <w:lvl w:ilvl="0" w:tplc="D242DF38">
      <w:start w:val="1"/>
      <w:numFmt w:val="decimal"/>
      <w:pStyle w:val="Subtitle"/>
      <w:lvlText w:val="Table %1"/>
      <w:lvlJc w:val="left"/>
      <w:pPr>
        <w:ind w:left="360" w:hanging="360"/>
      </w:pPr>
      <w:rPr>
        <w:rFonts w:ascii="Arial" w:hAnsi="Arial" w:cs="Times New Roman" w:hint="default"/>
        <w:b/>
        <w:i w:val="0"/>
        <w:color w:val="006364"/>
        <w:sz w:val="28"/>
        <w:szCs w:val="16"/>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0" w15:restartNumberingAfterBreak="0">
    <w:nsid w:val="374462BC"/>
    <w:multiLevelType w:val="hybridMultilevel"/>
    <w:tmpl w:val="2B26D17C"/>
    <w:lvl w:ilvl="0" w:tplc="FFC4CA18">
      <w:start w:val="1"/>
      <w:numFmt w:val="bullet"/>
      <w:lvlText w:val=""/>
      <w:lvlJc w:val="left"/>
      <w:pPr>
        <w:ind w:left="720" w:hanging="360"/>
      </w:pPr>
      <w:rPr>
        <w:rFonts w:ascii="Symbol" w:hAnsi="Symbol" w:hint="default"/>
        <w:color w:val="57825E"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9F103F4"/>
    <w:multiLevelType w:val="multilevel"/>
    <w:tmpl w:val="A6C2D728"/>
    <w:lvl w:ilvl="0">
      <w:start w:val="1"/>
      <w:numFmt w:val="decimal"/>
      <w:lvlText w:val="%1."/>
      <w:lvlJc w:val="left"/>
      <w:pPr>
        <w:ind w:left="720" w:hanging="360"/>
      </w:pPr>
    </w:lvl>
    <w:lvl w:ilvl="1">
      <w:start w:val="1"/>
      <w:numFmt w:val="decimal"/>
      <w:lvlText w:val="%1.%2"/>
      <w:lvlJc w:val="left"/>
      <w:pPr>
        <w:ind w:left="1164" w:hanging="804"/>
      </w:pPr>
    </w:lvl>
    <w:lvl w:ilvl="2">
      <w:start w:val="1"/>
      <w:numFmt w:val="decimal"/>
      <w:lvlText w:val="%1.%2.%3"/>
      <w:lvlJc w:val="left"/>
      <w:pPr>
        <w:ind w:left="510" w:hanging="510"/>
      </w:pPr>
    </w:lvl>
    <w:lvl w:ilvl="3">
      <w:start w:val="1"/>
      <w:numFmt w:val="decimal"/>
      <w:lvlText w:val="%1.%2.%3.%4"/>
      <w:lvlJc w:val="left"/>
      <w:pPr>
        <w:ind w:left="1440" w:hanging="1080"/>
      </w:pPr>
    </w:lvl>
    <w:lvl w:ilvl="4">
      <w:start w:val="1"/>
      <w:numFmt w:val="decimal"/>
      <w:lvlText w:val="%1.%2.%3.%4.%5"/>
      <w:lvlJc w:val="left"/>
      <w:pPr>
        <w:ind w:left="1800" w:hanging="1440"/>
      </w:pPr>
    </w:lvl>
    <w:lvl w:ilvl="5">
      <w:start w:val="1"/>
      <w:numFmt w:val="decimal"/>
      <w:lvlText w:val="%1.%2.%3.%4.%5.%6"/>
      <w:lvlJc w:val="left"/>
      <w:pPr>
        <w:ind w:left="2160" w:hanging="1800"/>
      </w:pPr>
    </w:lvl>
    <w:lvl w:ilvl="6">
      <w:start w:val="1"/>
      <w:numFmt w:val="decimal"/>
      <w:lvlText w:val="%1.%2.%3.%4.%5.%6.%7"/>
      <w:lvlJc w:val="left"/>
      <w:pPr>
        <w:ind w:left="2160" w:hanging="1800"/>
      </w:pPr>
    </w:lvl>
    <w:lvl w:ilvl="7">
      <w:start w:val="1"/>
      <w:numFmt w:val="decimal"/>
      <w:lvlText w:val="%1.%2.%3.%4.%5.%6.%7.%8"/>
      <w:lvlJc w:val="left"/>
      <w:pPr>
        <w:ind w:left="2520" w:hanging="2160"/>
      </w:pPr>
    </w:lvl>
    <w:lvl w:ilvl="8">
      <w:start w:val="1"/>
      <w:numFmt w:val="decimal"/>
      <w:lvlText w:val="%1.%2.%3.%4.%5.%6.%7.%8.%9"/>
      <w:lvlJc w:val="left"/>
      <w:pPr>
        <w:ind w:left="2880" w:hanging="2520"/>
      </w:pPr>
    </w:lvl>
  </w:abstractNum>
  <w:abstractNum w:abstractNumId="22" w15:restartNumberingAfterBreak="0">
    <w:nsid w:val="3BBC6932"/>
    <w:multiLevelType w:val="hybridMultilevel"/>
    <w:tmpl w:val="FC084612"/>
    <w:lvl w:ilvl="0" w:tplc="9B940706">
      <w:start w:val="1"/>
      <w:numFmt w:val="bullet"/>
      <w:lvlText w:val=""/>
      <w:lvlJc w:val="left"/>
      <w:pPr>
        <w:ind w:left="644" w:hanging="360"/>
      </w:pPr>
      <w:rPr>
        <w:rFonts w:ascii="Symbol" w:hAnsi="Symbol" w:hint="default"/>
        <w:color w:val="F07E31" w:themeColor="background2"/>
        <w:sz w:val="18"/>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EB43E75"/>
    <w:multiLevelType w:val="multilevel"/>
    <w:tmpl w:val="10447066"/>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color w:val="373737" w:themeColor="background1" w:themeShade="4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40B93700"/>
    <w:multiLevelType w:val="hybridMultilevel"/>
    <w:tmpl w:val="7FCC5846"/>
    <w:lvl w:ilvl="0" w:tplc="041B000F">
      <w:start w:val="4"/>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5" w15:restartNumberingAfterBreak="0">
    <w:nsid w:val="43A72027"/>
    <w:multiLevelType w:val="hybridMultilevel"/>
    <w:tmpl w:val="ED1009A0"/>
    <w:lvl w:ilvl="0" w:tplc="C7EE8454">
      <w:start w:val="1"/>
      <w:numFmt w:val="decimal"/>
      <w:pStyle w:val="HHeadingtables"/>
      <w:suff w:val="space"/>
      <w:lvlText w:val="Tabella %1."/>
      <w:lvlJc w:val="left"/>
      <w:pPr>
        <w:ind w:left="0" w:firstLine="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47F8294A"/>
    <w:multiLevelType w:val="hybridMultilevel"/>
    <w:tmpl w:val="38DCBA90"/>
    <w:lvl w:ilvl="0" w:tplc="DFF699A8">
      <w:start w:val="1"/>
      <w:numFmt w:val="lowerLetter"/>
      <w:pStyle w:val="Hlistabc"/>
      <w:lvlText w:val="%1)"/>
      <w:lvlJc w:val="left"/>
      <w:pPr>
        <w:tabs>
          <w:tab w:val="num" w:pos="644"/>
        </w:tabs>
        <w:ind w:left="567" w:hanging="283"/>
      </w:pPr>
      <w:rPr>
        <w:rFonts w:hint="default"/>
        <w:color w:val="373737" w:themeColor="background1" w:themeShade="4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7" w15:restartNumberingAfterBreak="0">
    <w:nsid w:val="499F27E4"/>
    <w:multiLevelType w:val="hybridMultilevel"/>
    <w:tmpl w:val="3AECFD18"/>
    <w:lvl w:ilvl="0" w:tplc="0809001B">
      <w:start w:val="1"/>
      <w:numFmt w:val="lowerRoman"/>
      <w:lvlText w:val="%1."/>
      <w:lvlJc w:val="right"/>
      <w:pPr>
        <w:ind w:left="1069" w:hanging="360"/>
      </w:pPr>
      <w:rPr>
        <w:rFonts w:hint="default"/>
        <w:color w:val="F07E31"/>
      </w:rPr>
    </w:lvl>
    <w:lvl w:ilvl="1" w:tplc="04070003" w:tentative="1">
      <w:start w:val="1"/>
      <w:numFmt w:val="bullet"/>
      <w:lvlText w:val="o"/>
      <w:lvlJc w:val="left"/>
      <w:pPr>
        <w:tabs>
          <w:tab w:val="num" w:pos="1582"/>
        </w:tabs>
        <w:ind w:left="1582" w:hanging="360"/>
      </w:pPr>
      <w:rPr>
        <w:rFonts w:ascii="Courier New" w:hAnsi="Courier New" w:hint="default"/>
      </w:rPr>
    </w:lvl>
    <w:lvl w:ilvl="2" w:tplc="04070005" w:tentative="1">
      <w:start w:val="1"/>
      <w:numFmt w:val="bullet"/>
      <w:lvlText w:val=""/>
      <w:lvlJc w:val="left"/>
      <w:pPr>
        <w:tabs>
          <w:tab w:val="num" w:pos="2302"/>
        </w:tabs>
        <w:ind w:left="2302" w:hanging="360"/>
      </w:pPr>
      <w:rPr>
        <w:rFonts w:ascii="Wingdings" w:hAnsi="Wingdings" w:hint="default"/>
      </w:rPr>
    </w:lvl>
    <w:lvl w:ilvl="3" w:tplc="04070001" w:tentative="1">
      <w:start w:val="1"/>
      <w:numFmt w:val="bullet"/>
      <w:lvlText w:val=""/>
      <w:lvlJc w:val="left"/>
      <w:pPr>
        <w:tabs>
          <w:tab w:val="num" w:pos="3022"/>
        </w:tabs>
        <w:ind w:left="3022" w:hanging="360"/>
      </w:pPr>
      <w:rPr>
        <w:rFonts w:ascii="Symbol" w:hAnsi="Symbol" w:hint="default"/>
      </w:rPr>
    </w:lvl>
    <w:lvl w:ilvl="4" w:tplc="04070003" w:tentative="1">
      <w:start w:val="1"/>
      <w:numFmt w:val="bullet"/>
      <w:lvlText w:val="o"/>
      <w:lvlJc w:val="left"/>
      <w:pPr>
        <w:tabs>
          <w:tab w:val="num" w:pos="3742"/>
        </w:tabs>
        <w:ind w:left="3742" w:hanging="360"/>
      </w:pPr>
      <w:rPr>
        <w:rFonts w:ascii="Courier New" w:hAnsi="Courier New" w:hint="default"/>
      </w:rPr>
    </w:lvl>
    <w:lvl w:ilvl="5" w:tplc="04070005" w:tentative="1">
      <w:start w:val="1"/>
      <w:numFmt w:val="bullet"/>
      <w:lvlText w:val=""/>
      <w:lvlJc w:val="left"/>
      <w:pPr>
        <w:tabs>
          <w:tab w:val="num" w:pos="4462"/>
        </w:tabs>
        <w:ind w:left="4462" w:hanging="360"/>
      </w:pPr>
      <w:rPr>
        <w:rFonts w:ascii="Wingdings" w:hAnsi="Wingdings" w:hint="default"/>
      </w:rPr>
    </w:lvl>
    <w:lvl w:ilvl="6" w:tplc="04070001" w:tentative="1">
      <w:start w:val="1"/>
      <w:numFmt w:val="bullet"/>
      <w:lvlText w:val=""/>
      <w:lvlJc w:val="left"/>
      <w:pPr>
        <w:tabs>
          <w:tab w:val="num" w:pos="5182"/>
        </w:tabs>
        <w:ind w:left="5182" w:hanging="360"/>
      </w:pPr>
      <w:rPr>
        <w:rFonts w:ascii="Symbol" w:hAnsi="Symbol" w:hint="default"/>
      </w:rPr>
    </w:lvl>
    <w:lvl w:ilvl="7" w:tplc="04070003" w:tentative="1">
      <w:start w:val="1"/>
      <w:numFmt w:val="bullet"/>
      <w:lvlText w:val="o"/>
      <w:lvlJc w:val="left"/>
      <w:pPr>
        <w:tabs>
          <w:tab w:val="num" w:pos="5902"/>
        </w:tabs>
        <w:ind w:left="5902" w:hanging="360"/>
      </w:pPr>
      <w:rPr>
        <w:rFonts w:ascii="Courier New" w:hAnsi="Courier New" w:hint="default"/>
      </w:rPr>
    </w:lvl>
    <w:lvl w:ilvl="8" w:tplc="04070005" w:tentative="1">
      <w:start w:val="1"/>
      <w:numFmt w:val="bullet"/>
      <w:lvlText w:val=""/>
      <w:lvlJc w:val="left"/>
      <w:pPr>
        <w:tabs>
          <w:tab w:val="num" w:pos="6622"/>
        </w:tabs>
        <w:ind w:left="6622" w:hanging="360"/>
      </w:pPr>
      <w:rPr>
        <w:rFonts w:ascii="Wingdings" w:hAnsi="Wingdings" w:hint="default"/>
      </w:rPr>
    </w:lvl>
  </w:abstractNum>
  <w:abstractNum w:abstractNumId="28" w15:restartNumberingAfterBreak="0">
    <w:nsid w:val="4A990DBB"/>
    <w:multiLevelType w:val="hybridMultilevel"/>
    <w:tmpl w:val="C6DA3FBA"/>
    <w:lvl w:ilvl="0" w:tplc="6B9E2AC8">
      <w:start w:val="1"/>
      <w:numFmt w:val="decimal"/>
      <w:pStyle w:val="Caption"/>
      <w:lvlText w:val="Figure %1"/>
      <w:lvlJc w:val="left"/>
      <w:pPr>
        <w:ind w:left="502" w:hanging="360"/>
      </w:pPr>
      <w:rPr>
        <w:rFonts w:cs="Times New Roman" w:hint="default"/>
        <w:b/>
        <w:i w:val="0"/>
        <w:sz w:val="16"/>
        <w:szCs w:val="16"/>
      </w:rPr>
    </w:lvl>
    <w:lvl w:ilvl="1" w:tplc="080C0019">
      <w:numFmt w:val="decimal"/>
      <w:lvlText w:val=""/>
      <w:lvlJc w:val="left"/>
    </w:lvl>
    <w:lvl w:ilvl="2" w:tplc="080C001B">
      <w:numFmt w:val="decimal"/>
      <w:lvlText w:val=""/>
      <w:lvlJc w:val="left"/>
    </w:lvl>
    <w:lvl w:ilvl="3" w:tplc="080C000F">
      <w:numFmt w:val="decimal"/>
      <w:lvlText w:val=""/>
      <w:lvlJc w:val="left"/>
    </w:lvl>
    <w:lvl w:ilvl="4" w:tplc="080C0019">
      <w:numFmt w:val="decimal"/>
      <w:lvlText w:val=""/>
      <w:lvlJc w:val="left"/>
    </w:lvl>
    <w:lvl w:ilvl="5" w:tplc="080C001B">
      <w:numFmt w:val="decimal"/>
      <w:lvlText w:val=""/>
      <w:lvlJc w:val="left"/>
    </w:lvl>
    <w:lvl w:ilvl="6" w:tplc="080C000F">
      <w:numFmt w:val="decimal"/>
      <w:lvlText w:val=""/>
      <w:lvlJc w:val="left"/>
    </w:lvl>
    <w:lvl w:ilvl="7" w:tplc="080C0019">
      <w:numFmt w:val="decimal"/>
      <w:lvlText w:val=""/>
      <w:lvlJc w:val="left"/>
    </w:lvl>
    <w:lvl w:ilvl="8" w:tplc="080C001B">
      <w:numFmt w:val="decimal"/>
      <w:lvlText w:val=""/>
      <w:lvlJc w:val="left"/>
    </w:lvl>
  </w:abstractNum>
  <w:abstractNum w:abstractNumId="29" w15:restartNumberingAfterBreak="0">
    <w:nsid w:val="54BD0BEC"/>
    <w:multiLevelType w:val="singleLevel"/>
    <w:tmpl w:val="72D6F376"/>
    <w:lvl w:ilvl="0">
      <w:numFmt w:val="decimal"/>
      <w:pStyle w:val="ListBullet"/>
      <w:lvlText w:val=""/>
      <w:lvlJc w:val="left"/>
    </w:lvl>
  </w:abstractNum>
  <w:abstractNum w:abstractNumId="30" w15:restartNumberingAfterBreak="0">
    <w:nsid w:val="558F0FE8"/>
    <w:multiLevelType w:val="multilevel"/>
    <w:tmpl w:val="926A5236"/>
    <w:lvl w:ilvl="0">
      <w:start w:val="1"/>
      <w:numFmt w:val="decimal"/>
      <w:pStyle w:val="H-Heading1"/>
      <w:lvlText w:val="%1."/>
      <w:lvlJc w:val="left"/>
      <w:pPr>
        <w:ind w:left="720" w:hanging="360"/>
      </w:pPr>
      <w:rPr>
        <w:rFonts w:hint="default"/>
      </w:rPr>
    </w:lvl>
    <w:lvl w:ilvl="1">
      <w:start w:val="1"/>
      <w:numFmt w:val="decimal"/>
      <w:isLgl/>
      <w:lvlText w:val="%1.%2"/>
      <w:lvlJc w:val="left"/>
      <w:pPr>
        <w:ind w:left="1164" w:hanging="804"/>
      </w:pPr>
      <w:rPr>
        <w:rFonts w:hint="default"/>
      </w:rPr>
    </w:lvl>
    <w:lvl w:ilvl="2">
      <w:start w:val="1"/>
      <w:numFmt w:val="decimal"/>
      <w:pStyle w:val="H-Heading3"/>
      <w:isLgl/>
      <w:lvlText w:val="%1.%2.%3"/>
      <w:lvlJc w:val="left"/>
      <w:pPr>
        <w:ind w:left="510" w:hanging="51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1" w15:restartNumberingAfterBreak="0">
    <w:nsid w:val="5800382B"/>
    <w:multiLevelType w:val="hybridMultilevel"/>
    <w:tmpl w:val="10D8A58A"/>
    <w:lvl w:ilvl="0" w:tplc="9DFAE80C">
      <w:start w:val="1"/>
      <w:numFmt w:val="decimal"/>
      <w:pStyle w:val="H-Box"/>
      <w:lvlText w:val="Box %1."/>
      <w:lvlJc w:val="left"/>
      <w:pPr>
        <w:ind w:left="1740" w:hanging="360"/>
      </w:pPr>
      <w:rPr>
        <w:rFonts w:hint="default"/>
      </w:rPr>
    </w:lvl>
    <w:lvl w:ilvl="1" w:tplc="080C0019" w:tentative="1">
      <w:start w:val="1"/>
      <w:numFmt w:val="lowerLetter"/>
      <w:lvlText w:val="%2."/>
      <w:lvlJc w:val="left"/>
      <w:pPr>
        <w:ind w:left="2460" w:hanging="360"/>
      </w:pPr>
    </w:lvl>
    <w:lvl w:ilvl="2" w:tplc="080C001B" w:tentative="1">
      <w:start w:val="1"/>
      <w:numFmt w:val="lowerRoman"/>
      <w:lvlText w:val="%3."/>
      <w:lvlJc w:val="right"/>
      <w:pPr>
        <w:ind w:left="3180" w:hanging="180"/>
      </w:pPr>
    </w:lvl>
    <w:lvl w:ilvl="3" w:tplc="080C000F" w:tentative="1">
      <w:start w:val="1"/>
      <w:numFmt w:val="decimal"/>
      <w:lvlText w:val="%4."/>
      <w:lvlJc w:val="left"/>
      <w:pPr>
        <w:ind w:left="3900" w:hanging="360"/>
      </w:pPr>
    </w:lvl>
    <w:lvl w:ilvl="4" w:tplc="080C0019" w:tentative="1">
      <w:start w:val="1"/>
      <w:numFmt w:val="lowerLetter"/>
      <w:lvlText w:val="%5."/>
      <w:lvlJc w:val="left"/>
      <w:pPr>
        <w:ind w:left="4620" w:hanging="360"/>
      </w:pPr>
    </w:lvl>
    <w:lvl w:ilvl="5" w:tplc="080C001B" w:tentative="1">
      <w:start w:val="1"/>
      <w:numFmt w:val="lowerRoman"/>
      <w:lvlText w:val="%6."/>
      <w:lvlJc w:val="right"/>
      <w:pPr>
        <w:ind w:left="5340" w:hanging="180"/>
      </w:pPr>
    </w:lvl>
    <w:lvl w:ilvl="6" w:tplc="080C000F" w:tentative="1">
      <w:start w:val="1"/>
      <w:numFmt w:val="decimal"/>
      <w:lvlText w:val="%7."/>
      <w:lvlJc w:val="left"/>
      <w:pPr>
        <w:ind w:left="6060" w:hanging="360"/>
      </w:pPr>
    </w:lvl>
    <w:lvl w:ilvl="7" w:tplc="080C0019" w:tentative="1">
      <w:start w:val="1"/>
      <w:numFmt w:val="lowerLetter"/>
      <w:lvlText w:val="%8."/>
      <w:lvlJc w:val="left"/>
      <w:pPr>
        <w:ind w:left="6780" w:hanging="360"/>
      </w:pPr>
    </w:lvl>
    <w:lvl w:ilvl="8" w:tplc="080C001B" w:tentative="1">
      <w:start w:val="1"/>
      <w:numFmt w:val="lowerRoman"/>
      <w:lvlText w:val="%9."/>
      <w:lvlJc w:val="right"/>
      <w:pPr>
        <w:ind w:left="7500" w:hanging="180"/>
      </w:pPr>
    </w:lvl>
  </w:abstractNum>
  <w:abstractNum w:abstractNumId="32" w15:restartNumberingAfterBreak="0">
    <w:nsid w:val="59805909"/>
    <w:multiLevelType w:val="hybridMultilevel"/>
    <w:tmpl w:val="F1DAEA8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3" w15:restartNumberingAfterBreak="0">
    <w:nsid w:val="59AC76AA"/>
    <w:multiLevelType w:val="multilevel"/>
    <w:tmpl w:val="43D6D4C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5F79730C"/>
    <w:multiLevelType w:val="hybridMultilevel"/>
    <w:tmpl w:val="F9D6390A"/>
    <w:lvl w:ilvl="0" w:tplc="0E4CE200">
      <w:start w:val="1"/>
      <w:numFmt w:val="decimal"/>
      <w:pStyle w:val="Mypodkapitola"/>
      <w:lvlText w:val="2.%1"/>
      <w:lvlJc w:val="left"/>
      <w:pPr>
        <w:ind w:left="720" w:hanging="360"/>
      </w:pPr>
      <w:rPr>
        <w:rFonts w:hint="default"/>
        <w:b w:val="0"/>
        <w:color w:val="auto"/>
        <w:sz w:val="2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5" w15:restartNumberingAfterBreak="0">
    <w:nsid w:val="5FA6241B"/>
    <w:multiLevelType w:val="hybridMultilevel"/>
    <w:tmpl w:val="CCA2D8AE"/>
    <w:lvl w:ilvl="0" w:tplc="46CEBF9E">
      <w:start w:val="1"/>
      <w:numFmt w:val="decimal"/>
      <w:lvlText w:val="%1."/>
      <w:lvlJc w:val="left"/>
      <w:pPr>
        <w:ind w:left="776" w:hanging="360"/>
      </w:pPr>
      <w:rPr>
        <w:b/>
        <w:color w:val="BE4A35" w:themeColor="accent2"/>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6" w15:restartNumberingAfterBreak="0">
    <w:nsid w:val="60F5675E"/>
    <w:multiLevelType w:val="hybridMultilevel"/>
    <w:tmpl w:val="90DA7D2A"/>
    <w:lvl w:ilvl="0" w:tplc="9F7E2018">
      <w:start w:val="1"/>
      <w:numFmt w:val="decimal"/>
      <w:pStyle w:val="H-Figure"/>
      <w:lvlText w:val="Figure %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7" w15:restartNumberingAfterBreak="0">
    <w:nsid w:val="6303411E"/>
    <w:multiLevelType w:val="multilevel"/>
    <w:tmpl w:val="931C3F00"/>
    <w:lvl w:ilvl="0">
      <w:start w:val="1"/>
      <w:numFmt w:val="decimal"/>
      <w:lvlText w:val="%1."/>
      <w:lvlJc w:val="left"/>
      <w:pPr>
        <w:ind w:left="360" w:hanging="360"/>
      </w:pPr>
      <w:rPr>
        <w:b/>
        <w:color w:val="BE4A35" w:themeColor="accent2"/>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8" w15:restartNumberingAfterBreak="0">
    <w:nsid w:val="68C172BE"/>
    <w:multiLevelType w:val="multilevel"/>
    <w:tmpl w:val="5384610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69081875"/>
    <w:multiLevelType w:val="hybridMultilevel"/>
    <w:tmpl w:val="C7D0241C"/>
    <w:lvl w:ilvl="0" w:tplc="0BD4195A">
      <w:start w:val="1"/>
      <w:numFmt w:val="decimal"/>
      <w:pStyle w:val="H-Table"/>
      <w:lvlText w:val="Table %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0" w15:restartNumberingAfterBreak="0">
    <w:nsid w:val="6A034701"/>
    <w:multiLevelType w:val="hybridMultilevel"/>
    <w:tmpl w:val="A1281D26"/>
    <w:lvl w:ilvl="0" w:tplc="8E5AB654">
      <w:start w:val="1"/>
      <w:numFmt w:val="bullet"/>
      <w:lvlText w:val=""/>
      <w:lvlJc w:val="left"/>
      <w:pPr>
        <w:ind w:left="720" w:hanging="360"/>
      </w:pPr>
      <w:rPr>
        <w:rFonts w:ascii="Symbol" w:hAnsi="Symbol" w:hint="default"/>
        <w:color w:val="57825E" w:themeColor="accent4"/>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A3E1046"/>
    <w:multiLevelType w:val="multilevel"/>
    <w:tmpl w:val="9C340A76"/>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3"/>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2" w15:restartNumberingAfterBreak="0">
    <w:nsid w:val="6AE471F4"/>
    <w:multiLevelType w:val="hybridMultilevel"/>
    <w:tmpl w:val="E980839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3" w15:restartNumberingAfterBreak="0">
    <w:nsid w:val="6CC46644"/>
    <w:multiLevelType w:val="multilevel"/>
    <w:tmpl w:val="225805F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73083CD8"/>
    <w:multiLevelType w:val="multilevel"/>
    <w:tmpl w:val="1E8AFCC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rPr>
        <w:color w:val="373737" w:themeColor="background1" w:themeShade="4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795D33D3"/>
    <w:multiLevelType w:val="multilevel"/>
    <w:tmpl w:val="17EAEAAC"/>
    <w:lvl w:ilvl="0">
      <w:start w:val="1"/>
      <w:numFmt w:val="decimal"/>
      <w:pStyle w:val="HHeading1"/>
      <w:lvlText w:val="%1"/>
      <w:lvlJc w:val="left"/>
      <w:pPr>
        <w:tabs>
          <w:tab w:val="num" w:pos="474"/>
        </w:tabs>
        <w:ind w:left="262" w:hanging="148"/>
      </w:pPr>
      <w:rPr>
        <w:rFonts w:hint="default"/>
      </w:rPr>
    </w:lvl>
    <w:lvl w:ilvl="1">
      <w:start w:val="1"/>
      <w:numFmt w:val="decimal"/>
      <w:pStyle w:val="HHeading2"/>
      <w:lvlText w:val="%1.%2"/>
      <w:lvlJc w:val="left"/>
      <w:pPr>
        <w:tabs>
          <w:tab w:val="num" w:pos="360"/>
        </w:tabs>
        <w:ind w:left="0" w:firstLine="0"/>
      </w:pPr>
      <w:rPr>
        <w:rFonts w:hint="default"/>
      </w:rPr>
    </w:lvl>
    <w:lvl w:ilvl="2">
      <w:start w:val="1"/>
      <w:numFmt w:val="decimal"/>
      <w:pStyle w:val="HHeading3"/>
      <w:lvlText w:val="%1.%2.%3"/>
      <w:lvlJc w:val="left"/>
      <w:pPr>
        <w:tabs>
          <w:tab w:val="num" w:pos="720"/>
        </w:tabs>
        <w:ind w:left="0" w:firstLine="0"/>
      </w:pPr>
      <w:rPr>
        <w:rFonts w:hint="default"/>
      </w:rPr>
    </w:lvl>
    <w:lvl w:ilvl="3">
      <w:start w:val="1"/>
      <w:numFmt w:val="decimal"/>
      <w:pStyle w:val="HHeading4"/>
      <w:lvlText w:val="%1.%2.%3.%4"/>
      <w:lvlJc w:val="left"/>
      <w:pPr>
        <w:tabs>
          <w:tab w:val="num" w:pos="1080"/>
        </w:tabs>
        <w:ind w:left="0" w:firstLine="0"/>
      </w:pPr>
      <w:rPr>
        <w:rFonts w:hint="default"/>
      </w:rPr>
    </w:lvl>
    <w:lvl w:ilvl="4">
      <w:start w:val="1"/>
      <w:numFmt w:val="decimal"/>
      <w:lvlText w:val="%1.%2.%3.%4.%5"/>
      <w:lvlJc w:val="left"/>
      <w:pPr>
        <w:tabs>
          <w:tab w:val="num" w:pos="838"/>
        </w:tabs>
        <w:ind w:left="838" w:hanging="1008"/>
      </w:pPr>
      <w:rPr>
        <w:rFonts w:hint="default"/>
      </w:rPr>
    </w:lvl>
    <w:lvl w:ilvl="5">
      <w:start w:val="1"/>
      <w:numFmt w:val="decimal"/>
      <w:lvlText w:val="%1.%2.%3.%4.%5.%6"/>
      <w:lvlJc w:val="left"/>
      <w:pPr>
        <w:tabs>
          <w:tab w:val="num" w:pos="982"/>
        </w:tabs>
        <w:ind w:left="982" w:hanging="1152"/>
      </w:pPr>
      <w:rPr>
        <w:rFonts w:hint="default"/>
      </w:rPr>
    </w:lvl>
    <w:lvl w:ilvl="6">
      <w:start w:val="1"/>
      <w:numFmt w:val="decimal"/>
      <w:lvlText w:val="%1.%2.%3.%4.%5.%6.%7"/>
      <w:lvlJc w:val="left"/>
      <w:pPr>
        <w:tabs>
          <w:tab w:val="num" w:pos="1126"/>
        </w:tabs>
        <w:ind w:left="1126" w:hanging="1296"/>
      </w:pPr>
      <w:rPr>
        <w:rFonts w:hint="default"/>
      </w:rPr>
    </w:lvl>
    <w:lvl w:ilvl="7">
      <w:start w:val="1"/>
      <w:numFmt w:val="decimal"/>
      <w:lvlText w:val="%1.%2.%3.%4.%5.%6.%7.%8"/>
      <w:lvlJc w:val="left"/>
      <w:pPr>
        <w:tabs>
          <w:tab w:val="num" w:pos="1270"/>
        </w:tabs>
        <w:ind w:left="1270" w:hanging="1440"/>
      </w:pPr>
      <w:rPr>
        <w:rFonts w:hint="default"/>
      </w:rPr>
    </w:lvl>
    <w:lvl w:ilvl="8">
      <w:start w:val="1"/>
      <w:numFmt w:val="decimal"/>
      <w:lvlText w:val="%1.%2.%3.%4.%5.%6.%7.%8.%9"/>
      <w:lvlJc w:val="left"/>
      <w:pPr>
        <w:tabs>
          <w:tab w:val="num" w:pos="1414"/>
        </w:tabs>
        <w:ind w:left="1414" w:hanging="1584"/>
      </w:pPr>
      <w:rPr>
        <w:rFonts w:hint="default"/>
      </w:rPr>
    </w:lvl>
  </w:abstractNum>
  <w:abstractNum w:abstractNumId="46" w15:restartNumberingAfterBreak="0">
    <w:nsid w:val="7C423DFF"/>
    <w:multiLevelType w:val="multilevel"/>
    <w:tmpl w:val="2BA0F77E"/>
    <w:lvl w:ilvl="0">
      <w:start w:val="1"/>
      <w:numFmt w:val="decimal"/>
      <w:lvlText w:val="%1."/>
      <w:lvlJc w:val="left"/>
      <w:pPr>
        <w:ind w:left="360" w:hanging="360"/>
      </w:pPr>
      <w:rPr>
        <w:b/>
        <w:color w:val="BE4A35" w:themeColor="accent2"/>
        <w:sz w:val="20"/>
        <w:szCs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7" w15:restartNumberingAfterBreak="0">
    <w:nsid w:val="7E752836"/>
    <w:multiLevelType w:val="hybridMultilevel"/>
    <w:tmpl w:val="0D9EAA0E"/>
    <w:lvl w:ilvl="0" w:tplc="844011B8">
      <w:start w:val="1"/>
      <w:numFmt w:val="bullet"/>
      <w:pStyle w:val="Htablebullet"/>
      <w:lvlText w:val=""/>
      <w:lvlJc w:val="left"/>
      <w:pPr>
        <w:ind w:left="360" w:hanging="360"/>
      </w:pPr>
      <w:rPr>
        <w:rFonts w:ascii="Symbol" w:hAnsi="Symbol" w:hint="default"/>
        <w:color w:val="57825E"/>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22"/>
  </w:num>
  <w:num w:numId="3">
    <w:abstractNumId w:val="26"/>
  </w:num>
  <w:num w:numId="4">
    <w:abstractNumId w:val="12"/>
  </w:num>
  <w:num w:numId="5">
    <w:abstractNumId w:val="47"/>
  </w:num>
  <w:num w:numId="6">
    <w:abstractNumId w:val="45"/>
  </w:num>
  <w:num w:numId="7">
    <w:abstractNumId w:val="25"/>
  </w:num>
  <w:num w:numId="8">
    <w:abstractNumId w:val="18"/>
  </w:num>
  <w:num w:numId="9">
    <w:abstractNumId w:val="2"/>
  </w:num>
  <w:num w:numId="10">
    <w:abstractNumId w:val="0"/>
  </w:num>
  <w:num w:numId="11">
    <w:abstractNumId w:val="9"/>
  </w:num>
  <w:num w:numId="12">
    <w:abstractNumId w:val="40"/>
  </w:num>
  <w:num w:numId="13">
    <w:abstractNumId w:val="1"/>
  </w:num>
  <w:num w:numId="14">
    <w:abstractNumId w:val="13"/>
  </w:num>
  <w:num w:numId="15">
    <w:abstractNumId w:val="5"/>
  </w:num>
  <w:num w:numId="16">
    <w:abstractNumId w:val="29"/>
  </w:num>
  <w:num w:numId="17">
    <w:abstractNumId w:val="28"/>
  </w:num>
  <w:num w:numId="18">
    <w:abstractNumId w:val="19"/>
  </w:num>
  <w:num w:numId="19">
    <w:abstractNumId w:val="17"/>
  </w:num>
  <w:num w:numId="20">
    <w:abstractNumId w:val="16"/>
  </w:num>
  <w:num w:numId="21">
    <w:abstractNumId w:val="34"/>
  </w:num>
  <w:num w:numId="22">
    <w:abstractNumId w:val="8"/>
  </w:num>
  <w:num w:numId="23">
    <w:abstractNumId w:val="30"/>
  </w:num>
  <w:num w:numId="24">
    <w:abstractNumId w:val="14"/>
  </w:num>
  <w:num w:numId="25">
    <w:abstractNumId w:val="39"/>
  </w:num>
  <w:num w:numId="26">
    <w:abstractNumId w:val="36"/>
  </w:num>
  <w:num w:numId="27">
    <w:abstractNumId w:val="31"/>
  </w:num>
  <w:num w:numId="28">
    <w:abstractNumId w:val="37"/>
  </w:num>
  <w:num w:numId="29">
    <w:abstractNumId w:val="38"/>
  </w:num>
  <w:num w:numId="30">
    <w:abstractNumId w:val="21"/>
  </w:num>
  <w:num w:numId="31">
    <w:abstractNumId w:val="44"/>
  </w:num>
  <w:num w:numId="32">
    <w:abstractNumId w:val="27"/>
  </w:num>
  <w:num w:numId="33">
    <w:abstractNumId w:val="10"/>
  </w:num>
  <w:num w:numId="34">
    <w:abstractNumId w:val="26"/>
    <w:lvlOverride w:ilvl="0">
      <w:startOverride w:val="1"/>
    </w:lvlOverride>
  </w:num>
  <w:num w:numId="35">
    <w:abstractNumId w:val="46"/>
  </w:num>
  <w:num w:numId="36">
    <w:abstractNumId w:val="43"/>
  </w:num>
  <w:num w:numId="37">
    <w:abstractNumId w:val="33"/>
  </w:num>
  <w:num w:numId="38">
    <w:abstractNumId w:val="15"/>
  </w:num>
  <w:num w:numId="39">
    <w:abstractNumId w:val="32"/>
  </w:num>
  <w:num w:numId="40">
    <w:abstractNumId w:val="42"/>
  </w:num>
  <w:num w:numId="41">
    <w:abstractNumId w:val="35"/>
  </w:num>
  <w:num w:numId="42">
    <w:abstractNumId w:val="4"/>
  </w:num>
  <w:num w:numId="43">
    <w:abstractNumId w:val="41"/>
  </w:num>
  <w:num w:numId="44">
    <w:abstractNumId w:val="23"/>
  </w:num>
  <w:num w:numId="45">
    <w:abstractNumId w:val="24"/>
  </w:num>
  <w:num w:numId="46">
    <w:abstractNumId w:val="6"/>
  </w:num>
  <w:num w:numId="47">
    <w:abstractNumId w:val="11"/>
  </w:num>
  <w:num w:numId="48">
    <w:abstractNumId w:val="20"/>
  </w:num>
  <w:num w:numId="49">
    <w:abstractNumId w:val="3"/>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9"/>
  <w:hyphenationZone w:val="284"/>
  <w:doNotHyphenateCaps/>
  <w:clickAndTypeStyle w:val="Autor"/>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W_DocType" w:val="WORDTEMPLATE_ORANGE"/>
  </w:docVars>
  <w:rsids>
    <w:rsidRoot w:val="00174140"/>
    <w:rsid w:val="0000104B"/>
    <w:rsid w:val="0000205C"/>
    <w:rsid w:val="000023DA"/>
    <w:rsid w:val="00002846"/>
    <w:rsid w:val="00004C93"/>
    <w:rsid w:val="00004ED6"/>
    <w:rsid w:val="00006625"/>
    <w:rsid w:val="00010678"/>
    <w:rsid w:val="00011555"/>
    <w:rsid w:val="00011FF4"/>
    <w:rsid w:val="0001223C"/>
    <w:rsid w:val="000128D8"/>
    <w:rsid w:val="00016061"/>
    <w:rsid w:val="00016BC3"/>
    <w:rsid w:val="00016C82"/>
    <w:rsid w:val="000172A2"/>
    <w:rsid w:val="00021B72"/>
    <w:rsid w:val="000248FD"/>
    <w:rsid w:val="00025102"/>
    <w:rsid w:val="00027554"/>
    <w:rsid w:val="00027BC3"/>
    <w:rsid w:val="000307AE"/>
    <w:rsid w:val="000313F5"/>
    <w:rsid w:val="00031DCC"/>
    <w:rsid w:val="00032B44"/>
    <w:rsid w:val="000341B5"/>
    <w:rsid w:val="0003475F"/>
    <w:rsid w:val="00040801"/>
    <w:rsid w:val="00040816"/>
    <w:rsid w:val="00040D0B"/>
    <w:rsid w:val="0004231E"/>
    <w:rsid w:val="000431BB"/>
    <w:rsid w:val="0004648F"/>
    <w:rsid w:val="00050518"/>
    <w:rsid w:val="00051772"/>
    <w:rsid w:val="000519B3"/>
    <w:rsid w:val="00053A5F"/>
    <w:rsid w:val="00054112"/>
    <w:rsid w:val="00054B2D"/>
    <w:rsid w:val="00055D19"/>
    <w:rsid w:val="000560C6"/>
    <w:rsid w:val="00057088"/>
    <w:rsid w:val="000571BF"/>
    <w:rsid w:val="0005782F"/>
    <w:rsid w:val="00062404"/>
    <w:rsid w:val="00064948"/>
    <w:rsid w:val="00064C9D"/>
    <w:rsid w:val="000663F3"/>
    <w:rsid w:val="000667AF"/>
    <w:rsid w:val="0007126A"/>
    <w:rsid w:val="000718C7"/>
    <w:rsid w:val="000724C0"/>
    <w:rsid w:val="000725F3"/>
    <w:rsid w:val="00073406"/>
    <w:rsid w:val="00074410"/>
    <w:rsid w:val="00077A9C"/>
    <w:rsid w:val="000808A0"/>
    <w:rsid w:val="00080C42"/>
    <w:rsid w:val="0008622D"/>
    <w:rsid w:val="000901AF"/>
    <w:rsid w:val="00090E37"/>
    <w:rsid w:val="00091FFA"/>
    <w:rsid w:val="00093E61"/>
    <w:rsid w:val="00093F19"/>
    <w:rsid w:val="000958C6"/>
    <w:rsid w:val="00097342"/>
    <w:rsid w:val="0009758C"/>
    <w:rsid w:val="00097F2A"/>
    <w:rsid w:val="000A1201"/>
    <w:rsid w:val="000A1805"/>
    <w:rsid w:val="000A1B36"/>
    <w:rsid w:val="000A34BC"/>
    <w:rsid w:val="000A3F1D"/>
    <w:rsid w:val="000A4B75"/>
    <w:rsid w:val="000A5BD4"/>
    <w:rsid w:val="000A5FFF"/>
    <w:rsid w:val="000A7130"/>
    <w:rsid w:val="000B0EF4"/>
    <w:rsid w:val="000B156E"/>
    <w:rsid w:val="000B2A17"/>
    <w:rsid w:val="000B31E0"/>
    <w:rsid w:val="000B4B2A"/>
    <w:rsid w:val="000B56D1"/>
    <w:rsid w:val="000B62C2"/>
    <w:rsid w:val="000B7EBA"/>
    <w:rsid w:val="000C0714"/>
    <w:rsid w:val="000C0BB1"/>
    <w:rsid w:val="000C224F"/>
    <w:rsid w:val="000C2568"/>
    <w:rsid w:val="000C35E7"/>
    <w:rsid w:val="000C4441"/>
    <w:rsid w:val="000C6358"/>
    <w:rsid w:val="000C68B8"/>
    <w:rsid w:val="000D0407"/>
    <w:rsid w:val="000D1324"/>
    <w:rsid w:val="000D1A8F"/>
    <w:rsid w:val="000D2869"/>
    <w:rsid w:val="000D32F1"/>
    <w:rsid w:val="000D5D70"/>
    <w:rsid w:val="000E0F06"/>
    <w:rsid w:val="000E22E2"/>
    <w:rsid w:val="000E2501"/>
    <w:rsid w:val="000E3780"/>
    <w:rsid w:val="000E51AF"/>
    <w:rsid w:val="000E5458"/>
    <w:rsid w:val="000E698E"/>
    <w:rsid w:val="000E770B"/>
    <w:rsid w:val="000F0C5E"/>
    <w:rsid w:val="000F0E5B"/>
    <w:rsid w:val="000F1F54"/>
    <w:rsid w:val="000F40D5"/>
    <w:rsid w:val="000F4EB5"/>
    <w:rsid w:val="000F52E3"/>
    <w:rsid w:val="000F77C2"/>
    <w:rsid w:val="000F7876"/>
    <w:rsid w:val="0010223F"/>
    <w:rsid w:val="00104979"/>
    <w:rsid w:val="001063CC"/>
    <w:rsid w:val="00107336"/>
    <w:rsid w:val="00107D3A"/>
    <w:rsid w:val="00107EE6"/>
    <w:rsid w:val="00111809"/>
    <w:rsid w:val="001120E1"/>
    <w:rsid w:val="00112C0E"/>
    <w:rsid w:val="00112F39"/>
    <w:rsid w:val="00113365"/>
    <w:rsid w:val="00115509"/>
    <w:rsid w:val="00115575"/>
    <w:rsid w:val="00115DB5"/>
    <w:rsid w:val="00115F94"/>
    <w:rsid w:val="00117BA0"/>
    <w:rsid w:val="001218B1"/>
    <w:rsid w:val="00121A58"/>
    <w:rsid w:val="00122285"/>
    <w:rsid w:val="0012316D"/>
    <w:rsid w:val="00123E95"/>
    <w:rsid w:val="0012673E"/>
    <w:rsid w:val="0012680B"/>
    <w:rsid w:val="0013012E"/>
    <w:rsid w:val="001306AA"/>
    <w:rsid w:val="0013147A"/>
    <w:rsid w:val="00137201"/>
    <w:rsid w:val="00141AD7"/>
    <w:rsid w:val="0014346F"/>
    <w:rsid w:val="0014596B"/>
    <w:rsid w:val="0014603E"/>
    <w:rsid w:val="00147691"/>
    <w:rsid w:val="0015034A"/>
    <w:rsid w:val="00150D5B"/>
    <w:rsid w:val="0015122E"/>
    <w:rsid w:val="00152CB4"/>
    <w:rsid w:val="0015333B"/>
    <w:rsid w:val="00153C8D"/>
    <w:rsid w:val="0015421E"/>
    <w:rsid w:val="00154612"/>
    <w:rsid w:val="00155C63"/>
    <w:rsid w:val="001564A9"/>
    <w:rsid w:val="00157BFC"/>
    <w:rsid w:val="0016240E"/>
    <w:rsid w:val="00163C61"/>
    <w:rsid w:val="00165720"/>
    <w:rsid w:val="00165BA3"/>
    <w:rsid w:val="00166837"/>
    <w:rsid w:val="00170173"/>
    <w:rsid w:val="00171307"/>
    <w:rsid w:val="00173021"/>
    <w:rsid w:val="00174140"/>
    <w:rsid w:val="00174902"/>
    <w:rsid w:val="001765B3"/>
    <w:rsid w:val="00177310"/>
    <w:rsid w:val="00177B98"/>
    <w:rsid w:val="001818F5"/>
    <w:rsid w:val="00182576"/>
    <w:rsid w:val="001826B2"/>
    <w:rsid w:val="001846CD"/>
    <w:rsid w:val="00185A82"/>
    <w:rsid w:val="00185B1D"/>
    <w:rsid w:val="00185BAA"/>
    <w:rsid w:val="001874A1"/>
    <w:rsid w:val="00187580"/>
    <w:rsid w:val="001876B0"/>
    <w:rsid w:val="00190CE5"/>
    <w:rsid w:val="00190E23"/>
    <w:rsid w:val="001931BC"/>
    <w:rsid w:val="001936F1"/>
    <w:rsid w:val="001949FC"/>
    <w:rsid w:val="001955EF"/>
    <w:rsid w:val="00197CE4"/>
    <w:rsid w:val="001A1687"/>
    <w:rsid w:val="001A1C0E"/>
    <w:rsid w:val="001A31FB"/>
    <w:rsid w:val="001A3FAB"/>
    <w:rsid w:val="001A5E65"/>
    <w:rsid w:val="001A75E3"/>
    <w:rsid w:val="001A7E01"/>
    <w:rsid w:val="001B0F83"/>
    <w:rsid w:val="001B518B"/>
    <w:rsid w:val="001B5757"/>
    <w:rsid w:val="001B67C1"/>
    <w:rsid w:val="001B7D31"/>
    <w:rsid w:val="001C0E4C"/>
    <w:rsid w:val="001C148B"/>
    <w:rsid w:val="001C27C4"/>
    <w:rsid w:val="001C4B45"/>
    <w:rsid w:val="001C519F"/>
    <w:rsid w:val="001C79CA"/>
    <w:rsid w:val="001D302E"/>
    <w:rsid w:val="001D327E"/>
    <w:rsid w:val="001D3294"/>
    <w:rsid w:val="001D3352"/>
    <w:rsid w:val="001D375D"/>
    <w:rsid w:val="001D6545"/>
    <w:rsid w:val="001D67F5"/>
    <w:rsid w:val="001E19A7"/>
    <w:rsid w:val="001E3360"/>
    <w:rsid w:val="001E3E5B"/>
    <w:rsid w:val="001E674C"/>
    <w:rsid w:val="001E6C4D"/>
    <w:rsid w:val="001E7BCE"/>
    <w:rsid w:val="001F10C1"/>
    <w:rsid w:val="001F1284"/>
    <w:rsid w:val="001F2FF0"/>
    <w:rsid w:val="001F3473"/>
    <w:rsid w:val="001F408E"/>
    <w:rsid w:val="001F4612"/>
    <w:rsid w:val="00200735"/>
    <w:rsid w:val="00201021"/>
    <w:rsid w:val="002016B0"/>
    <w:rsid w:val="00205902"/>
    <w:rsid w:val="002103E8"/>
    <w:rsid w:val="0021073A"/>
    <w:rsid w:val="0021128B"/>
    <w:rsid w:val="00214428"/>
    <w:rsid w:val="002165D9"/>
    <w:rsid w:val="002212DB"/>
    <w:rsid w:val="00222EB3"/>
    <w:rsid w:val="00222FDC"/>
    <w:rsid w:val="00224A7F"/>
    <w:rsid w:val="00225D89"/>
    <w:rsid w:val="00225FEF"/>
    <w:rsid w:val="002260C0"/>
    <w:rsid w:val="00231C4C"/>
    <w:rsid w:val="00231DB0"/>
    <w:rsid w:val="0023330F"/>
    <w:rsid w:val="00233DE4"/>
    <w:rsid w:val="00234E68"/>
    <w:rsid w:val="00235A06"/>
    <w:rsid w:val="00236743"/>
    <w:rsid w:val="002374F8"/>
    <w:rsid w:val="00237CD4"/>
    <w:rsid w:val="00240F2B"/>
    <w:rsid w:val="00241DDD"/>
    <w:rsid w:val="00241ED4"/>
    <w:rsid w:val="0024232C"/>
    <w:rsid w:val="0024251B"/>
    <w:rsid w:val="002430C4"/>
    <w:rsid w:val="00243CF9"/>
    <w:rsid w:val="00246880"/>
    <w:rsid w:val="00246D20"/>
    <w:rsid w:val="0024791D"/>
    <w:rsid w:val="00247C28"/>
    <w:rsid w:val="00251AA9"/>
    <w:rsid w:val="00253EA6"/>
    <w:rsid w:val="00254C0D"/>
    <w:rsid w:val="0026110D"/>
    <w:rsid w:val="00262C1E"/>
    <w:rsid w:val="00265538"/>
    <w:rsid w:val="00265A5C"/>
    <w:rsid w:val="00265BF7"/>
    <w:rsid w:val="00273C54"/>
    <w:rsid w:val="00276800"/>
    <w:rsid w:val="0027790B"/>
    <w:rsid w:val="00280E35"/>
    <w:rsid w:val="00282498"/>
    <w:rsid w:val="00287E53"/>
    <w:rsid w:val="00290421"/>
    <w:rsid w:val="0029479D"/>
    <w:rsid w:val="00296CE6"/>
    <w:rsid w:val="002A02FF"/>
    <w:rsid w:val="002A04F3"/>
    <w:rsid w:val="002A2BE5"/>
    <w:rsid w:val="002A3DB6"/>
    <w:rsid w:val="002A416D"/>
    <w:rsid w:val="002A42B7"/>
    <w:rsid w:val="002A5D0E"/>
    <w:rsid w:val="002A6B2B"/>
    <w:rsid w:val="002B007A"/>
    <w:rsid w:val="002B16B6"/>
    <w:rsid w:val="002B1937"/>
    <w:rsid w:val="002B2ED6"/>
    <w:rsid w:val="002B57CC"/>
    <w:rsid w:val="002B621C"/>
    <w:rsid w:val="002B6636"/>
    <w:rsid w:val="002B70C2"/>
    <w:rsid w:val="002B7449"/>
    <w:rsid w:val="002C0A77"/>
    <w:rsid w:val="002C0B12"/>
    <w:rsid w:val="002C2C07"/>
    <w:rsid w:val="002C3379"/>
    <w:rsid w:val="002C590F"/>
    <w:rsid w:val="002C7022"/>
    <w:rsid w:val="002D18CD"/>
    <w:rsid w:val="002D4425"/>
    <w:rsid w:val="002D6766"/>
    <w:rsid w:val="002E10DE"/>
    <w:rsid w:val="002E172C"/>
    <w:rsid w:val="002E328D"/>
    <w:rsid w:val="002E3589"/>
    <w:rsid w:val="002E3736"/>
    <w:rsid w:val="002E5921"/>
    <w:rsid w:val="002E7109"/>
    <w:rsid w:val="002E7B6F"/>
    <w:rsid w:val="002F0AB3"/>
    <w:rsid w:val="002F43DB"/>
    <w:rsid w:val="002F5537"/>
    <w:rsid w:val="002F6E33"/>
    <w:rsid w:val="002F7974"/>
    <w:rsid w:val="003001E2"/>
    <w:rsid w:val="00300CB9"/>
    <w:rsid w:val="00303BBD"/>
    <w:rsid w:val="00303FCD"/>
    <w:rsid w:val="003069B5"/>
    <w:rsid w:val="00310228"/>
    <w:rsid w:val="00310915"/>
    <w:rsid w:val="003122B6"/>
    <w:rsid w:val="00312799"/>
    <w:rsid w:val="0031284B"/>
    <w:rsid w:val="0031475A"/>
    <w:rsid w:val="00315758"/>
    <w:rsid w:val="00315B08"/>
    <w:rsid w:val="00315DCE"/>
    <w:rsid w:val="00316EEC"/>
    <w:rsid w:val="00317FD0"/>
    <w:rsid w:val="0032067F"/>
    <w:rsid w:val="00321FB3"/>
    <w:rsid w:val="003227E1"/>
    <w:rsid w:val="003228B0"/>
    <w:rsid w:val="0032397E"/>
    <w:rsid w:val="00326B8F"/>
    <w:rsid w:val="003271AA"/>
    <w:rsid w:val="003274F9"/>
    <w:rsid w:val="00327679"/>
    <w:rsid w:val="00331670"/>
    <w:rsid w:val="003331FA"/>
    <w:rsid w:val="003333B5"/>
    <w:rsid w:val="003339A7"/>
    <w:rsid w:val="0033501B"/>
    <w:rsid w:val="003356D1"/>
    <w:rsid w:val="00336794"/>
    <w:rsid w:val="003377AA"/>
    <w:rsid w:val="00337B7B"/>
    <w:rsid w:val="0034026D"/>
    <w:rsid w:val="00341A69"/>
    <w:rsid w:val="00342696"/>
    <w:rsid w:val="00342763"/>
    <w:rsid w:val="00342F03"/>
    <w:rsid w:val="003438AF"/>
    <w:rsid w:val="00343F41"/>
    <w:rsid w:val="003444C5"/>
    <w:rsid w:val="003458DF"/>
    <w:rsid w:val="00347A41"/>
    <w:rsid w:val="00351604"/>
    <w:rsid w:val="003528D7"/>
    <w:rsid w:val="00352DEC"/>
    <w:rsid w:val="00353A62"/>
    <w:rsid w:val="00355459"/>
    <w:rsid w:val="003571F4"/>
    <w:rsid w:val="00357D9A"/>
    <w:rsid w:val="00360775"/>
    <w:rsid w:val="00363595"/>
    <w:rsid w:val="00366FFF"/>
    <w:rsid w:val="00367EE9"/>
    <w:rsid w:val="0037021C"/>
    <w:rsid w:val="0037215F"/>
    <w:rsid w:val="003726BE"/>
    <w:rsid w:val="003739F1"/>
    <w:rsid w:val="00373DFA"/>
    <w:rsid w:val="00374746"/>
    <w:rsid w:val="00374C15"/>
    <w:rsid w:val="0037575C"/>
    <w:rsid w:val="00376AAB"/>
    <w:rsid w:val="003774A3"/>
    <w:rsid w:val="003803A4"/>
    <w:rsid w:val="00384282"/>
    <w:rsid w:val="003866B5"/>
    <w:rsid w:val="00386BE1"/>
    <w:rsid w:val="003877E5"/>
    <w:rsid w:val="00387B36"/>
    <w:rsid w:val="00387BEF"/>
    <w:rsid w:val="00390A4B"/>
    <w:rsid w:val="00390FF2"/>
    <w:rsid w:val="003935FF"/>
    <w:rsid w:val="00394222"/>
    <w:rsid w:val="00394BAB"/>
    <w:rsid w:val="0039533F"/>
    <w:rsid w:val="00395A83"/>
    <w:rsid w:val="00397393"/>
    <w:rsid w:val="003A00C1"/>
    <w:rsid w:val="003A03B8"/>
    <w:rsid w:val="003A3C4A"/>
    <w:rsid w:val="003A6F67"/>
    <w:rsid w:val="003B0549"/>
    <w:rsid w:val="003B7C6B"/>
    <w:rsid w:val="003C0F40"/>
    <w:rsid w:val="003C111B"/>
    <w:rsid w:val="003C161C"/>
    <w:rsid w:val="003C18CC"/>
    <w:rsid w:val="003C23EA"/>
    <w:rsid w:val="003C267B"/>
    <w:rsid w:val="003C270C"/>
    <w:rsid w:val="003C535F"/>
    <w:rsid w:val="003C5C1A"/>
    <w:rsid w:val="003C6345"/>
    <w:rsid w:val="003D0179"/>
    <w:rsid w:val="003D2D7D"/>
    <w:rsid w:val="003D5AF0"/>
    <w:rsid w:val="003D6C7A"/>
    <w:rsid w:val="003E000D"/>
    <w:rsid w:val="003E2596"/>
    <w:rsid w:val="003E40DB"/>
    <w:rsid w:val="003E418D"/>
    <w:rsid w:val="003E4E34"/>
    <w:rsid w:val="003E6F5F"/>
    <w:rsid w:val="003E72E1"/>
    <w:rsid w:val="003F236C"/>
    <w:rsid w:val="003F4D27"/>
    <w:rsid w:val="003F75C9"/>
    <w:rsid w:val="00400191"/>
    <w:rsid w:val="00400399"/>
    <w:rsid w:val="0040047B"/>
    <w:rsid w:val="00400C1E"/>
    <w:rsid w:val="00400F81"/>
    <w:rsid w:val="00404839"/>
    <w:rsid w:val="00405B3C"/>
    <w:rsid w:val="0040793C"/>
    <w:rsid w:val="00407990"/>
    <w:rsid w:val="00407D2F"/>
    <w:rsid w:val="00411408"/>
    <w:rsid w:val="00412317"/>
    <w:rsid w:val="00415E7A"/>
    <w:rsid w:val="00416827"/>
    <w:rsid w:val="0041683E"/>
    <w:rsid w:val="0042254D"/>
    <w:rsid w:val="00426DC4"/>
    <w:rsid w:val="0042774C"/>
    <w:rsid w:val="00430D88"/>
    <w:rsid w:val="00431315"/>
    <w:rsid w:val="0043279A"/>
    <w:rsid w:val="00432B61"/>
    <w:rsid w:val="004335B0"/>
    <w:rsid w:val="00433627"/>
    <w:rsid w:val="00435925"/>
    <w:rsid w:val="00436266"/>
    <w:rsid w:val="00436B26"/>
    <w:rsid w:val="00436DCF"/>
    <w:rsid w:val="0044105B"/>
    <w:rsid w:val="004427DD"/>
    <w:rsid w:val="00442967"/>
    <w:rsid w:val="0044299C"/>
    <w:rsid w:val="00443056"/>
    <w:rsid w:val="00444DB7"/>
    <w:rsid w:val="00445371"/>
    <w:rsid w:val="00446715"/>
    <w:rsid w:val="00446E89"/>
    <w:rsid w:val="0045099F"/>
    <w:rsid w:val="00450FE9"/>
    <w:rsid w:val="00453E61"/>
    <w:rsid w:val="00454A6A"/>
    <w:rsid w:val="004562F9"/>
    <w:rsid w:val="00457E97"/>
    <w:rsid w:val="00460D80"/>
    <w:rsid w:val="00461B09"/>
    <w:rsid w:val="0046298C"/>
    <w:rsid w:val="00462CD8"/>
    <w:rsid w:val="0046410C"/>
    <w:rsid w:val="00465480"/>
    <w:rsid w:val="00465607"/>
    <w:rsid w:val="0046587F"/>
    <w:rsid w:val="0046673C"/>
    <w:rsid w:val="00470863"/>
    <w:rsid w:val="0047119C"/>
    <w:rsid w:val="00472210"/>
    <w:rsid w:val="00473407"/>
    <w:rsid w:val="00475734"/>
    <w:rsid w:val="00475B6B"/>
    <w:rsid w:val="00476657"/>
    <w:rsid w:val="0047672B"/>
    <w:rsid w:val="00481A14"/>
    <w:rsid w:val="004827B1"/>
    <w:rsid w:val="00482C7A"/>
    <w:rsid w:val="00484476"/>
    <w:rsid w:val="00484705"/>
    <w:rsid w:val="004873DB"/>
    <w:rsid w:val="0049161E"/>
    <w:rsid w:val="00491F9B"/>
    <w:rsid w:val="0049228D"/>
    <w:rsid w:val="00495C5F"/>
    <w:rsid w:val="004965AA"/>
    <w:rsid w:val="004A08C4"/>
    <w:rsid w:val="004A0EFA"/>
    <w:rsid w:val="004A0F0D"/>
    <w:rsid w:val="004A2FEC"/>
    <w:rsid w:val="004A51A1"/>
    <w:rsid w:val="004B02ED"/>
    <w:rsid w:val="004B1820"/>
    <w:rsid w:val="004B2B30"/>
    <w:rsid w:val="004B2DA4"/>
    <w:rsid w:val="004B4C7B"/>
    <w:rsid w:val="004B63F1"/>
    <w:rsid w:val="004B648A"/>
    <w:rsid w:val="004C06A1"/>
    <w:rsid w:val="004C0D64"/>
    <w:rsid w:val="004C139D"/>
    <w:rsid w:val="004C13DA"/>
    <w:rsid w:val="004C1430"/>
    <w:rsid w:val="004C1781"/>
    <w:rsid w:val="004C2194"/>
    <w:rsid w:val="004C2465"/>
    <w:rsid w:val="004C2F08"/>
    <w:rsid w:val="004D01B0"/>
    <w:rsid w:val="004D0E99"/>
    <w:rsid w:val="004D3C64"/>
    <w:rsid w:val="004D3CD7"/>
    <w:rsid w:val="004D44AF"/>
    <w:rsid w:val="004D55B6"/>
    <w:rsid w:val="004E0724"/>
    <w:rsid w:val="004E39A2"/>
    <w:rsid w:val="004E3A09"/>
    <w:rsid w:val="004E4415"/>
    <w:rsid w:val="004E473B"/>
    <w:rsid w:val="004E49F9"/>
    <w:rsid w:val="004E5905"/>
    <w:rsid w:val="004E5D18"/>
    <w:rsid w:val="004F0058"/>
    <w:rsid w:val="004F0150"/>
    <w:rsid w:val="004F1CFB"/>
    <w:rsid w:val="004F2EFC"/>
    <w:rsid w:val="004F3B5C"/>
    <w:rsid w:val="004F3EE2"/>
    <w:rsid w:val="004F4EDF"/>
    <w:rsid w:val="004F6B88"/>
    <w:rsid w:val="004F7574"/>
    <w:rsid w:val="0050028B"/>
    <w:rsid w:val="00503005"/>
    <w:rsid w:val="00504F25"/>
    <w:rsid w:val="005075FE"/>
    <w:rsid w:val="00507977"/>
    <w:rsid w:val="005107D5"/>
    <w:rsid w:val="00510BA6"/>
    <w:rsid w:val="00510C69"/>
    <w:rsid w:val="005119EC"/>
    <w:rsid w:val="00513079"/>
    <w:rsid w:val="005173E9"/>
    <w:rsid w:val="00520433"/>
    <w:rsid w:val="0052075B"/>
    <w:rsid w:val="00520B19"/>
    <w:rsid w:val="00521DE5"/>
    <w:rsid w:val="00522ECF"/>
    <w:rsid w:val="0052302C"/>
    <w:rsid w:val="005231AE"/>
    <w:rsid w:val="005233C3"/>
    <w:rsid w:val="00523B8C"/>
    <w:rsid w:val="00525B52"/>
    <w:rsid w:val="005261D4"/>
    <w:rsid w:val="00527591"/>
    <w:rsid w:val="00527786"/>
    <w:rsid w:val="0053042E"/>
    <w:rsid w:val="0053121B"/>
    <w:rsid w:val="00531503"/>
    <w:rsid w:val="0053361D"/>
    <w:rsid w:val="005342AC"/>
    <w:rsid w:val="00534D8A"/>
    <w:rsid w:val="0053585B"/>
    <w:rsid w:val="00535C7D"/>
    <w:rsid w:val="00535F78"/>
    <w:rsid w:val="00540187"/>
    <w:rsid w:val="00541BA2"/>
    <w:rsid w:val="00545866"/>
    <w:rsid w:val="00546151"/>
    <w:rsid w:val="0054659C"/>
    <w:rsid w:val="0055036C"/>
    <w:rsid w:val="00551191"/>
    <w:rsid w:val="00551220"/>
    <w:rsid w:val="005539B3"/>
    <w:rsid w:val="005545BF"/>
    <w:rsid w:val="00555B22"/>
    <w:rsid w:val="00557A9F"/>
    <w:rsid w:val="0056241E"/>
    <w:rsid w:val="00562B70"/>
    <w:rsid w:val="00563F7E"/>
    <w:rsid w:val="00567F4C"/>
    <w:rsid w:val="005708B8"/>
    <w:rsid w:val="00571720"/>
    <w:rsid w:val="00571C3F"/>
    <w:rsid w:val="00572E6C"/>
    <w:rsid w:val="0057303B"/>
    <w:rsid w:val="005733DB"/>
    <w:rsid w:val="0057550B"/>
    <w:rsid w:val="00575FFB"/>
    <w:rsid w:val="005771FE"/>
    <w:rsid w:val="00577345"/>
    <w:rsid w:val="00580CD0"/>
    <w:rsid w:val="005827BB"/>
    <w:rsid w:val="00585BEE"/>
    <w:rsid w:val="005862E6"/>
    <w:rsid w:val="0058636E"/>
    <w:rsid w:val="00586CD5"/>
    <w:rsid w:val="005870E4"/>
    <w:rsid w:val="00591D69"/>
    <w:rsid w:val="005922F9"/>
    <w:rsid w:val="005938D9"/>
    <w:rsid w:val="00596660"/>
    <w:rsid w:val="005967CB"/>
    <w:rsid w:val="00596A63"/>
    <w:rsid w:val="005A076C"/>
    <w:rsid w:val="005A1134"/>
    <w:rsid w:val="005A6929"/>
    <w:rsid w:val="005B036B"/>
    <w:rsid w:val="005B09B8"/>
    <w:rsid w:val="005B24FC"/>
    <w:rsid w:val="005B2EDF"/>
    <w:rsid w:val="005B3C58"/>
    <w:rsid w:val="005B433D"/>
    <w:rsid w:val="005B4AF2"/>
    <w:rsid w:val="005B51AE"/>
    <w:rsid w:val="005B6E14"/>
    <w:rsid w:val="005C08BF"/>
    <w:rsid w:val="005C1A4F"/>
    <w:rsid w:val="005C30F8"/>
    <w:rsid w:val="005C3A23"/>
    <w:rsid w:val="005C4A1D"/>
    <w:rsid w:val="005C5076"/>
    <w:rsid w:val="005C5343"/>
    <w:rsid w:val="005C5731"/>
    <w:rsid w:val="005C58C8"/>
    <w:rsid w:val="005C5994"/>
    <w:rsid w:val="005D19F0"/>
    <w:rsid w:val="005D4B59"/>
    <w:rsid w:val="005D6844"/>
    <w:rsid w:val="005D719C"/>
    <w:rsid w:val="005D7C4A"/>
    <w:rsid w:val="005E038C"/>
    <w:rsid w:val="005E3277"/>
    <w:rsid w:val="005E3A47"/>
    <w:rsid w:val="005E6EFA"/>
    <w:rsid w:val="005F3260"/>
    <w:rsid w:val="005F3516"/>
    <w:rsid w:val="005F523E"/>
    <w:rsid w:val="00600A11"/>
    <w:rsid w:val="00601909"/>
    <w:rsid w:val="00601A58"/>
    <w:rsid w:val="00602F13"/>
    <w:rsid w:val="00606478"/>
    <w:rsid w:val="00606893"/>
    <w:rsid w:val="00607916"/>
    <w:rsid w:val="00612474"/>
    <w:rsid w:val="00612F0E"/>
    <w:rsid w:val="0061331E"/>
    <w:rsid w:val="006140FD"/>
    <w:rsid w:val="006149EA"/>
    <w:rsid w:val="006201B9"/>
    <w:rsid w:val="00620BC8"/>
    <w:rsid w:val="006217D2"/>
    <w:rsid w:val="00621F82"/>
    <w:rsid w:val="00624341"/>
    <w:rsid w:val="00626F04"/>
    <w:rsid w:val="00627AE1"/>
    <w:rsid w:val="00631862"/>
    <w:rsid w:val="00631D5A"/>
    <w:rsid w:val="00631E22"/>
    <w:rsid w:val="0063245B"/>
    <w:rsid w:val="006336EF"/>
    <w:rsid w:val="006337B8"/>
    <w:rsid w:val="006338F0"/>
    <w:rsid w:val="00633A73"/>
    <w:rsid w:val="00633E60"/>
    <w:rsid w:val="0063598F"/>
    <w:rsid w:val="006367E2"/>
    <w:rsid w:val="00643728"/>
    <w:rsid w:val="00643D06"/>
    <w:rsid w:val="00643F35"/>
    <w:rsid w:val="00650183"/>
    <w:rsid w:val="006506FD"/>
    <w:rsid w:val="00650C31"/>
    <w:rsid w:val="0065125F"/>
    <w:rsid w:val="00651ED3"/>
    <w:rsid w:val="006520F3"/>
    <w:rsid w:val="0065272D"/>
    <w:rsid w:val="006528D4"/>
    <w:rsid w:val="00654BFE"/>
    <w:rsid w:val="00656067"/>
    <w:rsid w:val="006564EF"/>
    <w:rsid w:val="00656CCA"/>
    <w:rsid w:val="00661790"/>
    <w:rsid w:val="00661A45"/>
    <w:rsid w:val="00662126"/>
    <w:rsid w:val="00662E21"/>
    <w:rsid w:val="006635B3"/>
    <w:rsid w:val="00664708"/>
    <w:rsid w:val="006652F0"/>
    <w:rsid w:val="0066743A"/>
    <w:rsid w:val="00667EE6"/>
    <w:rsid w:val="00671A33"/>
    <w:rsid w:val="00672442"/>
    <w:rsid w:val="00673940"/>
    <w:rsid w:val="00674969"/>
    <w:rsid w:val="006761C2"/>
    <w:rsid w:val="0067684A"/>
    <w:rsid w:val="0068470D"/>
    <w:rsid w:val="00686A26"/>
    <w:rsid w:val="006875CA"/>
    <w:rsid w:val="0069025D"/>
    <w:rsid w:val="00692535"/>
    <w:rsid w:val="00692F88"/>
    <w:rsid w:val="00693B88"/>
    <w:rsid w:val="00695BC6"/>
    <w:rsid w:val="006A093F"/>
    <w:rsid w:val="006A15BB"/>
    <w:rsid w:val="006A2B41"/>
    <w:rsid w:val="006A4119"/>
    <w:rsid w:val="006A4864"/>
    <w:rsid w:val="006A49EF"/>
    <w:rsid w:val="006A6DC7"/>
    <w:rsid w:val="006A6EF1"/>
    <w:rsid w:val="006A7A3F"/>
    <w:rsid w:val="006B09AD"/>
    <w:rsid w:val="006B1C2A"/>
    <w:rsid w:val="006B2257"/>
    <w:rsid w:val="006B271E"/>
    <w:rsid w:val="006B37E5"/>
    <w:rsid w:val="006B72AC"/>
    <w:rsid w:val="006B78B3"/>
    <w:rsid w:val="006C00E6"/>
    <w:rsid w:val="006C1066"/>
    <w:rsid w:val="006C2E4F"/>
    <w:rsid w:val="006C4F55"/>
    <w:rsid w:val="006C4FA7"/>
    <w:rsid w:val="006C54E2"/>
    <w:rsid w:val="006C5B87"/>
    <w:rsid w:val="006C6762"/>
    <w:rsid w:val="006C7ED1"/>
    <w:rsid w:val="006D026F"/>
    <w:rsid w:val="006D17BA"/>
    <w:rsid w:val="006D467B"/>
    <w:rsid w:val="006E0095"/>
    <w:rsid w:val="006E0B5F"/>
    <w:rsid w:val="006E1109"/>
    <w:rsid w:val="006E340E"/>
    <w:rsid w:val="006E561E"/>
    <w:rsid w:val="006E5632"/>
    <w:rsid w:val="006E56C7"/>
    <w:rsid w:val="006E5EC3"/>
    <w:rsid w:val="006F2A75"/>
    <w:rsid w:val="006F4379"/>
    <w:rsid w:val="006F4704"/>
    <w:rsid w:val="006F6FB8"/>
    <w:rsid w:val="006F709B"/>
    <w:rsid w:val="006F72A5"/>
    <w:rsid w:val="006F7622"/>
    <w:rsid w:val="00701D89"/>
    <w:rsid w:val="00702AA4"/>
    <w:rsid w:val="00702AD1"/>
    <w:rsid w:val="00702F70"/>
    <w:rsid w:val="007042B8"/>
    <w:rsid w:val="00704C65"/>
    <w:rsid w:val="00705C50"/>
    <w:rsid w:val="00706418"/>
    <w:rsid w:val="00706AC9"/>
    <w:rsid w:val="00707BE7"/>
    <w:rsid w:val="00707DDC"/>
    <w:rsid w:val="007161B3"/>
    <w:rsid w:val="00716FFF"/>
    <w:rsid w:val="00721D34"/>
    <w:rsid w:val="00722188"/>
    <w:rsid w:val="0072254F"/>
    <w:rsid w:val="00723109"/>
    <w:rsid w:val="007234B1"/>
    <w:rsid w:val="00723FA7"/>
    <w:rsid w:val="007241D4"/>
    <w:rsid w:val="00724F6B"/>
    <w:rsid w:val="007255DE"/>
    <w:rsid w:val="007307A9"/>
    <w:rsid w:val="00732020"/>
    <w:rsid w:val="00732942"/>
    <w:rsid w:val="007339D3"/>
    <w:rsid w:val="00733E23"/>
    <w:rsid w:val="00734095"/>
    <w:rsid w:val="0073608D"/>
    <w:rsid w:val="00737056"/>
    <w:rsid w:val="00737633"/>
    <w:rsid w:val="007403FB"/>
    <w:rsid w:val="00741BFB"/>
    <w:rsid w:val="00743FB1"/>
    <w:rsid w:val="00747BFE"/>
    <w:rsid w:val="00750753"/>
    <w:rsid w:val="00752524"/>
    <w:rsid w:val="0075301D"/>
    <w:rsid w:val="00753CCF"/>
    <w:rsid w:val="00755399"/>
    <w:rsid w:val="00755F20"/>
    <w:rsid w:val="00756E9C"/>
    <w:rsid w:val="007575BD"/>
    <w:rsid w:val="00760A92"/>
    <w:rsid w:val="00760B53"/>
    <w:rsid w:val="00760EA7"/>
    <w:rsid w:val="00760F09"/>
    <w:rsid w:val="00764456"/>
    <w:rsid w:val="007663DC"/>
    <w:rsid w:val="00766A6E"/>
    <w:rsid w:val="00767BA7"/>
    <w:rsid w:val="007725AF"/>
    <w:rsid w:val="0077692D"/>
    <w:rsid w:val="0078116C"/>
    <w:rsid w:val="007814DE"/>
    <w:rsid w:val="00781E88"/>
    <w:rsid w:val="00782E53"/>
    <w:rsid w:val="0078353A"/>
    <w:rsid w:val="00784239"/>
    <w:rsid w:val="007849C1"/>
    <w:rsid w:val="00784D5E"/>
    <w:rsid w:val="00790B3E"/>
    <w:rsid w:val="00793D51"/>
    <w:rsid w:val="0079615D"/>
    <w:rsid w:val="00796929"/>
    <w:rsid w:val="007969CB"/>
    <w:rsid w:val="007A09BD"/>
    <w:rsid w:val="007A0BF9"/>
    <w:rsid w:val="007A11FE"/>
    <w:rsid w:val="007A3607"/>
    <w:rsid w:val="007A4E1B"/>
    <w:rsid w:val="007A646D"/>
    <w:rsid w:val="007B00BF"/>
    <w:rsid w:val="007B01F3"/>
    <w:rsid w:val="007B459A"/>
    <w:rsid w:val="007C1206"/>
    <w:rsid w:val="007C2BA9"/>
    <w:rsid w:val="007C5FE4"/>
    <w:rsid w:val="007C6797"/>
    <w:rsid w:val="007D00D0"/>
    <w:rsid w:val="007D2822"/>
    <w:rsid w:val="007D5E94"/>
    <w:rsid w:val="007D7C51"/>
    <w:rsid w:val="007E1A87"/>
    <w:rsid w:val="007E4FAA"/>
    <w:rsid w:val="007E500C"/>
    <w:rsid w:val="007E5B6C"/>
    <w:rsid w:val="007E6090"/>
    <w:rsid w:val="007E75CE"/>
    <w:rsid w:val="007E7E62"/>
    <w:rsid w:val="007E7F10"/>
    <w:rsid w:val="007F000A"/>
    <w:rsid w:val="007F00D8"/>
    <w:rsid w:val="007F02D4"/>
    <w:rsid w:val="007F14E7"/>
    <w:rsid w:val="007F4732"/>
    <w:rsid w:val="007F5A9C"/>
    <w:rsid w:val="007F5D6C"/>
    <w:rsid w:val="007F6923"/>
    <w:rsid w:val="007F6937"/>
    <w:rsid w:val="007F69B0"/>
    <w:rsid w:val="007F6CB1"/>
    <w:rsid w:val="00800E38"/>
    <w:rsid w:val="00800F58"/>
    <w:rsid w:val="0080170F"/>
    <w:rsid w:val="00801938"/>
    <w:rsid w:val="00801B88"/>
    <w:rsid w:val="0080450C"/>
    <w:rsid w:val="008057CC"/>
    <w:rsid w:val="00806207"/>
    <w:rsid w:val="0080686B"/>
    <w:rsid w:val="00807503"/>
    <w:rsid w:val="00811B73"/>
    <w:rsid w:val="00811D87"/>
    <w:rsid w:val="00812D97"/>
    <w:rsid w:val="00813C13"/>
    <w:rsid w:val="00815F49"/>
    <w:rsid w:val="0081613A"/>
    <w:rsid w:val="00822D08"/>
    <w:rsid w:val="00822EC0"/>
    <w:rsid w:val="008249E5"/>
    <w:rsid w:val="00825787"/>
    <w:rsid w:val="00826293"/>
    <w:rsid w:val="00826AD2"/>
    <w:rsid w:val="008317D2"/>
    <w:rsid w:val="00831F67"/>
    <w:rsid w:val="0083211D"/>
    <w:rsid w:val="00832B07"/>
    <w:rsid w:val="00833093"/>
    <w:rsid w:val="00836472"/>
    <w:rsid w:val="008402F5"/>
    <w:rsid w:val="008403AC"/>
    <w:rsid w:val="008416C1"/>
    <w:rsid w:val="00842346"/>
    <w:rsid w:val="008441A8"/>
    <w:rsid w:val="0084581F"/>
    <w:rsid w:val="0084615D"/>
    <w:rsid w:val="008479A4"/>
    <w:rsid w:val="008479BC"/>
    <w:rsid w:val="00850B72"/>
    <w:rsid w:val="00850DC5"/>
    <w:rsid w:val="00850E1F"/>
    <w:rsid w:val="0085152C"/>
    <w:rsid w:val="008543BC"/>
    <w:rsid w:val="00855FB0"/>
    <w:rsid w:val="00857789"/>
    <w:rsid w:val="0086001A"/>
    <w:rsid w:val="00861117"/>
    <w:rsid w:val="00861392"/>
    <w:rsid w:val="00862344"/>
    <w:rsid w:val="008638F2"/>
    <w:rsid w:val="008701FE"/>
    <w:rsid w:val="008725AE"/>
    <w:rsid w:val="008734CA"/>
    <w:rsid w:val="00875106"/>
    <w:rsid w:val="00876375"/>
    <w:rsid w:val="00877D9D"/>
    <w:rsid w:val="008801BF"/>
    <w:rsid w:val="0088136E"/>
    <w:rsid w:val="008819F0"/>
    <w:rsid w:val="008820A8"/>
    <w:rsid w:val="00882E85"/>
    <w:rsid w:val="0088329E"/>
    <w:rsid w:val="008832B3"/>
    <w:rsid w:val="00883492"/>
    <w:rsid w:val="008854AB"/>
    <w:rsid w:val="008860BE"/>
    <w:rsid w:val="0088672C"/>
    <w:rsid w:val="00886A95"/>
    <w:rsid w:val="008902B4"/>
    <w:rsid w:val="008936A6"/>
    <w:rsid w:val="00893BAF"/>
    <w:rsid w:val="008949A5"/>
    <w:rsid w:val="008958EA"/>
    <w:rsid w:val="00895FDA"/>
    <w:rsid w:val="008967E1"/>
    <w:rsid w:val="008A017B"/>
    <w:rsid w:val="008A0624"/>
    <w:rsid w:val="008A0985"/>
    <w:rsid w:val="008A143E"/>
    <w:rsid w:val="008A4C95"/>
    <w:rsid w:val="008A5756"/>
    <w:rsid w:val="008A67E6"/>
    <w:rsid w:val="008B0479"/>
    <w:rsid w:val="008B361D"/>
    <w:rsid w:val="008B6C4C"/>
    <w:rsid w:val="008C00AE"/>
    <w:rsid w:val="008C0710"/>
    <w:rsid w:val="008C1C79"/>
    <w:rsid w:val="008C2BAC"/>
    <w:rsid w:val="008C2BAE"/>
    <w:rsid w:val="008C4990"/>
    <w:rsid w:val="008C718E"/>
    <w:rsid w:val="008C71F6"/>
    <w:rsid w:val="008D031B"/>
    <w:rsid w:val="008D0923"/>
    <w:rsid w:val="008D3A38"/>
    <w:rsid w:val="008D52DC"/>
    <w:rsid w:val="008E2434"/>
    <w:rsid w:val="008E2E6D"/>
    <w:rsid w:val="008E34F5"/>
    <w:rsid w:val="008E6225"/>
    <w:rsid w:val="008E6FE1"/>
    <w:rsid w:val="008F13A8"/>
    <w:rsid w:val="008F4EAD"/>
    <w:rsid w:val="008F525F"/>
    <w:rsid w:val="008F5BEE"/>
    <w:rsid w:val="008F72F4"/>
    <w:rsid w:val="009016DC"/>
    <w:rsid w:val="009021BC"/>
    <w:rsid w:val="0090482C"/>
    <w:rsid w:val="009050BA"/>
    <w:rsid w:val="009113AC"/>
    <w:rsid w:val="0091196A"/>
    <w:rsid w:val="00914903"/>
    <w:rsid w:val="00915C22"/>
    <w:rsid w:val="00916805"/>
    <w:rsid w:val="00916AE6"/>
    <w:rsid w:val="0091798A"/>
    <w:rsid w:val="00920A4D"/>
    <w:rsid w:val="009242C4"/>
    <w:rsid w:val="00924915"/>
    <w:rsid w:val="00927307"/>
    <w:rsid w:val="0092738A"/>
    <w:rsid w:val="0092786D"/>
    <w:rsid w:val="00927B5F"/>
    <w:rsid w:val="00927DD1"/>
    <w:rsid w:val="009310EA"/>
    <w:rsid w:val="00931C02"/>
    <w:rsid w:val="00932DFC"/>
    <w:rsid w:val="00934C71"/>
    <w:rsid w:val="0093504F"/>
    <w:rsid w:val="009358DD"/>
    <w:rsid w:val="0093619A"/>
    <w:rsid w:val="00936C54"/>
    <w:rsid w:val="00937B94"/>
    <w:rsid w:val="00944E2B"/>
    <w:rsid w:val="0094536C"/>
    <w:rsid w:val="00945F12"/>
    <w:rsid w:val="0094681A"/>
    <w:rsid w:val="009471BF"/>
    <w:rsid w:val="00947B50"/>
    <w:rsid w:val="00947FDD"/>
    <w:rsid w:val="00951356"/>
    <w:rsid w:val="009535FD"/>
    <w:rsid w:val="009540FB"/>
    <w:rsid w:val="00955C9E"/>
    <w:rsid w:val="0095758F"/>
    <w:rsid w:val="00961DB6"/>
    <w:rsid w:val="009646FB"/>
    <w:rsid w:val="0096761D"/>
    <w:rsid w:val="00971248"/>
    <w:rsid w:val="009717A6"/>
    <w:rsid w:val="00972771"/>
    <w:rsid w:val="00972B89"/>
    <w:rsid w:val="009730F9"/>
    <w:rsid w:val="009750E9"/>
    <w:rsid w:val="0097698C"/>
    <w:rsid w:val="00976C04"/>
    <w:rsid w:val="0097763A"/>
    <w:rsid w:val="009779BC"/>
    <w:rsid w:val="00981656"/>
    <w:rsid w:val="0098169E"/>
    <w:rsid w:val="00984473"/>
    <w:rsid w:val="009864F8"/>
    <w:rsid w:val="00986613"/>
    <w:rsid w:val="00986B3D"/>
    <w:rsid w:val="009878B4"/>
    <w:rsid w:val="009903D0"/>
    <w:rsid w:val="0099118C"/>
    <w:rsid w:val="00991BD0"/>
    <w:rsid w:val="00993395"/>
    <w:rsid w:val="0099479F"/>
    <w:rsid w:val="00994A9F"/>
    <w:rsid w:val="00997B52"/>
    <w:rsid w:val="009A13A5"/>
    <w:rsid w:val="009A238C"/>
    <w:rsid w:val="009A2D2D"/>
    <w:rsid w:val="009A52F9"/>
    <w:rsid w:val="009A5A33"/>
    <w:rsid w:val="009A5A4E"/>
    <w:rsid w:val="009A6835"/>
    <w:rsid w:val="009A74E8"/>
    <w:rsid w:val="009A79BA"/>
    <w:rsid w:val="009A7B12"/>
    <w:rsid w:val="009B2BE5"/>
    <w:rsid w:val="009B2D49"/>
    <w:rsid w:val="009B2E79"/>
    <w:rsid w:val="009B4489"/>
    <w:rsid w:val="009C2C13"/>
    <w:rsid w:val="009C30A3"/>
    <w:rsid w:val="009C3CA0"/>
    <w:rsid w:val="009C75F3"/>
    <w:rsid w:val="009D0B46"/>
    <w:rsid w:val="009D1C68"/>
    <w:rsid w:val="009D2ADC"/>
    <w:rsid w:val="009D3354"/>
    <w:rsid w:val="009D3D48"/>
    <w:rsid w:val="009D7701"/>
    <w:rsid w:val="009D7EB8"/>
    <w:rsid w:val="009E0694"/>
    <w:rsid w:val="009E1E71"/>
    <w:rsid w:val="009E24B3"/>
    <w:rsid w:val="009E3BE3"/>
    <w:rsid w:val="009E4FFA"/>
    <w:rsid w:val="009F08A7"/>
    <w:rsid w:val="009F0F23"/>
    <w:rsid w:val="009F1A33"/>
    <w:rsid w:val="009F2615"/>
    <w:rsid w:val="009F2C5D"/>
    <w:rsid w:val="009F47EC"/>
    <w:rsid w:val="009F4F60"/>
    <w:rsid w:val="009F5250"/>
    <w:rsid w:val="009F57F0"/>
    <w:rsid w:val="009F5D27"/>
    <w:rsid w:val="00A019DA"/>
    <w:rsid w:val="00A020A4"/>
    <w:rsid w:val="00A04C41"/>
    <w:rsid w:val="00A054E9"/>
    <w:rsid w:val="00A0652D"/>
    <w:rsid w:val="00A06699"/>
    <w:rsid w:val="00A06C94"/>
    <w:rsid w:val="00A07895"/>
    <w:rsid w:val="00A07941"/>
    <w:rsid w:val="00A108EA"/>
    <w:rsid w:val="00A11D6C"/>
    <w:rsid w:val="00A12DC2"/>
    <w:rsid w:val="00A13C23"/>
    <w:rsid w:val="00A14FF8"/>
    <w:rsid w:val="00A15797"/>
    <w:rsid w:val="00A1595B"/>
    <w:rsid w:val="00A172E7"/>
    <w:rsid w:val="00A21AF4"/>
    <w:rsid w:val="00A22056"/>
    <w:rsid w:val="00A242CA"/>
    <w:rsid w:val="00A24446"/>
    <w:rsid w:val="00A26AE8"/>
    <w:rsid w:val="00A26B72"/>
    <w:rsid w:val="00A27575"/>
    <w:rsid w:val="00A27B13"/>
    <w:rsid w:val="00A317F7"/>
    <w:rsid w:val="00A32959"/>
    <w:rsid w:val="00A33888"/>
    <w:rsid w:val="00A35FFA"/>
    <w:rsid w:val="00A361AD"/>
    <w:rsid w:val="00A3729A"/>
    <w:rsid w:val="00A40754"/>
    <w:rsid w:val="00A42269"/>
    <w:rsid w:val="00A4264B"/>
    <w:rsid w:val="00A43ED6"/>
    <w:rsid w:val="00A449D5"/>
    <w:rsid w:val="00A45537"/>
    <w:rsid w:val="00A45D15"/>
    <w:rsid w:val="00A476D6"/>
    <w:rsid w:val="00A47B27"/>
    <w:rsid w:val="00A52F2F"/>
    <w:rsid w:val="00A53E9A"/>
    <w:rsid w:val="00A54CC1"/>
    <w:rsid w:val="00A57152"/>
    <w:rsid w:val="00A6017D"/>
    <w:rsid w:val="00A60F95"/>
    <w:rsid w:val="00A6140F"/>
    <w:rsid w:val="00A63BBA"/>
    <w:rsid w:val="00A66AFD"/>
    <w:rsid w:val="00A7621D"/>
    <w:rsid w:val="00A8083B"/>
    <w:rsid w:val="00A82135"/>
    <w:rsid w:val="00A83660"/>
    <w:rsid w:val="00A844E1"/>
    <w:rsid w:val="00A84D29"/>
    <w:rsid w:val="00A86090"/>
    <w:rsid w:val="00A8688C"/>
    <w:rsid w:val="00A86920"/>
    <w:rsid w:val="00A8745E"/>
    <w:rsid w:val="00A91101"/>
    <w:rsid w:val="00A91774"/>
    <w:rsid w:val="00A922FF"/>
    <w:rsid w:val="00A92AF5"/>
    <w:rsid w:val="00A9769C"/>
    <w:rsid w:val="00AA05DA"/>
    <w:rsid w:val="00AA0B75"/>
    <w:rsid w:val="00AA11A7"/>
    <w:rsid w:val="00AA294F"/>
    <w:rsid w:val="00AA3A22"/>
    <w:rsid w:val="00AA4C0C"/>
    <w:rsid w:val="00AA5CFF"/>
    <w:rsid w:val="00AA69D0"/>
    <w:rsid w:val="00AA6FFA"/>
    <w:rsid w:val="00AA71F1"/>
    <w:rsid w:val="00AA74FC"/>
    <w:rsid w:val="00AB071D"/>
    <w:rsid w:val="00AB16A2"/>
    <w:rsid w:val="00AB1CA9"/>
    <w:rsid w:val="00AB2D55"/>
    <w:rsid w:val="00AB2F22"/>
    <w:rsid w:val="00AB363A"/>
    <w:rsid w:val="00AC08B3"/>
    <w:rsid w:val="00AC3028"/>
    <w:rsid w:val="00AC69CD"/>
    <w:rsid w:val="00AC6B6A"/>
    <w:rsid w:val="00AD2386"/>
    <w:rsid w:val="00AD3A8C"/>
    <w:rsid w:val="00AD7143"/>
    <w:rsid w:val="00AE01E3"/>
    <w:rsid w:val="00AE2EEB"/>
    <w:rsid w:val="00AE58AC"/>
    <w:rsid w:val="00AE66C1"/>
    <w:rsid w:val="00AF227E"/>
    <w:rsid w:val="00AF3316"/>
    <w:rsid w:val="00AF380F"/>
    <w:rsid w:val="00AF3B44"/>
    <w:rsid w:val="00AF433A"/>
    <w:rsid w:val="00AF4C46"/>
    <w:rsid w:val="00AF5B6B"/>
    <w:rsid w:val="00AF6CE4"/>
    <w:rsid w:val="00AF7028"/>
    <w:rsid w:val="00B0598A"/>
    <w:rsid w:val="00B05DA3"/>
    <w:rsid w:val="00B065D1"/>
    <w:rsid w:val="00B0678D"/>
    <w:rsid w:val="00B12327"/>
    <w:rsid w:val="00B141EF"/>
    <w:rsid w:val="00B1424A"/>
    <w:rsid w:val="00B15F48"/>
    <w:rsid w:val="00B16515"/>
    <w:rsid w:val="00B17804"/>
    <w:rsid w:val="00B219B0"/>
    <w:rsid w:val="00B22809"/>
    <w:rsid w:val="00B228F5"/>
    <w:rsid w:val="00B24EC0"/>
    <w:rsid w:val="00B26D02"/>
    <w:rsid w:val="00B27085"/>
    <w:rsid w:val="00B3001E"/>
    <w:rsid w:val="00B30DF7"/>
    <w:rsid w:val="00B31AAB"/>
    <w:rsid w:val="00B334BA"/>
    <w:rsid w:val="00B33C94"/>
    <w:rsid w:val="00B349C1"/>
    <w:rsid w:val="00B350D0"/>
    <w:rsid w:val="00B3590E"/>
    <w:rsid w:val="00B453DD"/>
    <w:rsid w:val="00B50841"/>
    <w:rsid w:val="00B51C90"/>
    <w:rsid w:val="00B529DB"/>
    <w:rsid w:val="00B53138"/>
    <w:rsid w:val="00B5331E"/>
    <w:rsid w:val="00B541FC"/>
    <w:rsid w:val="00B555A7"/>
    <w:rsid w:val="00B55F86"/>
    <w:rsid w:val="00B56C75"/>
    <w:rsid w:val="00B6293F"/>
    <w:rsid w:val="00B63EAD"/>
    <w:rsid w:val="00B64745"/>
    <w:rsid w:val="00B66AC3"/>
    <w:rsid w:val="00B66D5B"/>
    <w:rsid w:val="00B7004F"/>
    <w:rsid w:val="00B702E7"/>
    <w:rsid w:val="00B7051C"/>
    <w:rsid w:val="00B70ECA"/>
    <w:rsid w:val="00B72829"/>
    <w:rsid w:val="00B732F7"/>
    <w:rsid w:val="00B75441"/>
    <w:rsid w:val="00B758A0"/>
    <w:rsid w:val="00B7630C"/>
    <w:rsid w:val="00B7655F"/>
    <w:rsid w:val="00B77AE0"/>
    <w:rsid w:val="00B80392"/>
    <w:rsid w:val="00B83862"/>
    <w:rsid w:val="00B83DE1"/>
    <w:rsid w:val="00B84DCD"/>
    <w:rsid w:val="00B84EF5"/>
    <w:rsid w:val="00B8727E"/>
    <w:rsid w:val="00B872C1"/>
    <w:rsid w:val="00B910D0"/>
    <w:rsid w:val="00B93B43"/>
    <w:rsid w:val="00B946C9"/>
    <w:rsid w:val="00B95139"/>
    <w:rsid w:val="00B960D5"/>
    <w:rsid w:val="00B9706B"/>
    <w:rsid w:val="00B97357"/>
    <w:rsid w:val="00B97618"/>
    <w:rsid w:val="00BA027B"/>
    <w:rsid w:val="00BA089F"/>
    <w:rsid w:val="00BA295A"/>
    <w:rsid w:val="00BA4217"/>
    <w:rsid w:val="00BA770B"/>
    <w:rsid w:val="00BB050A"/>
    <w:rsid w:val="00BB0F0C"/>
    <w:rsid w:val="00BB17A7"/>
    <w:rsid w:val="00BB2B06"/>
    <w:rsid w:val="00BB5143"/>
    <w:rsid w:val="00BB5FF2"/>
    <w:rsid w:val="00BB6B8F"/>
    <w:rsid w:val="00BB75A9"/>
    <w:rsid w:val="00BC050C"/>
    <w:rsid w:val="00BC35A2"/>
    <w:rsid w:val="00BC35B7"/>
    <w:rsid w:val="00BC6337"/>
    <w:rsid w:val="00BD05B8"/>
    <w:rsid w:val="00BD1ECC"/>
    <w:rsid w:val="00BD2DC5"/>
    <w:rsid w:val="00BD386F"/>
    <w:rsid w:val="00BD5025"/>
    <w:rsid w:val="00BD637D"/>
    <w:rsid w:val="00BD6DDA"/>
    <w:rsid w:val="00BE1B01"/>
    <w:rsid w:val="00BE1C8B"/>
    <w:rsid w:val="00BE40D4"/>
    <w:rsid w:val="00BE48BE"/>
    <w:rsid w:val="00BF15FD"/>
    <w:rsid w:val="00BF21B3"/>
    <w:rsid w:val="00BF5158"/>
    <w:rsid w:val="00BF5D26"/>
    <w:rsid w:val="00BF7984"/>
    <w:rsid w:val="00BF7E74"/>
    <w:rsid w:val="00BF7F3C"/>
    <w:rsid w:val="00C02536"/>
    <w:rsid w:val="00C02C20"/>
    <w:rsid w:val="00C0399C"/>
    <w:rsid w:val="00C03D0F"/>
    <w:rsid w:val="00C05B9E"/>
    <w:rsid w:val="00C11214"/>
    <w:rsid w:val="00C135C3"/>
    <w:rsid w:val="00C147EB"/>
    <w:rsid w:val="00C15AE7"/>
    <w:rsid w:val="00C17850"/>
    <w:rsid w:val="00C208C8"/>
    <w:rsid w:val="00C2310A"/>
    <w:rsid w:val="00C23C2C"/>
    <w:rsid w:val="00C241E9"/>
    <w:rsid w:val="00C27393"/>
    <w:rsid w:val="00C273BF"/>
    <w:rsid w:val="00C332EC"/>
    <w:rsid w:val="00C3595A"/>
    <w:rsid w:val="00C376C9"/>
    <w:rsid w:val="00C43666"/>
    <w:rsid w:val="00C5314A"/>
    <w:rsid w:val="00C5538D"/>
    <w:rsid w:val="00C56B18"/>
    <w:rsid w:val="00C60556"/>
    <w:rsid w:val="00C615A2"/>
    <w:rsid w:val="00C61F8D"/>
    <w:rsid w:val="00C62664"/>
    <w:rsid w:val="00C6395C"/>
    <w:rsid w:val="00C6701C"/>
    <w:rsid w:val="00C67D19"/>
    <w:rsid w:val="00C711C0"/>
    <w:rsid w:val="00C71423"/>
    <w:rsid w:val="00C71772"/>
    <w:rsid w:val="00C743F7"/>
    <w:rsid w:val="00C7463A"/>
    <w:rsid w:val="00C74CD9"/>
    <w:rsid w:val="00C776F5"/>
    <w:rsid w:val="00C802BD"/>
    <w:rsid w:val="00C836F5"/>
    <w:rsid w:val="00C83FB0"/>
    <w:rsid w:val="00C856D0"/>
    <w:rsid w:val="00C85D9E"/>
    <w:rsid w:val="00C85E5C"/>
    <w:rsid w:val="00C868C5"/>
    <w:rsid w:val="00C9013E"/>
    <w:rsid w:val="00C90724"/>
    <w:rsid w:val="00C91B59"/>
    <w:rsid w:val="00C92B86"/>
    <w:rsid w:val="00C93C54"/>
    <w:rsid w:val="00C95C02"/>
    <w:rsid w:val="00C96B2C"/>
    <w:rsid w:val="00C976C3"/>
    <w:rsid w:val="00CA0B26"/>
    <w:rsid w:val="00CA1A3F"/>
    <w:rsid w:val="00CA383F"/>
    <w:rsid w:val="00CA3DD1"/>
    <w:rsid w:val="00CA40F3"/>
    <w:rsid w:val="00CA5526"/>
    <w:rsid w:val="00CA566E"/>
    <w:rsid w:val="00CA6299"/>
    <w:rsid w:val="00CA69F8"/>
    <w:rsid w:val="00CA6DB3"/>
    <w:rsid w:val="00CB1878"/>
    <w:rsid w:val="00CB1B48"/>
    <w:rsid w:val="00CB1E69"/>
    <w:rsid w:val="00CB34A3"/>
    <w:rsid w:val="00CB507F"/>
    <w:rsid w:val="00CB6594"/>
    <w:rsid w:val="00CB704F"/>
    <w:rsid w:val="00CB733C"/>
    <w:rsid w:val="00CB7E9D"/>
    <w:rsid w:val="00CC0AB0"/>
    <w:rsid w:val="00CC1C9B"/>
    <w:rsid w:val="00CC2322"/>
    <w:rsid w:val="00CC3371"/>
    <w:rsid w:val="00CC48DA"/>
    <w:rsid w:val="00CC5064"/>
    <w:rsid w:val="00CC60CB"/>
    <w:rsid w:val="00CC6175"/>
    <w:rsid w:val="00CD05CD"/>
    <w:rsid w:val="00CD06F5"/>
    <w:rsid w:val="00CD2667"/>
    <w:rsid w:val="00CD2768"/>
    <w:rsid w:val="00CD4E8A"/>
    <w:rsid w:val="00CD60CF"/>
    <w:rsid w:val="00CD6209"/>
    <w:rsid w:val="00CE054B"/>
    <w:rsid w:val="00CE0D59"/>
    <w:rsid w:val="00CE422F"/>
    <w:rsid w:val="00CE602D"/>
    <w:rsid w:val="00CF3943"/>
    <w:rsid w:val="00CF546F"/>
    <w:rsid w:val="00CF67DB"/>
    <w:rsid w:val="00CF72DF"/>
    <w:rsid w:val="00D0058A"/>
    <w:rsid w:val="00D019DD"/>
    <w:rsid w:val="00D01AAA"/>
    <w:rsid w:val="00D02845"/>
    <w:rsid w:val="00D02E9C"/>
    <w:rsid w:val="00D03256"/>
    <w:rsid w:val="00D0367D"/>
    <w:rsid w:val="00D05D56"/>
    <w:rsid w:val="00D07D1F"/>
    <w:rsid w:val="00D113D5"/>
    <w:rsid w:val="00D12EB2"/>
    <w:rsid w:val="00D13DE7"/>
    <w:rsid w:val="00D14998"/>
    <w:rsid w:val="00D16C6F"/>
    <w:rsid w:val="00D17C2A"/>
    <w:rsid w:val="00D21987"/>
    <w:rsid w:val="00D21CDA"/>
    <w:rsid w:val="00D229F4"/>
    <w:rsid w:val="00D22D99"/>
    <w:rsid w:val="00D23471"/>
    <w:rsid w:val="00D2396F"/>
    <w:rsid w:val="00D241D2"/>
    <w:rsid w:val="00D25DC5"/>
    <w:rsid w:val="00D268C1"/>
    <w:rsid w:val="00D27C62"/>
    <w:rsid w:val="00D3473A"/>
    <w:rsid w:val="00D34FB4"/>
    <w:rsid w:val="00D3518C"/>
    <w:rsid w:val="00D3623E"/>
    <w:rsid w:val="00D3649B"/>
    <w:rsid w:val="00D3673B"/>
    <w:rsid w:val="00D4028D"/>
    <w:rsid w:val="00D420BD"/>
    <w:rsid w:val="00D43D33"/>
    <w:rsid w:val="00D4523E"/>
    <w:rsid w:val="00D4638A"/>
    <w:rsid w:val="00D4638B"/>
    <w:rsid w:val="00D47D54"/>
    <w:rsid w:val="00D47E5E"/>
    <w:rsid w:val="00D53539"/>
    <w:rsid w:val="00D53BC7"/>
    <w:rsid w:val="00D57C87"/>
    <w:rsid w:val="00D57F28"/>
    <w:rsid w:val="00D60E51"/>
    <w:rsid w:val="00D62F94"/>
    <w:rsid w:val="00D641D2"/>
    <w:rsid w:val="00D64469"/>
    <w:rsid w:val="00D710E3"/>
    <w:rsid w:val="00D721F7"/>
    <w:rsid w:val="00D82402"/>
    <w:rsid w:val="00D82A6E"/>
    <w:rsid w:val="00D83311"/>
    <w:rsid w:val="00D8333B"/>
    <w:rsid w:val="00D846F9"/>
    <w:rsid w:val="00D85F24"/>
    <w:rsid w:val="00D875EA"/>
    <w:rsid w:val="00D92091"/>
    <w:rsid w:val="00D926B3"/>
    <w:rsid w:val="00D94AB1"/>
    <w:rsid w:val="00D9570A"/>
    <w:rsid w:val="00D9644D"/>
    <w:rsid w:val="00D97AA5"/>
    <w:rsid w:val="00D97CD5"/>
    <w:rsid w:val="00DA6D46"/>
    <w:rsid w:val="00DB2834"/>
    <w:rsid w:val="00DB4DEF"/>
    <w:rsid w:val="00DB7F10"/>
    <w:rsid w:val="00DC154B"/>
    <w:rsid w:val="00DC1A09"/>
    <w:rsid w:val="00DC27A4"/>
    <w:rsid w:val="00DC2BE5"/>
    <w:rsid w:val="00DC3A5A"/>
    <w:rsid w:val="00DC3BB7"/>
    <w:rsid w:val="00DC3CDA"/>
    <w:rsid w:val="00DC44CF"/>
    <w:rsid w:val="00DC54B9"/>
    <w:rsid w:val="00DC5AD8"/>
    <w:rsid w:val="00DC5DE7"/>
    <w:rsid w:val="00DC63BF"/>
    <w:rsid w:val="00DC70C0"/>
    <w:rsid w:val="00DC7178"/>
    <w:rsid w:val="00DC76BE"/>
    <w:rsid w:val="00DC7AA1"/>
    <w:rsid w:val="00DD1A78"/>
    <w:rsid w:val="00DD1FE2"/>
    <w:rsid w:val="00DD3A13"/>
    <w:rsid w:val="00DD48A8"/>
    <w:rsid w:val="00DD56B6"/>
    <w:rsid w:val="00DD5BED"/>
    <w:rsid w:val="00DD7104"/>
    <w:rsid w:val="00DE029D"/>
    <w:rsid w:val="00DE1A2B"/>
    <w:rsid w:val="00DE2CEF"/>
    <w:rsid w:val="00DE4EB3"/>
    <w:rsid w:val="00DE5AD3"/>
    <w:rsid w:val="00DE6126"/>
    <w:rsid w:val="00DE6E92"/>
    <w:rsid w:val="00DF3975"/>
    <w:rsid w:val="00DF3A25"/>
    <w:rsid w:val="00DF5723"/>
    <w:rsid w:val="00DF7222"/>
    <w:rsid w:val="00E00267"/>
    <w:rsid w:val="00E00641"/>
    <w:rsid w:val="00E00744"/>
    <w:rsid w:val="00E02B35"/>
    <w:rsid w:val="00E02C74"/>
    <w:rsid w:val="00E03E45"/>
    <w:rsid w:val="00E03EA0"/>
    <w:rsid w:val="00E04592"/>
    <w:rsid w:val="00E10827"/>
    <w:rsid w:val="00E115CC"/>
    <w:rsid w:val="00E12328"/>
    <w:rsid w:val="00E1240A"/>
    <w:rsid w:val="00E12BB7"/>
    <w:rsid w:val="00E12FD6"/>
    <w:rsid w:val="00E1388F"/>
    <w:rsid w:val="00E13BBE"/>
    <w:rsid w:val="00E14C16"/>
    <w:rsid w:val="00E15CB2"/>
    <w:rsid w:val="00E160E2"/>
    <w:rsid w:val="00E1614B"/>
    <w:rsid w:val="00E1646D"/>
    <w:rsid w:val="00E21CDE"/>
    <w:rsid w:val="00E23D9F"/>
    <w:rsid w:val="00E254F9"/>
    <w:rsid w:val="00E263E9"/>
    <w:rsid w:val="00E27CEC"/>
    <w:rsid w:val="00E316AD"/>
    <w:rsid w:val="00E317A8"/>
    <w:rsid w:val="00E318AD"/>
    <w:rsid w:val="00E31EE9"/>
    <w:rsid w:val="00E3346C"/>
    <w:rsid w:val="00E33EA9"/>
    <w:rsid w:val="00E342F5"/>
    <w:rsid w:val="00E34F45"/>
    <w:rsid w:val="00E37224"/>
    <w:rsid w:val="00E43AA9"/>
    <w:rsid w:val="00E453C3"/>
    <w:rsid w:val="00E465E1"/>
    <w:rsid w:val="00E5006D"/>
    <w:rsid w:val="00E5090B"/>
    <w:rsid w:val="00E50A7A"/>
    <w:rsid w:val="00E51FBD"/>
    <w:rsid w:val="00E52C89"/>
    <w:rsid w:val="00E539BD"/>
    <w:rsid w:val="00E54F4F"/>
    <w:rsid w:val="00E552E0"/>
    <w:rsid w:val="00E553BB"/>
    <w:rsid w:val="00E556D7"/>
    <w:rsid w:val="00E55EEB"/>
    <w:rsid w:val="00E56D28"/>
    <w:rsid w:val="00E603BA"/>
    <w:rsid w:val="00E607DD"/>
    <w:rsid w:val="00E63BEF"/>
    <w:rsid w:val="00E65ECF"/>
    <w:rsid w:val="00E669D8"/>
    <w:rsid w:val="00E66A36"/>
    <w:rsid w:val="00E7102C"/>
    <w:rsid w:val="00E714C1"/>
    <w:rsid w:val="00E71B52"/>
    <w:rsid w:val="00E72DE0"/>
    <w:rsid w:val="00E7404C"/>
    <w:rsid w:val="00E7554C"/>
    <w:rsid w:val="00E75683"/>
    <w:rsid w:val="00E75F4E"/>
    <w:rsid w:val="00E764EC"/>
    <w:rsid w:val="00E8203C"/>
    <w:rsid w:val="00E82DE1"/>
    <w:rsid w:val="00E83693"/>
    <w:rsid w:val="00E83A07"/>
    <w:rsid w:val="00E83CB9"/>
    <w:rsid w:val="00E86861"/>
    <w:rsid w:val="00E8787B"/>
    <w:rsid w:val="00E91747"/>
    <w:rsid w:val="00E94CC2"/>
    <w:rsid w:val="00E94EA7"/>
    <w:rsid w:val="00E9584B"/>
    <w:rsid w:val="00E95C99"/>
    <w:rsid w:val="00E97B0C"/>
    <w:rsid w:val="00E97D68"/>
    <w:rsid w:val="00EA0137"/>
    <w:rsid w:val="00EA0A93"/>
    <w:rsid w:val="00EA40B8"/>
    <w:rsid w:val="00EA5387"/>
    <w:rsid w:val="00EB18E6"/>
    <w:rsid w:val="00EB1A66"/>
    <w:rsid w:val="00EB1AA9"/>
    <w:rsid w:val="00EB4871"/>
    <w:rsid w:val="00EC06FF"/>
    <w:rsid w:val="00EC2D28"/>
    <w:rsid w:val="00EC351D"/>
    <w:rsid w:val="00EC3A85"/>
    <w:rsid w:val="00EC5230"/>
    <w:rsid w:val="00EC5954"/>
    <w:rsid w:val="00EC6FD1"/>
    <w:rsid w:val="00ED046F"/>
    <w:rsid w:val="00ED0798"/>
    <w:rsid w:val="00ED1057"/>
    <w:rsid w:val="00ED2082"/>
    <w:rsid w:val="00ED3820"/>
    <w:rsid w:val="00ED7003"/>
    <w:rsid w:val="00EE0A06"/>
    <w:rsid w:val="00EE0C70"/>
    <w:rsid w:val="00EE0DAB"/>
    <w:rsid w:val="00EE0E00"/>
    <w:rsid w:val="00EE2EAC"/>
    <w:rsid w:val="00EE3768"/>
    <w:rsid w:val="00EE6B5D"/>
    <w:rsid w:val="00EF1244"/>
    <w:rsid w:val="00EF33EE"/>
    <w:rsid w:val="00EF37DC"/>
    <w:rsid w:val="00EF410C"/>
    <w:rsid w:val="00EF6079"/>
    <w:rsid w:val="00F0195D"/>
    <w:rsid w:val="00F032D3"/>
    <w:rsid w:val="00F10CB2"/>
    <w:rsid w:val="00F10EA6"/>
    <w:rsid w:val="00F116B5"/>
    <w:rsid w:val="00F11846"/>
    <w:rsid w:val="00F125BB"/>
    <w:rsid w:val="00F15219"/>
    <w:rsid w:val="00F2042F"/>
    <w:rsid w:val="00F20738"/>
    <w:rsid w:val="00F21CA9"/>
    <w:rsid w:val="00F23B44"/>
    <w:rsid w:val="00F265BC"/>
    <w:rsid w:val="00F27047"/>
    <w:rsid w:val="00F27316"/>
    <w:rsid w:val="00F30F37"/>
    <w:rsid w:val="00F31BD7"/>
    <w:rsid w:val="00F32498"/>
    <w:rsid w:val="00F3350F"/>
    <w:rsid w:val="00F33596"/>
    <w:rsid w:val="00F35D15"/>
    <w:rsid w:val="00F4013E"/>
    <w:rsid w:val="00F43B04"/>
    <w:rsid w:val="00F44E29"/>
    <w:rsid w:val="00F4614A"/>
    <w:rsid w:val="00F51801"/>
    <w:rsid w:val="00F52576"/>
    <w:rsid w:val="00F53F5E"/>
    <w:rsid w:val="00F55C7B"/>
    <w:rsid w:val="00F60B6B"/>
    <w:rsid w:val="00F61278"/>
    <w:rsid w:val="00F61662"/>
    <w:rsid w:val="00F61AC5"/>
    <w:rsid w:val="00F61F42"/>
    <w:rsid w:val="00F62F14"/>
    <w:rsid w:val="00F6361F"/>
    <w:rsid w:val="00F63819"/>
    <w:rsid w:val="00F675C9"/>
    <w:rsid w:val="00F67F11"/>
    <w:rsid w:val="00F707AD"/>
    <w:rsid w:val="00F70883"/>
    <w:rsid w:val="00F7131C"/>
    <w:rsid w:val="00F71321"/>
    <w:rsid w:val="00F75AF7"/>
    <w:rsid w:val="00F76D54"/>
    <w:rsid w:val="00F81E2F"/>
    <w:rsid w:val="00F8241F"/>
    <w:rsid w:val="00F8292E"/>
    <w:rsid w:val="00F83157"/>
    <w:rsid w:val="00F84165"/>
    <w:rsid w:val="00F85019"/>
    <w:rsid w:val="00F86323"/>
    <w:rsid w:val="00F933BF"/>
    <w:rsid w:val="00F93C50"/>
    <w:rsid w:val="00FA035E"/>
    <w:rsid w:val="00FA1235"/>
    <w:rsid w:val="00FA2EAB"/>
    <w:rsid w:val="00FA31D1"/>
    <w:rsid w:val="00FA5AC3"/>
    <w:rsid w:val="00FA7E7B"/>
    <w:rsid w:val="00FB0C95"/>
    <w:rsid w:val="00FB11A4"/>
    <w:rsid w:val="00FB1AFB"/>
    <w:rsid w:val="00FB2464"/>
    <w:rsid w:val="00FB3426"/>
    <w:rsid w:val="00FB6354"/>
    <w:rsid w:val="00FB63D1"/>
    <w:rsid w:val="00FB72C1"/>
    <w:rsid w:val="00FB7D50"/>
    <w:rsid w:val="00FC001D"/>
    <w:rsid w:val="00FC006E"/>
    <w:rsid w:val="00FC1DFF"/>
    <w:rsid w:val="00FC424D"/>
    <w:rsid w:val="00FC5317"/>
    <w:rsid w:val="00FC665D"/>
    <w:rsid w:val="00FC66E8"/>
    <w:rsid w:val="00FC7FED"/>
    <w:rsid w:val="00FD073B"/>
    <w:rsid w:val="00FD1153"/>
    <w:rsid w:val="00FD2325"/>
    <w:rsid w:val="00FD3C95"/>
    <w:rsid w:val="00FD7022"/>
    <w:rsid w:val="00FD7902"/>
    <w:rsid w:val="00FE1F32"/>
    <w:rsid w:val="00FE2DE4"/>
    <w:rsid w:val="00FE36D1"/>
    <w:rsid w:val="00FE4DAD"/>
    <w:rsid w:val="00FE5DEE"/>
    <w:rsid w:val="00FE632B"/>
    <w:rsid w:val="00FE6850"/>
    <w:rsid w:val="00FE6C70"/>
    <w:rsid w:val="00FE6E2A"/>
    <w:rsid w:val="00FE7C8E"/>
    <w:rsid w:val="00FF024D"/>
    <w:rsid w:val="00FF0E20"/>
    <w:rsid w:val="00FF21E4"/>
    <w:rsid w:val="00FF29F7"/>
    <w:rsid w:val="00FF5D4B"/>
    <w:rsid w:val="00FF67AB"/>
  </w:rsids>
  <m:mathPr>
    <m:mathFont m:val="Cambria Math"/>
    <m:brkBin m:val="before"/>
    <m:brkBinSub m:val="--"/>
    <m:smallFrac m:val="0"/>
    <m:dispDef/>
    <m:lMargin m:val="0"/>
    <m:rMargin m:val="0"/>
    <m:defJc m:val="centerGroup"/>
    <m:wrapIndent m:val="1440"/>
    <m:intLim m:val="subSup"/>
    <m:naryLim m:val="undOvr"/>
  </m:mathPr>
  <w:themeFontLang w:val="fr-BE"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B0077C7"/>
  <w15:docId w15:val="{981E0836-C10A-4DA5-B413-FFC0B0BDB4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it-IT" w:eastAsia="it-IT" w:bidi="it-IT"/>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uiPriority="9" w:qFormat="1"/>
    <w:lsdException w:name="heading 3" w:uiPriority="0" w:qFormat="1"/>
    <w:lsdException w:name="heading 4" w:qFormat="1"/>
    <w:lsdException w:name="heading 5" w:qFormat="1"/>
    <w:lsdException w:name="heading 6" w:qFormat="1"/>
    <w:lsdException w:name="heading 7" w:uiPriority="0" w:qFormat="1"/>
    <w:lsdException w:name="heading 8" w:uiPriority="0" w:qFormat="1"/>
    <w:lsdException w:name="heading 9" w:uiPriority="0" w:qFormat="1"/>
    <w:lsdException w:name="index 1" w:semiHidden="1"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semiHidden/>
    <w:qFormat/>
    <w:rsid w:val="003C0F40"/>
    <w:pPr>
      <w:spacing w:before="60" w:after="140" w:line="220" w:lineRule="atLeast"/>
      <w:jc w:val="both"/>
    </w:pPr>
    <w:rPr>
      <w:rFonts w:ascii="Arial" w:hAnsi="Arial"/>
      <w:sz w:val="18"/>
      <w:szCs w:val="24"/>
    </w:rPr>
  </w:style>
  <w:style w:type="paragraph" w:styleId="Heading1">
    <w:name w:val="heading 1"/>
    <w:basedOn w:val="Normal"/>
    <w:next w:val="Normal"/>
    <w:link w:val="Heading1Char"/>
    <w:uiPriority w:val="9"/>
    <w:qFormat/>
    <w:rsid w:val="00E465E1"/>
    <w:pPr>
      <w:keepNext/>
      <w:framePr w:hSpace="142" w:vSpace="142" w:wrap="notBeside" w:vAnchor="page" w:hAnchor="margin" w:y="1532"/>
      <w:numPr>
        <w:numId w:val="1"/>
      </w:numPr>
      <w:pBdr>
        <w:left w:val="single" w:sz="48" w:space="8" w:color="33CCCC"/>
      </w:pBdr>
      <w:tabs>
        <w:tab w:val="clear" w:pos="474"/>
        <w:tab w:val="left" w:pos="227"/>
      </w:tabs>
      <w:suppressAutoHyphens/>
      <w:spacing w:after="20" w:line="240" w:lineRule="auto"/>
      <w:ind w:left="227" w:hanging="227"/>
      <w:jc w:val="left"/>
      <w:outlineLvl w:val="0"/>
    </w:pPr>
    <w:rPr>
      <w:rFonts w:cs="Arial"/>
      <w:b/>
      <w:bCs/>
      <w:kern w:val="32"/>
      <w:sz w:val="24"/>
      <w:szCs w:val="32"/>
    </w:rPr>
  </w:style>
  <w:style w:type="paragraph" w:styleId="Heading2">
    <w:name w:val="heading 2"/>
    <w:aliases w:val="Titre B,no vale,Heading 2 Char1,Heading 2 Char Char"/>
    <w:basedOn w:val="Normal"/>
    <w:next w:val="Normal"/>
    <w:link w:val="Heading2Char"/>
    <w:uiPriority w:val="9"/>
    <w:qFormat/>
    <w:rsid w:val="00E465E1"/>
    <w:pPr>
      <w:keepNext/>
      <w:numPr>
        <w:ilvl w:val="1"/>
        <w:numId w:val="1"/>
      </w:numPr>
      <w:tabs>
        <w:tab w:val="clear" w:pos="360"/>
        <w:tab w:val="left" w:pos="454"/>
      </w:tabs>
      <w:suppressAutoHyphens/>
      <w:spacing w:before="240" w:line="260" w:lineRule="exact"/>
      <w:ind w:left="454" w:hanging="454"/>
      <w:jc w:val="left"/>
      <w:outlineLvl w:val="1"/>
    </w:pPr>
    <w:rPr>
      <w:rFonts w:cs="Arial"/>
      <w:b/>
      <w:bCs/>
      <w:iCs/>
      <w:sz w:val="22"/>
      <w:szCs w:val="28"/>
    </w:rPr>
  </w:style>
  <w:style w:type="paragraph" w:styleId="Heading3">
    <w:name w:val="heading 3"/>
    <w:aliases w:val="H3,no vale1,no vale1 Car"/>
    <w:basedOn w:val="Normal"/>
    <w:next w:val="Normal"/>
    <w:link w:val="Heading3Char"/>
    <w:qFormat/>
    <w:rsid w:val="00E465E1"/>
    <w:pPr>
      <w:keepNext/>
      <w:numPr>
        <w:ilvl w:val="2"/>
        <w:numId w:val="1"/>
      </w:numPr>
      <w:tabs>
        <w:tab w:val="clear" w:pos="720"/>
        <w:tab w:val="left" w:pos="567"/>
      </w:tabs>
      <w:suppressAutoHyphens/>
      <w:spacing w:before="240" w:line="240" w:lineRule="exact"/>
      <w:ind w:left="567" w:hanging="567"/>
      <w:jc w:val="left"/>
      <w:outlineLvl w:val="2"/>
    </w:pPr>
    <w:rPr>
      <w:rFonts w:cs="Arial"/>
      <w:b/>
      <w:bCs/>
      <w:color w:val="5F5F5F"/>
      <w:sz w:val="20"/>
      <w:szCs w:val="26"/>
    </w:rPr>
  </w:style>
  <w:style w:type="paragraph" w:styleId="Heading4">
    <w:name w:val="heading 4"/>
    <w:aliases w:val="Heading 4 Char1,Título 4 Car,Heading 4 Char1 Car,no vale 2,no vale 2 Car"/>
    <w:basedOn w:val="Normal"/>
    <w:next w:val="Normal"/>
    <w:link w:val="Heading4Char2"/>
    <w:uiPriority w:val="99"/>
    <w:qFormat/>
    <w:rsid w:val="00E465E1"/>
    <w:pPr>
      <w:keepNext/>
      <w:numPr>
        <w:ilvl w:val="3"/>
        <w:numId w:val="1"/>
      </w:numPr>
      <w:tabs>
        <w:tab w:val="clear" w:pos="1080"/>
        <w:tab w:val="left" w:pos="680"/>
      </w:tabs>
      <w:suppressAutoHyphens/>
      <w:spacing w:before="240"/>
      <w:ind w:left="680" w:hanging="680"/>
      <w:jc w:val="left"/>
      <w:outlineLvl w:val="3"/>
    </w:pPr>
    <w:rPr>
      <w:b/>
      <w:bCs/>
      <w:color w:val="5F5F5F"/>
      <w:szCs w:val="28"/>
    </w:rPr>
  </w:style>
  <w:style w:type="paragraph" w:styleId="Heading5">
    <w:name w:val="heading 5"/>
    <w:basedOn w:val="Normal"/>
    <w:next w:val="Normal"/>
    <w:link w:val="Heading5Char"/>
    <w:uiPriority w:val="99"/>
    <w:qFormat/>
    <w:rsid w:val="00E465E1"/>
    <w:pPr>
      <w:suppressAutoHyphens/>
      <w:spacing w:before="200" w:after="100"/>
      <w:jc w:val="left"/>
      <w:outlineLvl w:val="4"/>
    </w:pPr>
    <w:rPr>
      <w:b/>
      <w:bCs/>
      <w:iCs/>
      <w:color w:val="5F5F5F"/>
      <w:szCs w:val="26"/>
    </w:rPr>
  </w:style>
  <w:style w:type="paragraph" w:styleId="Heading6">
    <w:name w:val="heading 6"/>
    <w:basedOn w:val="Normal"/>
    <w:next w:val="Normal"/>
    <w:link w:val="Heading6Char"/>
    <w:uiPriority w:val="99"/>
    <w:qFormat/>
    <w:rsid w:val="00E465E1"/>
    <w:pPr>
      <w:suppressAutoHyphens/>
      <w:spacing w:before="140" w:line="200" w:lineRule="exact"/>
      <w:jc w:val="left"/>
      <w:outlineLvl w:val="5"/>
    </w:pPr>
    <w:rPr>
      <w:b/>
      <w:bCs/>
      <w:color w:val="808080"/>
      <w:sz w:val="16"/>
      <w:szCs w:val="22"/>
    </w:rPr>
  </w:style>
  <w:style w:type="paragraph" w:styleId="Heading7">
    <w:name w:val="heading 7"/>
    <w:basedOn w:val="Normal"/>
    <w:next w:val="Normal"/>
    <w:link w:val="Heading7Char"/>
    <w:qFormat/>
    <w:rsid w:val="00E465E1"/>
    <w:pPr>
      <w:suppressAutoHyphens/>
      <w:spacing w:before="140" w:line="200" w:lineRule="exact"/>
      <w:jc w:val="left"/>
      <w:outlineLvl w:val="6"/>
    </w:pPr>
    <w:rPr>
      <w:b/>
      <w:color w:val="808080"/>
      <w:sz w:val="16"/>
    </w:rPr>
  </w:style>
  <w:style w:type="paragraph" w:styleId="Heading8">
    <w:name w:val="heading 8"/>
    <w:basedOn w:val="Normal"/>
    <w:next w:val="Normal"/>
    <w:link w:val="Heading8Char"/>
    <w:qFormat/>
    <w:rsid w:val="00E465E1"/>
    <w:pPr>
      <w:suppressAutoHyphens/>
      <w:spacing w:before="140" w:line="200" w:lineRule="exact"/>
      <w:jc w:val="left"/>
      <w:outlineLvl w:val="7"/>
    </w:pPr>
    <w:rPr>
      <w:b/>
      <w:iCs/>
      <w:color w:val="808080"/>
      <w:sz w:val="16"/>
    </w:rPr>
  </w:style>
  <w:style w:type="paragraph" w:styleId="Heading9">
    <w:name w:val="heading 9"/>
    <w:basedOn w:val="Heading1"/>
    <w:next w:val="Normal"/>
    <w:link w:val="Heading9Char"/>
    <w:qFormat/>
    <w:rsid w:val="00E465E1"/>
    <w:pPr>
      <w:framePr w:wrap="notBeside"/>
      <w:numPr>
        <w:numId w:val="0"/>
      </w:numPr>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2">
    <w:name w:val="toc 2"/>
    <w:next w:val="Normal"/>
    <w:uiPriority w:val="39"/>
    <w:qFormat/>
    <w:rsid w:val="007B459A"/>
    <w:pPr>
      <w:tabs>
        <w:tab w:val="left" w:pos="454"/>
        <w:tab w:val="right" w:leader="dot" w:pos="7700"/>
      </w:tabs>
      <w:suppressAutoHyphens/>
      <w:spacing w:before="60" w:line="280" w:lineRule="exact"/>
      <w:ind w:left="454" w:right="284" w:hanging="454"/>
    </w:pPr>
    <w:rPr>
      <w:rFonts w:ascii="Arial" w:hAnsi="Arial"/>
      <w:noProof/>
      <w:color w:val="6F6F6F"/>
      <w:szCs w:val="22"/>
    </w:rPr>
  </w:style>
  <w:style w:type="paragraph" w:styleId="Header">
    <w:name w:val="header"/>
    <w:link w:val="HeaderChar"/>
    <w:rsid w:val="007B459A"/>
    <w:pPr>
      <w:pBdr>
        <w:bottom w:val="single" w:sz="4" w:space="4" w:color="auto"/>
      </w:pBdr>
      <w:tabs>
        <w:tab w:val="right" w:pos="8618"/>
      </w:tabs>
      <w:spacing w:before="60"/>
      <w:ind w:left="-907" w:right="-907"/>
    </w:pPr>
    <w:rPr>
      <w:rFonts w:ascii="Arial" w:hAnsi="Arial"/>
      <w:color w:val="F07E31"/>
      <w:sz w:val="18"/>
    </w:rPr>
  </w:style>
  <w:style w:type="paragraph" w:styleId="Footer">
    <w:name w:val="footer"/>
    <w:link w:val="FooterChar"/>
    <w:uiPriority w:val="99"/>
    <w:rsid w:val="007B459A"/>
    <w:pPr>
      <w:tabs>
        <w:tab w:val="right" w:pos="8618"/>
      </w:tabs>
      <w:ind w:left="-907" w:right="-907"/>
      <w:jc w:val="center"/>
    </w:pPr>
    <w:rPr>
      <w:rFonts w:ascii="Arial" w:hAnsi="Arial"/>
      <w:color w:val="808080"/>
      <w:sz w:val="18"/>
    </w:rPr>
  </w:style>
  <w:style w:type="character" w:styleId="PageNumber">
    <w:name w:val="page number"/>
    <w:basedOn w:val="DefaultParagraphFont"/>
    <w:semiHidden/>
    <w:rsid w:val="00E465E1"/>
    <w:rPr>
      <w:rFonts w:ascii="Arial" w:hAnsi="Arial"/>
      <w:color w:val="808080"/>
      <w:sz w:val="18"/>
    </w:rPr>
  </w:style>
  <w:style w:type="paragraph" w:customStyle="1" w:styleId="HTitle2">
    <w:name w:val="H_Title2"/>
    <w:basedOn w:val="Normal"/>
    <w:qFormat/>
    <w:rsid w:val="007B459A"/>
    <w:pPr>
      <w:autoSpaceDE w:val="0"/>
      <w:autoSpaceDN w:val="0"/>
      <w:adjustRightInd w:val="0"/>
      <w:spacing w:before="0" w:after="120" w:line="280" w:lineRule="atLeast"/>
      <w:jc w:val="left"/>
    </w:pPr>
    <w:rPr>
      <w:b/>
      <w:smallCaps/>
      <w:color w:val="6F6F6F"/>
      <w:sz w:val="44"/>
      <w:szCs w:val="52"/>
    </w:rPr>
  </w:style>
  <w:style w:type="paragraph" w:customStyle="1" w:styleId="Hlistbullet">
    <w:name w:val="H_list_bullet"/>
    <w:rsid w:val="00C241E9"/>
    <w:pPr>
      <w:numPr>
        <w:numId w:val="14"/>
      </w:numPr>
      <w:spacing w:before="60" w:after="240" w:line="220" w:lineRule="atLeast"/>
      <w:ind w:left="357" w:hanging="357"/>
      <w:jc w:val="both"/>
    </w:pPr>
    <w:rPr>
      <w:rFonts w:ascii="Arial" w:hAnsi="Arial"/>
      <w:color w:val="373737" w:themeColor="background1" w:themeShade="40"/>
    </w:rPr>
  </w:style>
  <w:style w:type="paragraph" w:customStyle="1" w:styleId="Hlistbullet2">
    <w:name w:val="H_list_bullet2"/>
    <w:basedOn w:val="Hlistbullet"/>
    <w:next w:val="HStandard"/>
    <w:rsid w:val="006506FD"/>
    <w:pPr>
      <w:numPr>
        <w:numId w:val="46"/>
      </w:numPr>
      <w:spacing w:after="140"/>
      <w:ind w:left="811" w:hanging="454"/>
    </w:pPr>
  </w:style>
  <w:style w:type="paragraph" w:customStyle="1" w:styleId="Hlistabc">
    <w:name w:val="H_list_abc"/>
    <w:rsid w:val="00F116B5"/>
    <w:pPr>
      <w:numPr>
        <w:numId w:val="3"/>
      </w:numPr>
      <w:tabs>
        <w:tab w:val="clear" w:pos="644"/>
        <w:tab w:val="left" w:pos="567"/>
      </w:tabs>
      <w:spacing w:before="60" w:line="220" w:lineRule="atLeast"/>
      <w:ind w:left="568" w:hanging="284"/>
      <w:jc w:val="both"/>
    </w:pPr>
    <w:rPr>
      <w:rFonts w:ascii="Arial" w:hAnsi="Arial"/>
      <w:color w:val="373737" w:themeColor="background1" w:themeShade="40"/>
    </w:rPr>
  </w:style>
  <w:style w:type="paragraph" w:customStyle="1" w:styleId="Hlistabc2">
    <w:name w:val="H_list_abc_2"/>
    <w:basedOn w:val="Hlistabc"/>
    <w:next w:val="HStandard"/>
    <w:rsid w:val="000B7EBA"/>
    <w:pPr>
      <w:spacing w:after="140"/>
    </w:pPr>
  </w:style>
  <w:style w:type="paragraph" w:customStyle="1" w:styleId="HTitle1">
    <w:name w:val="H_Title1"/>
    <w:basedOn w:val="Normal"/>
    <w:rsid w:val="007B459A"/>
    <w:pPr>
      <w:autoSpaceDE w:val="0"/>
      <w:autoSpaceDN w:val="0"/>
      <w:adjustRightInd w:val="0"/>
      <w:spacing w:before="0" w:after="120" w:line="280" w:lineRule="atLeast"/>
    </w:pPr>
    <w:rPr>
      <w:b/>
      <w:bCs/>
      <w:caps/>
      <w:color w:val="F07E31"/>
      <w:sz w:val="44"/>
      <w:szCs w:val="32"/>
    </w:rPr>
  </w:style>
  <w:style w:type="paragraph" w:customStyle="1" w:styleId="Autor">
    <w:name w:val="Autor"/>
    <w:basedOn w:val="Normal"/>
    <w:rsid w:val="002D6766"/>
    <w:pPr>
      <w:spacing w:before="0" w:after="0" w:line="280" w:lineRule="exact"/>
      <w:jc w:val="left"/>
    </w:pPr>
    <w:rPr>
      <w:sz w:val="20"/>
    </w:rPr>
  </w:style>
  <w:style w:type="paragraph" w:customStyle="1" w:styleId="HTitle3">
    <w:name w:val="H_Title3"/>
    <w:basedOn w:val="Autor"/>
    <w:rsid w:val="007B459A"/>
    <w:rPr>
      <w:b/>
      <w:color w:val="6F6F6F"/>
      <w:sz w:val="28"/>
    </w:rPr>
  </w:style>
  <w:style w:type="paragraph" w:styleId="TOC1">
    <w:name w:val="toc 1"/>
    <w:next w:val="Normal"/>
    <w:uiPriority w:val="39"/>
    <w:qFormat/>
    <w:rsid w:val="007B459A"/>
    <w:pPr>
      <w:tabs>
        <w:tab w:val="left" w:pos="454"/>
        <w:tab w:val="right" w:leader="dot" w:pos="7700"/>
      </w:tabs>
      <w:suppressAutoHyphens/>
      <w:spacing w:before="200" w:line="300" w:lineRule="exact"/>
      <w:ind w:left="454" w:right="284" w:hanging="454"/>
    </w:pPr>
    <w:rPr>
      <w:rFonts w:ascii="Arial" w:hAnsi="Arial"/>
      <w:b/>
      <w:noProof/>
      <w:color w:val="6F6F6F"/>
    </w:rPr>
  </w:style>
  <w:style w:type="paragraph" w:styleId="TOC3">
    <w:name w:val="toc 3"/>
    <w:next w:val="Normal"/>
    <w:uiPriority w:val="39"/>
    <w:qFormat/>
    <w:rsid w:val="007B459A"/>
    <w:pPr>
      <w:tabs>
        <w:tab w:val="left" w:pos="1021"/>
        <w:tab w:val="right" w:leader="dot" w:pos="7700"/>
      </w:tabs>
      <w:suppressAutoHyphens/>
      <w:spacing w:before="60" w:line="280" w:lineRule="exact"/>
      <w:ind w:left="1021" w:right="284" w:hanging="567"/>
    </w:pPr>
    <w:rPr>
      <w:rFonts w:ascii="Arial" w:hAnsi="Arial"/>
      <w:noProof/>
      <w:color w:val="6F6F6F"/>
      <w:sz w:val="18"/>
    </w:rPr>
  </w:style>
  <w:style w:type="paragraph" w:customStyle="1" w:styleId="Fuzeilequerformat">
    <w:name w:val="Fußzeile_querformat"/>
    <w:basedOn w:val="Footer"/>
    <w:rsid w:val="00E465E1"/>
    <w:pPr>
      <w:tabs>
        <w:tab w:val="clear" w:pos="8618"/>
        <w:tab w:val="right" w:pos="12871"/>
      </w:tabs>
    </w:pPr>
  </w:style>
  <w:style w:type="paragraph" w:styleId="TableofFigures">
    <w:name w:val="table of figures"/>
    <w:next w:val="HStandard"/>
    <w:uiPriority w:val="99"/>
    <w:rsid w:val="005F3260"/>
    <w:pPr>
      <w:tabs>
        <w:tab w:val="left" w:pos="851"/>
        <w:tab w:val="right" w:leader="dot" w:pos="7711"/>
      </w:tabs>
      <w:suppressAutoHyphens/>
      <w:spacing w:before="60" w:line="280" w:lineRule="exact"/>
      <w:ind w:left="851" w:right="284" w:hanging="851"/>
    </w:pPr>
    <w:rPr>
      <w:rFonts w:ascii="Arial" w:hAnsi="Arial"/>
    </w:rPr>
  </w:style>
  <w:style w:type="paragraph" w:customStyle="1" w:styleId="Hlistline3">
    <w:name w:val="H_list_line3"/>
    <w:rsid w:val="00C241E9"/>
    <w:pPr>
      <w:numPr>
        <w:numId w:val="4"/>
      </w:numPr>
      <w:spacing w:before="60" w:line="220" w:lineRule="atLeast"/>
      <w:ind w:left="851" w:hanging="284"/>
      <w:jc w:val="both"/>
    </w:pPr>
    <w:rPr>
      <w:rFonts w:ascii="Arial" w:hAnsi="Arial"/>
      <w:color w:val="373737" w:themeColor="background1" w:themeShade="40"/>
    </w:rPr>
  </w:style>
  <w:style w:type="paragraph" w:customStyle="1" w:styleId="Hlistline4">
    <w:name w:val="H_list_line4"/>
    <w:basedOn w:val="Hlistline3"/>
    <w:next w:val="HStandard"/>
    <w:rsid w:val="007B459A"/>
    <w:pPr>
      <w:spacing w:after="140"/>
    </w:pPr>
  </w:style>
  <w:style w:type="paragraph" w:customStyle="1" w:styleId="HSource">
    <w:name w:val="H_Source"/>
    <w:next w:val="HStandard"/>
    <w:rsid w:val="00197CE4"/>
    <w:pPr>
      <w:suppressAutoHyphens/>
      <w:spacing w:before="60" w:after="140"/>
      <w:jc w:val="center"/>
    </w:pPr>
    <w:rPr>
      <w:rFonts w:ascii="Arial" w:hAnsi="Arial"/>
      <w:i/>
      <w:color w:val="808080"/>
      <w:sz w:val="16"/>
    </w:rPr>
  </w:style>
  <w:style w:type="paragraph" w:customStyle="1" w:styleId="Htableleft">
    <w:name w:val="H_table_left"/>
    <w:rsid w:val="009C30A3"/>
    <w:pPr>
      <w:suppressAutoHyphens/>
      <w:spacing w:before="40" w:after="40"/>
    </w:pPr>
    <w:rPr>
      <w:rFonts w:ascii="Arial" w:hAnsi="Arial"/>
      <w:color w:val="373737" w:themeColor="background1" w:themeShade="40"/>
      <w:sz w:val="18"/>
    </w:rPr>
  </w:style>
  <w:style w:type="paragraph" w:customStyle="1" w:styleId="Htablecentered">
    <w:name w:val="H_table_centered"/>
    <w:basedOn w:val="Htableleft"/>
    <w:rsid w:val="007B459A"/>
    <w:pPr>
      <w:jc w:val="center"/>
    </w:pPr>
  </w:style>
  <w:style w:type="paragraph" w:customStyle="1" w:styleId="Htableleftbolt">
    <w:name w:val="H_table_left_bolt"/>
    <w:basedOn w:val="Htableleft"/>
    <w:rsid w:val="00C208C8"/>
    <w:rPr>
      <w:b/>
      <w:color w:val="DDDDDD" w:themeColor="background1"/>
    </w:rPr>
  </w:style>
  <w:style w:type="paragraph" w:customStyle="1" w:styleId="Htablecenteredbolt">
    <w:name w:val="H_table_centered_bolt"/>
    <w:basedOn w:val="Htablecentered"/>
    <w:rsid w:val="00BF5158"/>
    <w:rPr>
      <w:b/>
      <w:color w:val="DDDDDD" w:themeColor="background1"/>
    </w:rPr>
  </w:style>
  <w:style w:type="paragraph" w:styleId="FootnoteText">
    <w:name w:val="footnote text"/>
    <w:aliases w:val="Fußnote,Geneva 9,Font: Geneva 9,Boston 10,f,ft,Footnote Text Char Char Char Char Char Char Char Char Char Char,Footnote Text Char Char,Footnote Text Char Char Char Char Char Char Char Char Char Char Char Char,Footnote Text2"/>
    <w:link w:val="FootnoteTextChar2"/>
    <w:uiPriority w:val="99"/>
    <w:qFormat/>
    <w:rsid w:val="00756E9C"/>
    <w:pPr>
      <w:tabs>
        <w:tab w:val="left" w:pos="170"/>
      </w:tabs>
      <w:spacing w:line="180" w:lineRule="exact"/>
      <w:ind w:left="170" w:hanging="170"/>
    </w:pPr>
    <w:rPr>
      <w:rFonts w:ascii="Arial" w:hAnsi="Arial"/>
      <w:color w:val="808080"/>
      <w:sz w:val="16"/>
    </w:rPr>
  </w:style>
  <w:style w:type="paragraph" w:customStyle="1" w:styleId="Htablebullet">
    <w:name w:val="H_table_bullet"/>
    <w:basedOn w:val="Htableleft"/>
    <w:rsid w:val="007B459A"/>
    <w:pPr>
      <w:numPr>
        <w:numId w:val="5"/>
      </w:numPr>
      <w:tabs>
        <w:tab w:val="left" w:pos="142"/>
      </w:tabs>
      <w:ind w:left="142" w:hanging="142"/>
    </w:pPr>
  </w:style>
  <w:style w:type="character" w:styleId="FootnoteReference">
    <w:name w:val="footnote reference"/>
    <w:aliases w:val="Überschrift 4 Zchn1,Título 4 Car Zchn,Heading 4 Char1 Car Zchn,no vale 2 Zchn,no vale 2 Car Zchn,Footnote symbol,ftref,Footnote Refernece,Footnote Reference Number,BVI fnr,Fußnotenzeichen_Raxen,Heading 4 Char2 Char"/>
    <w:basedOn w:val="DefaultParagraphFont"/>
    <w:uiPriority w:val="99"/>
    <w:rsid w:val="00756E9C"/>
    <w:rPr>
      <w:rFonts w:ascii="Arial" w:hAnsi="Arial"/>
      <w:i/>
      <w:dstrike w:val="0"/>
      <w:color w:val="808080"/>
      <w:position w:val="6"/>
      <w:sz w:val="12"/>
      <w:vertAlign w:val="baseline"/>
    </w:rPr>
  </w:style>
  <w:style w:type="paragraph" w:customStyle="1" w:styleId="HContent">
    <w:name w:val="H_Content"/>
    <w:basedOn w:val="Heading1"/>
    <w:next w:val="HStandard"/>
    <w:rsid w:val="007B459A"/>
    <w:pPr>
      <w:pageBreakBefore/>
      <w:framePr w:hSpace="0" w:vSpace="0" w:wrap="auto" w:vAnchor="margin" w:hAnchor="text" w:yAlign="inline"/>
      <w:numPr>
        <w:numId w:val="0"/>
      </w:numPr>
      <w:pBdr>
        <w:left w:val="none" w:sz="0" w:space="0" w:color="auto"/>
      </w:pBdr>
      <w:spacing w:before="360" w:after="360" w:line="280" w:lineRule="atLeast"/>
    </w:pPr>
    <w:rPr>
      <w:caps/>
      <w:color w:val="F07E31"/>
      <w:sz w:val="20"/>
    </w:rPr>
  </w:style>
  <w:style w:type="paragraph" w:customStyle="1" w:styleId="HHeading1">
    <w:name w:val="H_Heading 1"/>
    <w:next w:val="HStandard"/>
    <w:rsid w:val="007B459A"/>
    <w:pPr>
      <w:keepNext/>
      <w:pageBreakBefore/>
      <w:numPr>
        <w:numId w:val="6"/>
      </w:numPr>
      <w:tabs>
        <w:tab w:val="clear" w:pos="474"/>
        <w:tab w:val="left" w:pos="510"/>
      </w:tabs>
      <w:spacing w:before="360" w:after="360" w:line="280" w:lineRule="atLeast"/>
      <w:ind w:left="510" w:hanging="510"/>
      <w:outlineLvl w:val="0"/>
    </w:pPr>
    <w:rPr>
      <w:rFonts w:ascii="Arial" w:hAnsi="Arial"/>
      <w:b/>
      <w:caps/>
      <w:color w:val="F07E31"/>
    </w:rPr>
  </w:style>
  <w:style w:type="paragraph" w:customStyle="1" w:styleId="HHeading2">
    <w:name w:val="H_Heading 2"/>
    <w:next w:val="HStandard"/>
    <w:rsid w:val="00706AC9"/>
    <w:pPr>
      <w:keepNext/>
      <w:keepLines/>
      <w:numPr>
        <w:ilvl w:val="1"/>
        <w:numId w:val="6"/>
      </w:numPr>
      <w:tabs>
        <w:tab w:val="clear" w:pos="360"/>
        <w:tab w:val="left" w:pos="510"/>
      </w:tabs>
      <w:spacing w:before="240" w:after="140" w:line="260" w:lineRule="exact"/>
      <w:ind w:left="510" w:hanging="510"/>
      <w:outlineLvl w:val="1"/>
    </w:pPr>
    <w:rPr>
      <w:rFonts w:ascii="Arial" w:hAnsi="Arial"/>
      <w:b/>
      <w:color w:val="6F6F6F" w:themeColor="text1"/>
    </w:rPr>
  </w:style>
  <w:style w:type="paragraph" w:customStyle="1" w:styleId="HHeading3">
    <w:name w:val="H_Heading 3"/>
    <w:next w:val="HStandard"/>
    <w:rsid w:val="007B459A"/>
    <w:pPr>
      <w:keepNext/>
      <w:keepLines/>
      <w:numPr>
        <w:ilvl w:val="2"/>
        <w:numId w:val="6"/>
      </w:numPr>
      <w:tabs>
        <w:tab w:val="left" w:pos="567"/>
      </w:tabs>
      <w:spacing w:before="240" w:after="140" w:line="240" w:lineRule="exact"/>
      <w:outlineLvl w:val="2"/>
    </w:pPr>
    <w:rPr>
      <w:rFonts w:ascii="Arial" w:hAnsi="Arial"/>
      <w:b/>
      <w:color w:val="F07E31"/>
    </w:rPr>
  </w:style>
  <w:style w:type="paragraph" w:customStyle="1" w:styleId="HHeading4">
    <w:name w:val="H_Heading 4"/>
    <w:next w:val="HStandard"/>
    <w:rsid w:val="007B459A"/>
    <w:pPr>
      <w:keepNext/>
      <w:keepLines/>
      <w:numPr>
        <w:ilvl w:val="3"/>
        <w:numId w:val="6"/>
      </w:numPr>
      <w:tabs>
        <w:tab w:val="clear" w:pos="1080"/>
        <w:tab w:val="left" w:pos="680"/>
      </w:tabs>
      <w:spacing w:before="240" w:after="140"/>
      <w:ind w:left="680" w:hanging="680"/>
      <w:outlineLvl w:val="3"/>
    </w:pPr>
    <w:rPr>
      <w:rFonts w:ascii="Arial" w:hAnsi="Arial"/>
      <w:b/>
      <w:color w:val="5F5F5F"/>
      <w:sz w:val="18"/>
    </w:rPr>
  </w:style>
  <w:style w:type="paragraph" w:customStyle="1" w:styleId="HHeading5">
    <w:name w:val="H_Heading 5"/>
    <w:next w:val="HStandard"/>
    <w:rsid w:val="007B459A"/>
    <w:pPr>
      <w:widowControl w:val="0"/>
      <w:spacing w:before="200" w:after="100"/>
      <w:outlineLvl w:val="4"/>
    </w:pPr>
    <w:rPr>
      <w:rFonts w:ascii="Arial" w:hAnsi="Arial"/>
      <w:b/>
      <w:color w:val="57825E"/>
    </w:rPr>
  </w:style>
  <w:style w:type="paragraph" w:customStyle="1" w:styleId="HHeading9">
    <w:name w:val="H_Heading 9"/>
    <w:basedOn w:val="HHeading1"/>
    <w:next w:val="HStandard"/>
    <w:rsid w:val="007B459A"/>
    <w:pPr>
      <w:numPr>
        <w:numId w:val="0"/>
      </w:numPr>
    </w:pPr>
    <w:rPr>
      <w:noProof/>
    </w:rPr>
  </w:style>
  <w:style w:type="character" w:styleId="Hyperlink">
    <w:name w:val="Hyperlink"/>
    <w:basedOn w:val="DefaultParagraphFont"/>
    <w:uiPriority w:val="99"/>
    <w:rsid w:val="00197CE4"/>
    <w:rPr>
      <w:rFonts w:ascii="Arial" w:hAnsi="Arial"/>
      <w:color w:val="F07E31" w:themeColor="background2"/>
      <w:u w:val="single"/>
    </w:rPr>
  </w:style>
  <w:style w:type="paragraph" w:customStyle="1" w:styleId="HStandard">
    <w:name w:val="H_Standard"/>
    <w:rsid w:val="00C241E9"/>
    <w:pPr>
      <w:spacing w:after="120" w:line="280" w:lineRule="atLeast"/>
      <w:jc w:val="both"/>
    </w:pPr>
    <w:rPr>
      <w:rFonts w:ascii="Arial" w:hAnsi="Arial"/>
      <w:color w:val="373737" w:themeColor="background1" w:themeShade="40"/>
    </w:rPr>
  </w:style>
  <w:style w:type="paragraph" w:styleId="DocumentMap">
    <w:name w:val="Document Map"/>
    <w:basedOn w:val="Normal"/>
    <w:link w:val="DocumentMapChar"/>
    <w:uiPriority w:val="99"/>
    <w:rsid w:val="00E465E1"/>
    <w:pPr>
      <w:shd w:val="clear" w:color="auto" w:fill="000080"/>
    </w:pPr>
    <w:rPr>
      <w:rFonts w:ascii="Tahoma" w:hAnsi="Tahoma" w:cs="Tahoma"/>
    </w:rPr>
  </w:style>
  <w:style w:type="paragraph" w:styleId="BalloonText">
    <w:name w:val="Balloon Text"/>
    <w:basedOn w:val="Normal"/>
    <w:link w:val="BalloonTextChar"/>
    <w:uiPriority w:val="99"/>
    <w:semiHidden/>
    <w:unhideWhenUsed/>
    <w:rsid w:val="0046410C"/>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410C"/>
    <w:rPr>
      <w:rFonts w:ascii="Tahoma" w:hAnsi="Tahoma" w:cs="Tahoma"/>
      <w:sz w:val="16"/>
      <w:szCs w:val="16"/>
      <w:lang w:val="it-IT"/>
    </w:rPr>
  </w:style>
  <w:style w:type="table" w:styleId="TableGrid">
    <w:name w:val="Table Grid"/>
    <w:basedOn w:val="TableNormal"/>
    <w:uiPriority w:val="39"/>
    <w:rsid w:val="00756E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Headingtables">
    <w:name w:val="H_Heading_tables"/>
    <w:next w:val="HStandard"/>
    <w:qFormat/>
    <w:rsid w:val="00C23C2C"/>
    <w:pPr>
      <w:numPr>
        <w:numId w:val="7"/>
      </w:numPr>
      <w:spacing w:before="200" w:after="140"/>
    </w:pPr>
    <w:rPr>
      <w:rFonts w:ascii="Arial" w:hAnsi="Arial"/>
      <w:b/>
      <w:color w:val="404040" w:themeColor="text2" w:themeTint="BF"/>
      <w:sz w:val="16"/>
    </w:rPr>
  </w:style>
  <w:style w:type="paragraph" w:customStyle="1" w:styleId="HHeadingfigures">
    <w:name w:val="H_Heading_figures"/>
    <w:basedOn w:val="HHeadingtables"/>
    <w:next w:val="HStandard"/>
    <w:qFormat/>
    <w:rsid w:val="001A1C0E"/>
    <w:pPr>
      <w:keepNext/>
      <w:numPr>
        <w:numId w:val="8"/>
      </w:numPr>
    </w:pPr>
    <w:rPr>
      <w:rFonts w:cs="Arial"/>
      <w:color w:val="373737" w:themeColor="background1" w:themeShade="40"/>
    </w:rPr>
  </w:style>
  <w:style w:type="paragraph" w:customStyle="1" w:styleId="HHeadingmaps">
    <w:name w:val="H_Heading_maps"/>
    <w:basedOn w:val="HHeadingtables"/>
    <w:next w:val="HStandard"/>
    <w:qFormat/>
    <w:rsid w:val="00C23C2C"/>
    <w:pPr>
      <w:keepNext/>
      <w:keepLines/>
      <w:numPr>
        <w:numId w:val="9"/>
      </w:numPr>
      <w:outlineLvl w:val="5"/>
    </w:pPr>
    <w:rPr>
      <w:color w:val="262626" w:themeColor="text2" w:themeTint="D9"/>
    </w:rPr>
  </w:style>
  <w:style w:type="paragraph" w:customStyle="1" w:styleId="HHeadingboxes">
    <w:name w:val="H_Heading_boxes"/>
    <w:basedOn w:val="HHeadingtables"/>
    <w:next w:val="HStandard"/>
    <w:qFormat/>
    <w:rsid w:val="007B459A"/>
    <w:pPr>
      <w:numPr>
        <w:numId w:val="10"/>
      </w:numPr>
    </w:pPr>
    <w:rPr>
      <w:color w:val="6E6E6E" w:themeColor="background1" w:themeShade="80"/>
    </w:rPr>
  </w:style>
  <w:style w:type="paragraph" w:customStyle="1" w:styleId="HBox">
    <w:name w:val="H_Box"/>
    <w:next w:val="HStandard"/>
    <w:qFormat/>
    <w:rsid w:val="00C241E9"/>
    <w:pPr>
      <w:pBdr>
        <w:top w:val="single" w:sz="4" w:space="4" w:color="F07E31" w:themeColor="background2"/>
        <w:left w:val="single" w:sz="4" w:space="4" w:color="F07E31" w:themeColor="background2"/>
        <w:bottom w:val="single" w:sz="4" w:space="4" w:color="F07E31" w:themeColor="background2"/>
        <w:right w:val="single" w:sz="4" w:space="4" w:color="F07E31" w:themeColor="background2"/>
      </w:pBdr>
      <w:shd w:val="clear" w:color="auto" w:fill="FCE5D5" w:themeFill="background2" w:themeFillTint="33"/>
      <w:spacing w:after="120" w:line="280" w:lineRule="atLeast"/>
      <w:jc w:val="both"/>
    </w:pPr>
    <w:rPr>
      <w:rFonts w:ascii="Arial" w:hAnsi="Arial"/>
      <w:color w:val="373737" w:themeColor="background1" w:themeShade="40"/>
    </w:rPr>
  </w:style>
  <w:style w:type="paragraph" w:customStyle="1" w:styleId="HBoxbullet">
    <w:name w:val="H_Box_bullet"/>
    <w:next w:val="HStandard"/>
    <w:qFormat/>
    <w:rsid w:val="007B459A"/>
    <w:pPr>
      <w:numPr>
        <w:numId w:val="11"/>
      </w:numPr>
      <w:pBdr>
        <w:top w:val="single" w:sz="4" w:space="4" w:color="auto"/>
        <w:left w:val="single" w:sz="4" w:space="8" w:color="auto"/>
        <w:bottom w:val="single" w:sz="4" w:space="4" w:color="auto"/>
        <w:right w:val="single" w:sz="4" w:space="4" w:color="auto"/>
      </w:pBdr>
      <w:shd w:val="pct10" w:color="auto" w:fill="auto"/>
      <w:ind w:left="364" w:hanging="284"/>
      <w:jc w:val="both"/>
    </w:pPr>
    <w:rPr>
      <w:rFonts w:ascii="Arial" w:hAnsi="Arial"/>
    </w:rPr>
  </w:style>
  <w:style w:type="paragraph" w:customStyle="1" w:styleId="Hdisclaimer">
    <w:name w:val="H_disclaimer"/>
    <w:qFormat/>
    <w:rsid w:val="007B459A"/>
    <w:pPr>
      <w:spacing w:after="120" w:line="280" w:lineRule="atLeast"/>
      <w:jc w:val="both"/>
    </w:pPr>
    <w:rPr>
      <w:rFonts w:ascii="Arial" w:hAnsi="Arial" w:cs="Arial"/>
      <w:color w:val="6F6F6F"/>
      <w:sz w:val="18"/>
      <w:szCs w:val="18"/>
    </w:rPr>
  </w:style>
  <w:style w:type="paragraph" w:styleId="EndnoteText">
    <w:name w:val="endnote text"/>
    <w:basedOn w:val="Normal"/>
    <w:link w:val="EndnoteTextChar"/>
    <w:unhideWhenUsed/>
    <w:rsid w:val="00F15219"/>
    <w:pPr>
      <w:spacing w:before="0" w:after="0" w:line="240" w:lineRule="auto"/>
    </w:pPr>
    <w:rPr>
      <w:sz w:val="20"/>
      <w:szCs w:val="20"/>
    </w:rPr>
  </w:style>
  <w:style w:type="character" w:customStyle="1" w:styleId="EndnoteTextChar">
    <w:name w:val="Endnote Text Char"/>
    <w:basedOn w:val="DefaultParagraphFont"/>
    <w:link w:val="EndnoteText"/>
    <w:rsid w:val="00F15219"/>
    <w:rPr>
      <w:rFonts w:ascii="Arial" w:hAnsi="Arial"/>
      <w:lang w:val="it-IT"/>
    </w:rPr>
  </w:style>
  <w:style w:type="character" w:styleId="EndnoteReference">
    <w:name w:val="endnote reference"/>
    <w:basedOn w:val="DefaultParagraphFont"/>
    <w:unhideWhenUsed/>
    <w:rsid w:val="00F15219"/>
    <w:rPr>
      <w:vertAlign w:val="superscript"/>
    </w:rPr>
  </w:style>
  <w:style w:type="character" w:styleId="CommentReference">
    <w:name w:val="annotation reference"/>
    <w:basedOn w:val="DefaultParagraphFont"/>
    <w:uiPriority w:val="99"/>
    <w:unhideWhenUsed/>
    <w:rsid w:val="007B459A"/>
    <w:rPr>
      <w:rFonts w:ascii="Arial" w:hAnsi="Arial"/>
      <w:sz w:val="16"/>
      <w:szCs w:val="16"/>
    </w:rPr>
  </w:style>
  <w:style w:type="paragraph" w:styleId="CommentText">
    <w:name w:val="annotation text"/>
    <w:basedOn w:val="Normal"/>
    <w:link w:val="CommentTextChar"/>
    <w:uiPriority w:val="99"/>
    <w:unhideWhenUsed/>
    <w:rsid w:val="006C1066"/>
    <w:pPr>
      <w:spacing w:line="240" w:lineRule="auto"/>
    </w:pPr>
    <w:rPr>
      <w:sz w:val="20"/>
      <w:szCs w:val="20"/>
    </w:rPr>
  </w:style>
  <w:style w:type="character" w:customStyle="1" w:styleId="CommentTextChar">
    <w:name w:val="Comment Text Char"/>
    <w:basedOn w:val="DefaultParagraphFont"/>
    <w:link w:val="CommentText"/>
    <w:uiPriority w:val="99"/>
    <w:rsid w:val="006C1066"/>
    <w:rPr>
      <w:rFonts w:ascii="Arial" w:hAnsi="Arial"/>
      <w:lang w:val="it-IT"/>
    </w:rPr>
  </w:style>
  <w:style w:type="paragraph" w:styleId="CommentSubject">
    <w:name w:val="annotation subject"/>
    <w:basedOn w:val="CommentText"/>
    <w:next w:val="CommentText"/>
    <w:link w:val="CommentSubjectChar"/>
    <w:uiPriority w:val="99"/>
    <w:semiHidden/>
    <w:unhideWhenUsed/>
    <w:rsid w:val="006C1066"/>
    <w:rPr>
      <w:b/>
      <w:bCs/>
    </w:rPr>
  </w:style>
  <w:style w:type="character" w:customStyle="1" w:styleId="CommentSubjectChar">
    <w:name w:val="Comment Subject Char"/>
    <w:basedOn w:val="CommentTextChar"/>
    <w:link w:val="CommentSubject"/>
    <w:uiPriority w:val="99"/>
    <w:semiHidden/>
    <w:rsid w:val="006C1066"/>
    <w:rPr>
      <w:rFonts w:ascii="Arial" w:hAnsi="Arial"/>
      <w:b/>
      <w:bCs/>
      <w:lang w:val="it-IT"/>
    </w:rPr>
  </w:style>
  <w:style w:type="table" w:customStyle="1" w:styleId="TableGrid2">
    <w:name w:val="Table Grid2"/>
    <w:basedOn w:val="TableNormal"/>
    <w:next w:val="TableGrid"/>
    <w:uiPriority w:val="39"/>
    <w:rsid w:val="003C270C"/>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7663DC"/>
    <w:rPr>
      <w:rFonts w:ascii="Arial" w:hAnsi="Arial"/>
      <w:sz w:val="18"/>
      <w:szCs w:val="24"/>
    </w:rPr>
  </w:style>
  <w:style w:type="character" w:customStyle="1" w:styleId="FootnoteTextChar2">
    <w:name w:val="Footnote Text Char2"/>
    <w:aliases w:val="Fußnote Char1,Geneva 9 Char1,Font: Geneva 9 Char1,Boston 10 Char1,f Char1,ft Char1,Footnote Text Char Char Char Char Char Char Char Char Char Char Char1,Footnote Text Char Char Char1,Footnote Text2 Char1"/>
    <w:link w:val="FootnoteText"/>
    <w:uiPriority w:val="99"/>
    <w:locked/>
    <w:rsid w:val="009540FB"/>
    <w:rPr>
      <w:rFonts w:ascii="Arial" w:hAnsi="Arial"/>
      <w:color w:val="808080"/>
      <w:sz w:val="16"/>
      <w:lang w:val="it-IT"/>
    </w:rPr>
  </w:style>
  <w:style w:type="table" w:customStyle="1" w:styleId="Mriekatabuky2">
    <w:name w:val="Mriežka tabuľky2"/>
    <w:basedOn w:val="TableNormal"/>
    <w:next w:val="TableGrid"/>
    <w:uiPriority w:val="39"/>
    <w:rsid w:val="00054B2D"/>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Πλέγμα πίνακα3"/>
    <w:basedOn w:val="TableNormal"/>
    <w:next w:val="TableGrid"/>
    <w:uiPriority w:val="59"/>
    <w:rsid w:val="005B09B8"/>
    <w:rPr>
      <w:rFonts w:ascii="Calibri" w:hAnsi="Calibri"/>
      <w:sz w:val="24"/>
      <w:szCs w:val="24"/>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table" w:customStyle="1" w:styleId="Mriekatabuky1">
    <w:name w:val="Mriežka tabuľky1"/>
    <w:basedOn w:val="TableNormal"/>
    <w:next w:val="TableGrid"/>
    <w:uiPriority w:val="59"/>
    <w:rsid w:val="00596660"/>
    <w:rPr>
      <w:rFonts w:ascii="Calibri" w:hAnsi="Calibri"/>
      <w:sz w:val="24"/>
      <w:szCs w:val="24"/>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character" w:styleId="FollowedHyperlink">
    <w:name w:val="FollowedHyperlink"/>
    <w:basedOn w:val="DefaultParagraphFont"/>
    <w:uiPriority w:val="99"/>
    <w:semiHidden/>
    <w:unhideWhenUsed/>
    <w:rsid w:val="00351604"/>
    <w:rPr>
      <w:color w:val="F07E31" w:themeColor="followedHyperlink"/>
      <w:u w:val="single"/>
    </w:rPr>
  </w:style>
  <w:style w:type="paragraph" w:customStyle="1" w:styleId="Chapter">
    <w:name w:val="Chapter"/>
    <w:basedOn w:val="Normal"/>
    <w:link w:val="ChapterChar"/>
    <w:uiPriority w:val="99"/>
    <w:rsid w:val="002B2ED6"/>
    <w:pPr>
      <w:pBdr>
        <w:bottom w:val="single" w:sz="36" w:space="4" w:color="auto"/>
      </w:pBdr>
      <w:spacing w:before="0" w:after="440" w:line="320" w:lineRule="exact"/>
      <w:jc w:val="left"/>
      <w:outlineLvl w:val="0"/>
    </w:pPr>
    <w:rPr>
      <w:rFonts w:ascii="Helvetica" w:hAnsi="Helvetica"/>
      <w:sz w:val="28"/>
      <w:szCs w:val="20"/>
    </w:rPr>
  </w:style>
  <w:style w:type="character" w:customStyle="1" w:styleId="ChapterChar">
    <w:name w:val="Chapter Char"/>
    <w:link w:val="Chapter"/>
    <w:uiPriority w:val="99"/>
    <w:locked/>
    <w:rsid w:val="002B2ED6"/>
    <w:rPr>
      <w:rFonts w:ascii="Helvetica" w:hAnsi="Helvetica"/>
      <w:sz w:val="28"/>
      <w:lang w:val="it-IT"/>
    </w:rPr>
  </w:style>
  <w:style w:type="character" w:customStyle="1" w:styleId="Heading1Char">
    <w:name w:val="Heading 1 Char"/>
    <w:link w:val="Heading1"/>
    <w:uiPriority w:val="9"/>
    <w:locked/>
    <w:rsid w:val="002B2ED6"/>
    <w:rPr>
      <w:rFonts w:ascii="Arial" w:hAnsi="Arial" w:cs="Arial"/>
      <w:b/>
      <w:bCs/>
      <w:kern w:val="32"/>
      <w:sz w:val="24"/>
      <w:szCs w:val="32"/>
      <w:lang w:val="it-IT"/>
    </w:rPr>
  </w:style>
  <w:style w:type="character" w:customStyle="1" w:styleId="Heading2Char">
    <w:name w:val="Heading 2 Char"/>
    <w:aliases w:val="Titre B Char,no vale Char,Heading 2 Char1 Char,Heading 2 Char Char Char"/>
    <w:link w:val="Heading2"/>
    <w:uiPriority w:val="9"/>
    <w:locked/>
    <w:rsid w:val="002B2ED6"/>
    <w:rPr>
      <w:rFonts w:ascii="Arial" w:hAnsi="Arial" w:cs="Arial"/>
      <w:b/>
      <w:bCs/>
      <w:iCs/>
      <w:sz w:val="22"/>
      <w:szCs w:val="28"/>
      <w:lang w:val="it-IT"/>
    </w:rPr>
  </w:style>
  <w:style w:type="character" w:customStyle="1" w:styleId="Heading3Char">
    <w:name w:val="Heading 3 Char"/>
    <w:aliases w:val="H3 Char,no vale1 Char,no vale1 Car Char"/>
    <w:link w:val="Heading3"/>
    <w:locked/>
    <w:rsid w:val="002B2ED6"/>
    <w:rPr>
      <w:rFonts w:ascii="Arial" w:hAnsi="Arial" w:cs="Arial"/>
      <w:b/>
      <w:bCs/>
      <w:color w:val="5F5F5F"/>
      <w:szCs w:val="26"/>
      <w:lang w:val="it-IT"/>
    </w:rPr>
  </w:style>
  <w:style w:type="character" w:customStyle="1" w:styleId="Heading4Char">
    <w:name w:val="Heading 4 Char"/>
    <w:aliases w:val="Heading 4 Char1 Char,Título 4 Car Char,Heading 4 Char1 Car Char,no vale 2 Char,no vale 2 Car Char"/>
    <w:uiPriority w:val="99"/>
    <w:rsid w:val="002B2ED6"/>
    <w:rPr>
      <w:rFonts w:ascii="Arial Black" w:hAnsi="Arial Black"/>
      <w:i/>
      <w:snapToGrid w:val="0"/>
      <w:sz w:val="28"/>
      <w:lang w:val="it-IT" w:eastAsia="it-IT"/>
    </w:rPr>
  </w:style>
  <w:style w:type="character" w:customStyle="1" w:styleId="Heading5Char">
    <w:name w:val="Heading 5 Char"/>
    <w:link w:val="Heading5"/>
    <w:uiPriority w:val="99"/>
    <w:locked/>
    <w:rsid w:val="002B2ED6"/>
    <w:rPr>
      <w:rFonts w:ascii="Arial" w:hAnsi="Arial"/>
      <w:b/>
      <w:bCs/>
      <w:iCs/>
      <w:color w:val="5F5F5F"/>
      <w:sz w:val="18"/>
      <w:szCs w:val="26"/>
    </w:rPr>
  </w:style>
  <w:style w:type="character" w:customStyle="1" w:styleId="Heading6Char">
    <w:name w:val="Heading 6 Char"/>
    <w:link w:val="Heading6"/>
    <w:uiPriority w:val="99"/>
    <w:locked/>
    <w:rsid w:val="002B2ED6"/>
    <w:rPr>
      <w:rFonts w:ascii="Arial" w:hAnsi="Arial"/>
      <w:b/>
      <w:bCs/>
      <w:color w:val="808080"/>
      <w:sz w:val="16"/>
      <w:szCs w:val="22"/>
      <w:lang w:val="it-IT"/>
    </w:rPr>
  </w:style>
  <w:style w:type="character" w:customStyle="1" w:styleId="Heading7Char">
    <w:name w:val="Heading 7 Char"/>
    <w:link w:val="Heading7"/>
    <w:locked/>
    <w:rsid w:val="002B2ED6"/>
    <w:rPr>
      <w:rFonts w:ascii="Arial" w:hAnsi="Arial"/>
      <w:b/>
      <w:color w:val="808080"/>
      <w:sz w:val="16"/>
      <w:szCs w:val="24"/>
      <w:lang w:val="it-IT"/>
    </w:rPr>
  </w:style>
  <w:style w:type="character" w:customStyle="1" w:styleId="Heading8Char">
    <w:name w:val="Heading 8 Char"/>
    <w:link w:val="Heading8"/>
    <w:locked/>
    <w:rsid w:val="002B2ED6"/>
    <w:rPr>
      <w:rFonts w:ascii="Arial" w:hAnsi="Arial"/>
      <w:b/>
      <w:iCs/>
      <w:color w:val="808080"/>
      <w:sz w:val="16"/>
      <w:szCs w:val="24"/>
      <w:lang w:val="it-IT"/>
    </w:rPr>
  </w:style>
  <w:style w:type="character" w:customStyle="1" w:styleId="Heading9Char">
    <w:name w:val="Heading 9 Char"/>
    <w:link w:val="Heading9"/>
    <w:locked/>
    <w:rsid w:val="002B2ED6"/>
    <w:rPr>
      <w:rFonts w:ascii="Arial" w:hAnsi="Arial" w:cs="Arial"/>
      <w:b/>
      <w:bCs/>
      <w:kern w:val="32"/>
      <w:sz w:val="24"/>
      <w:szCs w:val="22"/>
      <w:lang w:val="it-IT"/>
    </w:rPr>
  </w:style>
  <w:style w:type="paragraph" w:styleId="Caption">
    <w:name w:val="caption"/>
    <w:aliases w:val="Table"/>
    <w:basedOn w:val="Normal"/>
    <w:next w:val="Normal"/>
    <w:link w:val="CaptionChar"/>
    <w:uiPriority w:val="35"/>
    <w:qFormat/>
    <w:rsid w:val="002B2ED6"/>
    <w:pPr>
      <w:keepNext/>
      <w:keepLines/>
      <w:numPr>
        <w:numId w:val="17"/>
      </w:numPr>
      <w:spacing w:before="0" w:after="120" w:line="240" w:lineRule="auto"/>
      <w:ind w:left="0" w:firstLine="0"/>
      <w:jc w:val="left"/>
    </w:pPr>
    <w:rPr>
      <w:rFonts w:ascii="Helvetica" w:hAnsi="Helvetica"/>
      <w:b/>
      <w:bCs/>
      <w:color w:val="6F6F6F"/>
      <w:sz w:val="16"/>
      <w:szCs w:val="20"/>
    </w:rPr>
  </w:style>
  <w:style w:type="paragraph" w:styleId="Title">
    <w:name w:val="Title"/>
    <w:basedOn w:val="Normal"/>
    <w:link w:val="TitleChar"/>
    <w:uiPriority w:val="10"/>
    <w:qFormat/>
    <w:rsid w:val="002B2ED6"/>
    <w:pPr>
      <w:spacing w:before="240" w:after="60" w:line="240" w:lineRule="auto"/>
      <w:jc w:val="left"/>
      <w:outlineLvl w:val="4"/>
    </w:pPr>
    <w:rPr>
      <w:rFonts w:ascii="Helvetica" w:hAnsi="Helvetica"/>
      <w:b/>
      <w:i/>
      <w:snapToGrid w:val="0"/>
      <w:color w:val="DF6532"/>
      <w:kern w:val="28"/>
      <w:sz w:val="32"/>
      <w:szCs w:val="20"/>
    </w:rPr>
  </w:style>
  <w:style w:type="character" w:customStyle="1" w:styleId="TitleChar">
    <w:name w:val="Title Char"/>
    <w:basedOn w:val="DefaultParagraphFont"/>
    <w:link w:val="Title"/>
    <w:uiPriority w:val="10"/>
    <w:rsid w:val="002B2ED6"/>
    <w:rPr>
      <w:rFonts w:ascii="Helvetica" w:hAnsi="Helvetica"/>
      <w:b/>
      <w:i/>
      <w:snapToGrid w:val="0"/>
      <w:color w:val="DF6532"/>
      <w:kern w:val="28"/>
      <w:sz w:val="32"/>
      <w:lang w:val="it-IT"/>
    </w:rPr>
  </w:style>
  <w:style w:type="paragraph" w:styleId="Subtitle">
    <w:name w:val="Subtitle"/>
    <w:basedOn w:val="Normal"/>
    <w:link w:val="SubtitleChar"/>
    <w:uiPriority w:val="99"/>
    <w:qFormat/>
    <w:rsid w:val="002B2ED6"/>
    <w:pPr>
      <w:numPr>
        <w:numId w:val="18"/>
      </w:numPr>
      <w:spacing w:after="60" w:line="240" w:lineRule="auto"/>
      <w:ind w:left="4897"/>
      <w:jc w:val="left"/>
      <w:outlineLvl w:val="1"/>
    </w:pPr>
    <w:rPr>
      <w:rFonts w:ascii="Helvetica" w:hAnsi="Helvetica"/>
      <w:b/>
      <w:snapToGrid w:val="0"/>
      <w:color w:val="9B3930"/>
      <w:sz w:val="16"/>
      <w:szCs w:val="16"/>
    </w:rPr>
  </w:style>
  <w:style w:type="character" w:customStyle="1" w:styleId="SubtitleChar">
    <w:name w:val="Subtitle Char"/>
    <w:basedOn w:val="DefaultParagraphFont"/>
    <w:link w:val="Subtitle"/>
    <w:uiPriority w:val="99"/>
    <w:rsid w:val="002B2ED6"/>
    <w:rPr>
      <w:rFonts w:ascii="Helvetica" w:hAnsi="Helvetica"/>
      <w:b/>
      <w:snapToGrid w:val="0"/>
      <w:color w:val="9B3930"/>
      <w:sz w:val="16"/>
      <w:szCs w:val="16"/>
      <w:lang w:val="it-IT"/>
    </w:rPr>
  </w:style>
  <w:style w:type="character" w:styleId="Strong">
    <w:name w:val="Strong"/>
    <w:aliases w:val="Body Text 2 Char"/>
    <w:uiPriority w:val="22"/>
    <w:qFormat/>
    <w:rsid w:val="002B2ED6"/>
    <w:rPr>
      <w:rFonts w:ascii="Arial" w:hAnsi="Arial"/>
      <w:b/>
      <w:sz w:val="16"/>
    </w:rPr>
  </w:style>
  <w:style w:type="character" w:styleId="Emphasis">
    <w:name w:val="Emphasis"/>
    <w:uiPriority w:val="20"/>
    <w:qFormat/>
    <w:rsid w:val="002B2ED6"/>
    <w:rPr>
      <w:i/>
    </w:rPr>
  </w:style>
  <w:style w:type="paragraph" w:customStyle="1" w:styleId="ListParagraph2">
    <w:name w:val="List Paragraph2"/>
    <w:basedOn w:val="Normal"/>
    <w:rsid w:val="002B2ED6"/>
    <w:pPr>
      <w:tabs>
        <w:tab w:val="left" w:pos="709"/>
      </w:tabs>
      <w:spacing w:before="0" w:after="120" w:line="280" w:lineRule="atLeast"/>
      <w:ind w:left="709" w:hanging="709"/>
      <w:jc w:val="left"/>
      <w:outlineLvl w:val="1"/>
    </w:pPr>
    <w:rPr>
      <w:rFonts w:ascii="Helvetica" w:hAnsi="Helvetica"/>
      <w:sz w:val="32"/>
    </w:rPr>
  </w:style>
  <w:style w:type="paragraph" w:customStyle="1" w:styleId="TOCHeading1">
    <w:name w:val="TOC Heading1"/>
    <w:basedOn w:val="Heading1"/>
    <w:next w:val="Normal"/>
    <w:uiPriority w:val="99"/>
    <w:rsid w:val="002B2ED6"/>
    <w:pPr>
      <w:pageBreakBefore/>
      <w:framePr w:hSpace="0" w:vSpace="0" w:wrap="auto" w:vAnchor="margin" w:hAnchor="text" w:yAlign="inline"/>
      <w:numPr>
        <w:numId w:val="0"/>
      </w:numPr>
      <w:pBdr>
        <w:left w:val="none" w:sz="0" w:space="0" w:color="auto"/>
      </w:pBdr>
      <w:tabs>
        <w:tab w:val="clear" w:pos="227"/>
      </w:tabs>
      <w:suppressAutoHyphens w:val="0"/>
      <w:spacing w:before="480" w:after="0" w:line="276" w:lineRule="auto"/>
      <w:outlineLvl w:val="9"/>
    </w:pPr>
    <w:rPr>
      <w:rFonts w:ascii="Helvetica Light" w:hAnsi="Helvetica Light" w:cs="Times New Roman"/>
      <w:b w:val="0"/>
      <w:i/>
      <w:caps/>
      <w:color w:val="E98E38"/>
      <w:kern w:val="0"/>
      <w:sz w:val="60"/>
      <w:szCs w:val="28"/>
    </w:rPr>
  </w:style>
  <w:style w:type="paragraph" w:customStyle="1" w:styleId="Normal1">
    <w:name w:val="Normal1"/>
    <w:next w:val="Normal"/>
    <w:rsid w:val="002B2ED6"/>
    <w:pPr>
      <w:numPr>
        <w:numId w:val="20"/>
      </w:numPr>
      <w:spacing w:after="120" w:line="280" w:lineRule="atLeast"/>
      <w:jc w:val="both"/>
    </w:pPr>
    <w:rPr>
      <w:rFonts w:ascii="Arial" w:hAnsi="Arial"/>
      <w:szCs w:val="22"/>
    </w:rPr>
  </w:style>
  <w:style w:type="paragraph" w:styleId="TOC4">
    <w:name w:val="toc 4"/>
    <w:basedOn w:val="Normal"/>
    <w:next w:val="Normal"/>
    <w:autoRedefine/>
    <w:uiPriority w:val="39"/>
    <w:rsid w:val="002B2ED6"/>
    <w:pPr>
      <w:spacing w:before="0" w:after="0" w:line="280" w:lineRule="atLeast"/>
      <w:ind w:left="400"/>
      <w:jc w:val="left"/>
    </w:pPr>
    <w:rPr>
      <w:rFonts w:asciiTheme="minorHAnsi" w:hAnsiTheme="minorHAnsi"/>
      <w:sz w:val="32"/>
      <w:szCs w:val="20"/>
    </w:rPr>
  </w:style>
  <w:style w:type="paragraph" w:styleId="TOC5">
    <w:name w:val="toc 5"/>
    <w:basedOn w:val="Normal"/>
    <w:next w:val="Normal"/>
    <w:autoRedefine/>
    <w:uiPriority w:val="39"/>
    <w:rsid w:val="002B2ED6"/>
    <w:pPr>
      <w:spacing w:before="0" w:after="0" w:line="280" w:lineRule="atLeast"/>
      <w:ind w:left="600"/>
      <w:jc w:val="left"/>
    </w:pPr>
    <w:rPr>
      <w:rFonts w:asciiTheme="minorHAnsi" w:hAnsiTheme="minorHAnsi"/>
      <w:sz w:val="32"/>
      <w:szCs w:val="20"/>
    </w:rPr>
  </w:style>
  <w:style w:type="paragraph" w:styleId="TOC6">
    <w:name w:val="toc 6"/>
    <w:basedOn w:val="Normal"/>
    <w:next w:val="Normal"/>
    <w:autoRedefine/>
    <w:uiPriority w:val="39"/>
    <w:rsid w:val="002B2ED6"/>
    <w:pPr>
      <w:spacing w:before="0" w:after="0" w:line="280" w:lineRule="atLeast"/>
      <w:ind w:left="800"/>
      <w:jc w:val="left"/>
    </w:pPr>
    <w:rPr>
      <w:rFonts w:asciiTheme="minorHAnsi" w:hAnsiTheme="minorHAnsi"/>
      <w:sz w:val="32"/>
      <w:szCs w:val="20"/>
    </w:rPr>
  </w:style>
  <w:style w:type="paragraph" w:styleId="TOC7">
    <w:name w:val="toc 7"/>
    <w:basedOn w:val="Normal"/>
    <w:next w:val="Normal"/>
    <w:autoRedefine/>
    <w:uiPriority w:val="39"/>
    <w:rsid w:val="002B2ED6"/>
    <w:pPr>
      <w:spacing w:before="0" w:after="0" w:line="280" w:lineRule="atLeast"/>
      <w:ind w:left="1000"/>
      <w:jc w:val="left"/>
    </w:pPr>
    <w:rPr>
      <w:rFonts w:asciiTheme="minorHAnsi" w:hAnsiTheme="minorHAnsi"/>
      <w:sz w:val="32"/>
      <w:szCs w:val="20"/>
    </w:rPr>
  </w:style>
  <w:style w:type="paragraph" w:styleId="TOC8">
    <w:name w:val="toc 8"/>
    <w:basedOn w:val="Normal"/>
    <w:next w:val="Normal"/>
    <w:autoRedefine/>
    <w:uiPriority w:val="39"/>
    <w:rsid w:val="002B2ED6"/>
    <w:pPr>
      <w:spacing w:before="0" w:after="0" w:line="280" w:lineRule="atLeast"/>
      <w:ind w:left="1200"/>
      <w:jc w:val="left"/>
    </w:pPr>
    <w:rPr>
      <w:rFonts w:asciiTheme="minorHAnsi" w:hAnsiTheme="minorHAnsi"/>
      <w:sz w:val="32"/>
      <w:szCs w:val="20"/>
    </w:rPr>
  </w:style>
  <w:style w:type="paragraph" w:styleId="TOC9">
    <w:name w:val="toc 9"/>
    <w:basedOn w:val="Normal"/>
    <w:next w:val="Normal"/>
    <w:autoRedefine/>
    <w:uiPriority w:val="39"/>
    <w:rsid w:val="002B2ED6"/>
    <w:pPr>
      <w:spacing w:before="0" w:after="0" w:line="280" w:lineRule="atLeast"/>
      <w:ind w:left="1400"/>
      <w:jc w:val="left"/>
    </w:pPr>
    <w:rPr>
      <w:rFonts w:asciiTheme="minorHAnsi" w:hAnsiTheme="minorHAnsi"/>
      <w:sz w:val="32"/>
      <w:szCs w:val="20"/>
    </w:rPr>
  </w:style>
  <w:style w:type="paragraph" w:styleId="NormalWeb">
    <w:name w:val="Normal (Web)"/>
    <w:basedOn w:val="Normal"/>
    <w:uiPriority w:val="99"/>
    <w:rsid w:val="002B2ED6"/>
    <w:pPr>
      <w:spacing w:before="100" w:beforeAutospacing="1" w:after="100" w:afterAutospacing="1" w:line="240" w:lineRule="auto"/>
      <w:jc w:val="left"/>
    </w:pPr>
    <w:rPr>
      <w:rFonts w:ascii="Times New Roman" w:hAnsi="Times New Roman"/>
      <w:sz w:val="24"/>
    </w:rPr>
  </w:style>
  <w:style w:type="paragraph" w:customStyle="1" w:styleId="ListParagraph1">
    <w:name w:val="List Paragraph1"/>
    <w:basedOn w:val="Normal"/>
    <w:uiPriority w:val="99"/>
    <w:rsid w:val="002B2ED6"/>
    <w:pPr>
      <w:spacing w:before="0" w:after="120" w:line="480" w:lineRule="auto"/>
      <w:ind w:left="720" w:firstLine="360"/>
      <w:contextualSpacing/>
      <w:jc w:val="left"/>
    </w:pPr>
    <w:rPr>
      <w:rFonts w:ascii="Calibri" w:hAnsi="Calibri"/>
      <w:sz w:val="22"/>
      <w:szCs w:val="22"/>
    </w:rPr>
  </w:style>
  <w:style w:type="character" w:customStyle="1" w:styleId="CaptionChar">
    <w:name w:val="Caption Char"/>
    <w:aliases w:val="Table Char"/>
    <w:link w:val="Caption"/>
    <w:uiPriority w:val="35"/>
    <w:locked/>
    <w:rsid w:val="002B2ED6"/>
    <w:rPr>
      <w:rFonts w:ascii="Helvetica" w:hAnsi="Helvetica"/>
      <w:b/>
      <w:bCs/>
      <w:color w:val="6F6F6F"/>
      <w:sz w:val="16"/>
      <w:lang w:val="it-IT"/>
    </w:rPr>
  </w:style>
  <w:style w:type="character" w:customStyle="1" w:styleId="hps">
    <w:name w:val="hps"/>
    <w:uiPriority w:val="99"/>
    <w:rsid w:val="002B2ED6"/>
    <w:rPr>
      <w:rFonts w:cs="Times New Roman"/>
    </w:rPr>
  </w:style>
  <w:style w:type="character" w:customStyle="1" w:styleId="IntenseEmphasis1">
    <w:name w:val="Intense Emphasis1"/>
    <w:rsid w:val="002B2ED6"/>
    <w:rPr>
      <w:rFonts w:ascii="Helvetica" w:hAnsi="Helvetica" w:cs="Times New Roman"/>
      <w:b/>
      <w:bCs/>
      <w:i/>
      <w:iCs/>
      <w:color w:val="6E8967"/>
      <w:sz w:val="24"/>
    </w:rPr>
  </w:style>
  <w:style w:type="character" w:customStyle="1" w:styleId="HeaderChar">
    <w:name w:val="Header Char"/>
    <w:link w:val="Header"/>
    <w:locked/>
    <w:rsid w:val="002B2ED6"/>
    <w:rPr>
      <w:rFonts w:ascii="Arial" w:hAnsi="Arial"/>
      <w:color w:val="F07E31"/>
      <w:sz w:val="18"/>
      <w:lang w:val="it-IT"/>
    </w:rPr>
  </w:style>
  <w:style w:type="character" w:customStyle="1" w:styleId="FooterChar">
    <w:name w:val="Footer Char"/>
    <w:link w:val="Footer"/>
    <w:uiPriority w:val="99"/>
    <w:locked/>
    <w:rsid w:val="002B2ED6"/>
    <w:rPr>
      <w:rFonts w:ascii="Arial" w:hAnsi="Arial"/>
      <w:color w:val="808080"/>
      <w:sz w:val="18"/>
      <w:lang w:val="it-IT"/>
    </w:rPr>
  </w:style>
  <w:style w:type="character" w:customStyle="1" w:styleId="Heading4Char2">
    <w:name w:val="Heading 4 Char2"/>
    <w:aliases w:val="Heading 4 Char1 Char1,Título 4 Car Char1,Heading 4 Char1 Car Char1,no vale 2 Char1,no vale 2 Car Char1"/>
    <w:link w:val="Heading4"/>
    <w:uiPriority w:val="99"/>
    <w:locked/>
    <w:rsid w:val="002B2ED6"/>
    <w:rPr>
      <w:rFonts w:ascii="Arial" w:hAnsi="Arial"/>
      <w:b/>
      <w:bCs/>
      <w:color w:val="5F5F5F"/>
      <w:sz w:val="18"/>
      <w:szCs w:val="28"/>
      <w:lang w:val="it-IT"/>
    </w:rPr>
  </w:style>
  <w:style w:type="paragraph" w:customStyle="1" w:styleId="text">
    <w:name w:val="text"/>
    <w:basedOn w:val="Normal"/>
    <w:uiPriority w:val="99"/>
    <w:rsid w:val="002B2ED6"/>
    <w:pPr>
      <w:spacing w:before="100" w:beforeAutospacing="1" w:after="30" w:line="240" w:lineRule="atLeast"/>
      <w:jc w:val="left"/>
    </w:pPr>
    <w:rPr>
      <w:rFonts w:ascii="Helvetica" w:hAnsi="Helvetica" w:cs="Arial"/>
      <w:color w:val="000000"/>
      <w:szCs w:val="18"/>
    </w:rPr>
  </w:style>
  <w:style w:type="character" w:styleId="HTMLCite">
    <w:name w:val="HTML Cite"/>
    <w:uiPriority w:val="99"/>
    <w:semiHidden/>
    <w:rsid w:val="002B2ED6"/>
    <w:rPr>
      <w:i/>
    </w:rPr>
  </w:style>
  <w:style w:type="paragraph" w:customStyle="1" w:styleId="Style">
    <w:name w:val="Style"/>
    <w:uiPriority w:val="99"/>
    <w:rsid w:val="002B2ED6"/>
    <w:rPr>
      <w:rFonts w:ascii="Calibri" w:hAnsi="Calibri"/>
      <w:sz w:val="24"/>
      <w:szCs w:val="24"/>
    </w:rPr>
  </w:style>
  <w:style w:type="table" w:customStyle="1" w:styleId="Tabellenraster11">
    <w:name w:val="Tabellenraster11"/>
    <w:uiPriority w:val="99"/>
    <w:rsid w:val="002B2ED6"/>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2B2ED6"/>
    <w:pPr>
      <w:autoSpaceDE w:val="0"/>
      <w:autoSpaceDN w:val="0"/>
      <w:adjustRightInd w:val="0"/>
    </w:pPr>
    <w:rPr>
      <w:color w:val="000000"/>
      <w:sz w:val="24"/>
      <w:szCs w:val="24"/>
    </w:rPr>
  </w:style>
  <w:style w:type="paragraph" w:customStyle="1" w:styleId="Pa10">
    <w:name w:val="Pa10"/>
    <w:basedOn w:val="Default"/>
    <w:next w:val="Default"/>
    <w:uiPriority w:val="99"/>
    <w:rsid w:val="002B2ED6"/>
    <w:pPr>
      <w:spacing w:line="241" w:lineRule="atLeast"/>
    </w:pPr>
    <w:rPr>
      <w:rFonts w:ascii="PF Square Sans Pro Light" w:hAnsi="PF Square Sans Pro Light"/>
      <w:color w:val="auto"/>
    </w:rPr>
  </w:style>
  <w:style w:type="paragraph" w:customStyle="1" w:styleId="Quote1">
    <w:name w:val="Quote1"/>
    <w:basedOn w:val="Normal"/>
    <w:next w:val="Normal"/>
    <w:link w:val="QuoteChar"/>
    <w:uiPriority w:val="99"/>
    <w:rsid w:val="002B2ED6"/>
    <w:pPr>
      <w:spacing w:before="0" w:after="120" w:line="280" w:lineRule="atLeast"/>
      <w:jc w:val="left"/>
    </w:pPr>
    <w:rPr>
      <w:rFonts w:ascii="Helvetica" w:hAnsi="Helvetica"/>
      <w:i/>
      <w:iCs/>
      <w:snapToGrid w:val="0"/>
      <w:color w:val="000000"/>
      <w:sz w:val="22"/>
      <w:szCs w:val="22"/>
    </w:rPr>
  </w:style>
  <w:style w:type="character" w:customStyle="1" w:styleId="QuoteChar">
    <w:name w:val="Quote Char"/>
    <w:link w:val="Quote1"/>
    <w:uiPriority w:val="99"/>
    <w:locked/>
    <w:rsid w:val="002B2ED6"/>
    <w:rPr>
      <w:rFonts w:ascii="Helvetica" w:hAnsi="Helvetica"/>
      <w:i/>
      <w:iCs/>
      <w:snapToGrid w:val="0"/>
      <w:color w:val="000000"/>
      <w:sz w:val="22"/>
      <w:szCs w:val="22"/>
      <w:lang w:val="it-IT"/>
    </w:rPr>
  </w:style>
  <w:style w:type="paragraph" w:styleId="ListBullet">
    <w:name w:val="List Bullet"/>
    <w:basedOn w:val="Normal"/>
    <w:uiPriority w:val="99"/>
    <w:rsid w:val="002B2ED6"/>
    <w:pPr>
      <w:numPr>
        <w:numId w:val="16"/>
      </w:numPr>
      <w:spacing w:before="0" w:after="120" w:line="240" w:lineRule="auto"/>
      <w:jc w:val="left"/>
    </w:pPr>
    <w:rPr>
      <w:rFonts w:ascii="Times New Roman" w:hAnsi="Times New Roman"/>
      <w:sz w:val="24"/>
      <w:szCs w:val="20"/>
    </w:rPr>
  </w:style>
  <w:style w:type="paragraph" w:customStyle="1" w:styleId="IntenseQuote1">
    <w:name w:val="Intense Quote1"/>
    <w:basedOn w:val="Normal"/>
    <w:next w:val="Normal"/>
    <w:link w:val="IntenseQuoteChar"/>
    <w:uiPriority w:val="99"/>
    <w:rsid w:val="002B2ED6"/>
    <w:pPr>
      <w:pBdr>
        <w:bottom w:val="single" w:sz="4" w:space="4" w:color="4F81BD"/>
      </w:pBdr>
      <w:spacing w:before="200" w:after="280" w:line="280" w:lineRule="atLeast"/>
      <w:ind w:left="936" w:right="936"/>
      <w:jc w:val="left"/>
    </w:pPr>
    <w:rPr>
      <w:rFonts w:ascii="Helvetica" w:hAnsi="Helvetica"/>
      <w:b/>
      <w:bCs/>
      <w:i/>
      <w:iCs/>
      <w:snapToGrid w:val="0"/>
      <w:color w:val="4F81BD"/>
      <w:sz w:val="22"/>
      <w:szCs w:val="22"/>
    </w:rPr>
  </w:style>
  <w:style w:type="character" w:customStyle="1" w:styleId="IntenseQuoteChar">
    <w:name w:val="Intense Quote Char"/>
    <w:link w:val="IntenseQuote1"/>
    <w:uiPriority w:val="99"/>
    <w:locked/>
    <w:rsid w:val="002B2ED6"/>
    <w:rPr>
      <w:rFonts w:ascii="Helvetica" w:hAnsi="Helvetica"/>
      <w:b/>
      <w:bCs/>
      <w:i/>
      <w:iCs/>
      <w:snapToGrid w:val="0"/>
      <w:color w:val="4F81BD"/>
      <w:sz w:val="22"/>
      <w:szCs w:val="22"/>
      <w:lang w:val="it-IT"/>
    </w:rPr>
  </w:style>
  <w:style w:type="numbering" w:styleId="111111">
    <w:name w:val="Outline List 2"/>
    <w:basedOn w:val="NoList"/>
    <w:uiPriority w:val="99"/>
    <w:rsid w:val="002B2ED6"/>
    <w:pPr>
      <w:numPr>
        <w:numId w:val="15"/>
      </w:numPr>
    </w:pPr>
  </w:style>
  <w:style w:type="paragraph" w:customStyle="1" w:styleId="ListParagraph3">
    <w:name w:val="List Paragraph3"/>
    <w:basedOn w:val="Normal"/>
    <w:uiPriority w:val="99"/>
    <w:qFormat/>
    <w:rsid w:val="002B2ED6"/>
    <w:pPr>
      <w:tabs>
        <w:tab w:val="left" w:pos="709"/>
      </w:tabs>
      <w:spacing w:before="480" w:after="120" w:line="280" w:lineRule="atLeast"/>
      <w:ind w:left="709" w:hanging="709"/>
      <w:jc w:val="left"/>
      <w:outlineLvl w:val="1"/>
    </w:pPr>
    <w:rPr>
      <w:rFonts w:ascii="Helvetica" w:hAnsi="Helvetica"/>
      <w:snapToGrid w:val="0"/>
      <w:sz w:val="32"/>
    </w:rPr>
  </w:style>
  <w:style w:type="paragraph" w:styleId="BodyText2">
    <w:name w:val="Body Text 2"/>
    <w:basedOn w:val="Normal"/>
    <w:link w:val="BodyText2Char1"/>
    <w:uiPriority w:val="99"/>
    <w:rsid w:val="002B2ED6"/>
    <w:pPr>
      <w:spacing w:before="0" w:after="0" w:line="240" w:lineRule="auto"/>
      <w:jc w:val="left"/>
    </w:pPr>
    <w:rPr>
      <w:rFonts w:ascii="Times New Roman" w:hAnsi="Times New Roman"/>
      <w:sz w:val="24"/>
    </w:rPr>
  </w:style>
  <w:style w:type="character" w:customStyle="1" w:styleId="BodyText2Char1">
    <w:name w:val="Body Text 2 Char1"/>
    <w:basedOn w:val="DefaultParagraphFont"/>
    <w:link w:val="BodyText2"/>
    <w:uiPriority w:val="99"/>
    <w:rsid w:val="002B2ED6"/>
    <w:rPr>
      <w:sz w:val="24"/>
      <w:szCs w:val="24"/>
      <w:lang w:val="it-IT" w:eastAsia="it-IT"/>
    </w:rPr>
  </w:style>
  <w:style w:type="character" w:customStyle="1" w:styleId="IntenseEmphasis2">
    <w:name w:val="Intense Emphasis2"/>
    <w:uiPriority w:val="99"/>
    <w:qFormat/>
    <w:rsid w:val="002B2ED6"/>
    <w:rPr>
      <w:b/>
      <w:bCs/>
      <w:i/>
      <w:iCs/>
      <w:color w:val="4F81BD"/>
    </w:rPr>
  </w:style>
  <w:style w:type="paragraph" w:customStyle="1" w:styleId="Revision1">
    <w:name w:val="Revision1"/>
    <w:hidden/>
    <w:uiPriority w:val="99"/>
    <w:semiHidden/>
    <w:rsid w:val="002B2ED6"/>
    <w:rPr>
      <w:rFonts w:ascii="Arial" w:hAnsi="Arial"/>
      <w:szCs w:val="22"/>
    </w:rPr>
  </w:style>
  <w:style w:type="paragraph" w:customStyle="1" w:styleId="1">
    <w:name w:val="1"/>
    <w:basedOn w:val="Normal"/>
    <w:uiPriority w:val="99"/>
    <w:rsid w:val="002B2ED6"/>
    <w:pPr>
      <w:spacing w:before="0" w:after="120" w:line="280" w:lineRule="atLeast"/>
      <w:jc w:val="left"/>
    </w:pPr>
    <w:rPr>
      <w:rFonts w:ascii="Calibri" w:hAnsi="Calibri"/>
      <w:sz w:val="24"/>
    </w:rPr>
  </w:style>
  <w:style w:type="paragraph" w:customStyle="1" w:styleId="TOCHeading2">
    <w:name w:val="TOC Heading2"/>
    <w:basedOn w:val="Heading1"/>
    <w:next w:val="Normal"/>
    <w:uiPriority w:val="99"/>
    <w:semiHidden/>
    <w:unhideWhenUsed/>
    <w:qFormat/>
    <w:rsid w:val="002B2ED6"/>
    <w:pPr>
      <w:keepLines/>
      <w:framePr w:hSpace="0" w:vSpace="0" w:wrap="auto" w:vAnchor="margin" w:hAnchor="text" w:yAlign="inline"/>
      <w:numPr>
        <w:numId w:val="0"/>
      </w:numPr>
      <w:pBdr>
        <w:left w:val="none" w:sz="0" w:space="0" w:color="auto"/>
      </w:pBdr>
      <w:tabs>
        <w:tab w:val="clear" w:pos="227"/>
      </w:tabs>
      <w:suppressAutoHyphens w:val="0"/>
      <w:spacing w:before="480" w:after="0" w:line="276" w:lineRule="auto"/>
      <w:outlineLvl w:val="9"/>
    </w:pPr>
    <w:rPr>
      <w:rFonts w:ascii="Cambria" w:hAnsi="Cambria" w:cs="Times New Roman"/>
      <w:color w:val="365F91"/>
      <w:kern w:val="0"/>
      <w:sz w:val="28"/>
      <w:szCs w:val="28"/>
    </w:rPr>
  </w:style>
  <w:style w:type="paragraph" w:styleId="ListParagraph">
    <w:name w:val="List Paragraph"/>
    <w:basedOn w:val="Normal"/>
    <w:uiPriority w:val="34"/>
    <w:qFormat/>
    <w:rsid w:val="002B2ED6"/>
    <w:pPr>
      <w:tabs>
        <w:tab w:val="left" w:pos="709"/>
      </w:tabs>
      <w:spacing w:before="0" w:after="120" w:line="280" w:lineRule="atLeast"/>
      <w:ind w:left="709" w:hanging="709"/>
      <w:jc w:val="left"/>
      <w:outlineLvl w:val="1"/>
    </w:pPr>
    <w:rPr>
      <w:rFonts w:ascii="Helvetica" w:hAnsi="Helvetica"/>
      <w:snapToGrid w:val="0"/>
      <w:sz w:val="32"/>
    </w:rPr>
  </w:style>
  <w:style w:type="character" w:styleId="IntenseEmphasis">
    <w:name w:val="Intense Emphasis"/>
    <w:uiPriority w:val="99"/>
    <w:qFormat/>
    <w:rsid w:val="002B2ED6"/>
    <w:rPr>
      <w:b/>
      <w:bCs/>
      <w:i/>
      <w:iCs/>
      <w:color w:val="4F81BD"/>
    </w:rPr>
  </w:style>
  <w:style w:type="paragraph" w:styleId="TOCHeading">
    <w:name w:val="TOC Heading"/>
    <w:basedOn w:val="Heading1"/>
    <w:next w:val="Normal"/>
    <w:uiPriority w:val="39"/>
    <w:qFormat/>
    <w:rsid w:val="002B2ED6"/>
    <w:pPr>
      <w:keepLines/>
      <w:framePr w:hSpace="0" w:vSpace="0" w:wrap="auto" w:vAnchor="margin" w:hAnchor="text" w:yAlign="inline"/>
      <w:numPr>
        <w:numId w:val="0"/>
      </w:numPr>
      <w:pBdr>
        <w:left w:val="none" w:sz="0" w:space="0" w:color="auto"/>
      </w:pBdr>
      <w:tabs>
        <w:tab w:val="clear" w:pos="227"/>
      </w:tabs>
      <w:suppressAutoHyphens w:val="0"/>
      <w:spacing w:before="480" w:after="0" w:line="276" w:lineRule="auto"/>
      <w:outlineLvl w:val="9"/>
    </w:pPr>
    <w:rPr>
      <w:rFonts w:ascii="Cambria" w:hAnsi="Cambria" w:cs="Times New Roman"/>
      <w:color w:val="DF6532"/>
      <w:kern w:val="0"/>
      <w:sz w:val="28"/>
      <w:szCs w:val="28"/>
    </w:rPr>
  </w:style>
  <w:style w:type="paragraph" w:styleId="BodyText">
    <w:name w:val="Body Text"/>
    <w:basedOn w:val="Normal"/>
    <w:link w:val="BodyTextChar"/>
    <w:uiPriority w:val="99"/>
    <w:rsid w:val="002B2ED6"/>
    <w:pPr>
      <w:spacing w:before="0" w:after="120" w:line="240" w:lineRule="auto"/>
      <w:jc w:val="left"/>
    </w:pPr>
    <w:rPr>
      <w:rFonts w:ascii="Helvetica" w:hAnsi="Helvetica"/>
      <w:szCs w:val="18"/>
    </w:rPr>
  </w:style>
  <w:style w:type="character" w:customStyle="1" w:styleId="BodyTextChar">
    <w:name w:val="Body Text Char"/>
    <w:basedOn w:val="DefaultParagraphFont"/>
    <w:link w:val="BodyText"/>
    <w:uiPriority w:val="99"/>
    <w:rsid w:val="002B2ED6"/>
    <w:rPr>
      <w:rFonts w:ascii="Helvetica" w:hAnsi="Helvetica"/>
      <w:sz w:val="18"/>
      <w:szCs w:val="18"/>
      <w:lang w:val="it-IT"/>
    </w:rPr>
  </w:style>
  <w:style w:type="paragraph" w:styleId="BodyText3">
    <w:name w:val="Body Text 3"/>
    <w:basedOn w:val="Normal"/>
    <w:link w:val="BodyText3Char"/>
    <w:uiPriority w:val="99"/>
    <w:rsid w:val="002B2ED6"/>
    <w:pPr>
      <w:spacing w:before="0" w:after="120" w:line="240" w:lineRule="auto"/>
      <w:jc w:val="left"/>
    </w:pPr>
    <w:rPr>
      <w:rFonts w:ascii="Helvetica" w:hAnsi="Helvetica"/>
      <w:color w:val="000000"/>
      <w:sz w:val="32"/>
      <w:szCs w:val="22"/>
    </w:rPr>
  </w:style>
  <w:style w:type="character" w:customStyle="1" w:styleId="BodyText3Char">
    <w:name w:val="Body Text 3 Char"/>
    <w:basedOn w:val="DefaultParagraphFont"/>
    <w:link w:val="BodyText3"/>
    <w:uiPriority w:val="99"/>
    <w:rsid w:val="002B2ED6"/>
    <w:rPr>
      <w:rFonts w:ascii="Helvetica" w:hAnsi="Helvetica"/>
      <w:color w:val="000000"/>
      <w:sz w:val="32"/>
      <w:szCs w:val="22"/>
      <w:lang w:val="it-IT"/>
    </w:rPr>
  </w:style>
  <w:style w:type="paragraph" w:styleId="BodyTextIndent">
    <w:name w:val="Body Text Indent"/>
    <w:basedOn w:val="Normal"/>
    <w:link w:val="BodyTextIndentChar"/>
    <w:uiPriority w:val="99"/>
    <w:rsid w:val="002B2ED6"/>
    <w:pPr>
      <w:spacing w:before="0" w:after="120" w:line="280" w:lineRule="atLeast"/>
      <w:ind w:left="851" w:hanging="284"/>
      <w:jc w:val="left"/>
    </w:pPr>
    <w:rPr>
      <w:rFonts w:ascii="Helvetica" w:hAnsi="Helvetica" w:cs="Arial"/>
      <w:i/>
      <w:sz w:val="32"/>
      <w:szCs w:val="22"/>
    </w:rPr>
  </w:style>
  <w:style w:type="character" w:customStyle="1" w:styleId="BodyTextIndentChar">
    <w:name w:val="Body Text Indent Char"/>
    <w:basedOn w:val="DefaultParagraphFont"/>
    <w:link w:val="BodyTextIndent"/>
    <w:uiPriority w:val="99"/>
    <w:rsid w:val="002B2ED6"/>
    <w:rPr>
      <w:rFonts w:ascii="Helvetica" w:hAnsi="Helvetica" w:cs="Arial"/>
      <w:i/>
      <w:sz w:val="32"/>
      <w:szCs w:val="22"/>
      <w:lang w:val="it-IT"/>
    </w:rPr>
  </w:style>
  <w:style w:type="paragraph" w:styleId="BlockText">
    <w:name w:val="Block Text"/>
    <w:basedOn w:val="Normal"/>
    <w:uiPriority w:val="99"/>
    <w:rsid w:val="002B2ED6"/>
    <w:pPr>
      <w:autoSpaceDE w:val="0"/>
      <w:autoSpaceDN w:val="0"/>
      <w:adjustRightInd w:val="0"/>
      <w:spacing w:before="0" w:after="120" w:line="240" w:lineRule="auto"/>
      <w:ind w:left="33" w:right="72"/>
      <w:jc w:val="left"/>
    </w:pPr>
    <w:rPr>
      <w:rFonts w:ascii="Helvetica" w:hAnsi="Helvetica"/>
      <w:szCs w:val="18"/>
    </w:rPr>
  </w:style>
  <w:style w:type="paragraph" w:customStyle="1" w:styleId="Pa7">
    <w:name w:val="Pa7"/>
    <w:basedOn w:val="Default"/>
    <w:next w:val="Default"/>
    <w:uiPriority w:val="99"/>
    <w:rsid w:val="002B2ED6"/>
    <w:pPr>
      <w:spacing w:line="241" w:lineRule="atLeast"/>
    </w:pPr>
    <w:rPr>
      <w:rFonts w:ascii="PF Square Sans Pro" w:eastAsia="Calibri" w:hAnsi="PF Square Sans Pro"/>
      <w:color w:val="auto"/>
    </w:rPr>
  </w:style>
  <w:style w:type="paragraph" w:styleId="BodyTextIndent2">
    <w:name w:val="Body Text Indent 2"/>
    <w:basedOn w:val="Normal"/>
    <w:link w:val="BodyTextIndent2Char"/>
    <w:uiPriority w:val="99"/>
    <w:rsid w:val="002B2ED6"/>
    <w:pPr>
      <w:spacing w:before="0" w:after="120" w:line="480" w:lineRule="auto"/>
      <w:ind w:left="283"/>
      <w:jc w:val="left"/>
    </w:pPr>
    <w:rPr>
      <w:rFonts w:ascii="Helvetica" w:hAnsi="Helvetica"/>
      <w:sz w:val="32"/>
      <w:szCs w:val="22"/>
    </w:rPr>
  </w:style>
  <w:style w:type="character" w:customStyle="1" w:styleId="BodyTextIndent2Char">
    <w:name w:val="Body Text Indent 2 Char"/>
    <w:basedOn w:val="DefaultParagraphFont"/>
    <w:link w:val="BodyTextIndent2"/>
    <w:uiPriority w:val="99"/>
    <w:rsid w:val="002B2ED6"/>
    <w:rPr>
      <w:rFonts w:ascii="Helvetica" w:hAnsi="Helvetica"/>
      <w:sz w:val="32"/>
      <w:szCs w:val="22"/>
      <w:lang w:val="it-IT"/>
    </w:rPr>
  </w:style>
  <w:style w:type="paragraph" w:styleId="BodyTextIndent3">
    <w:name w:val="Body Text Indent 3"/>
    <w:basedOn w:val="Normal"/>
    <w:link w:val="BodyTextIndent3Char"/>
    <w:uiPriority w:val="99"/>
    <w:rsid w:val="002B2ED6"/>
    <w:pPr>
      <w:spacing w:before="0" w:after="120" w:line="280" w:lineRule="atLeast"/>
      <w:ind w:left="283"/>
      <w:jc w:val="left"/>
    </w:pPr>
    <w:rPr>
      <w:rFonts w:ascii="Helvetica" w:hAnsi="Helvetica"/>
      <w:sz w:val="16"/>
      <w:szCs w:val="16"/>
    </w:rPr>
  </w:style>
  <w:style w:type="character" w:customStyle="1" w:styleId="BodyTextIndent3Char">
    <w:name w:val="Body Text Indent 3 Char"/>
    <w:basedOn w:val="DefaultParagraphFont"/>
    <w:link w:val="BodyTextIndent3"/>
    <w:uiPriority w:val="99"/>
    <w:rsid w:val="002B2ED6"/>
    <w:rPr>
      <w:rFonts w:ascii="Helvetica" w:hAnsi="Helvetica"/>
      <w:sz w:val="16"/>
      <w:szCs w:val="16"/>
      <w:lang w:val="it-IT"/>
    </w:rPr>
  </w:style>
  <w:style w:type="character" w:customStyle="1" w:styleId="DocumentMapChar">
    <w:name w:val="Document Map Char"/>
    <w:basedOn w:val="DefaultParagraphFont"/>
    <w:link w:val="DocumentMap"/>
    <w:uiPriority w:val="99"/>
    <w:rsid w:val="002B2ED6"/>
    <w:rPr>
      <w:rFonts w:ascii="Tahoma" w:hAnsi="Tahoma" w:cs="Tahoma"/>
      <w:sz w:val="18"/>
      <w:szCs w:val="24"/>
      <w:shd w:val="clear" w:color="auto" w:fill="000080"/>
      <w:lang w:val="it-IT"/>
    </w:rPr>
  </w:style>
  <w:style w:type="paragraph" w:styleId="List">
    <w:name w:val="List"/>
    <w:basedOn w:val="Normal"/>
    <w:uiPriority w:val="99"/>
    <w:rsid w:val="002B2ED6"/>
    <w:pPr>
      <w:spacing w:before="0" w:after="120" w:line="280" w:lineRule="atLeast"/>
      <w:ind w:left="283" w:hanging="283"/>
      <w:contextualSpacing/>
      <w:jc w:val="left"/>
    </w:pPr>
    <w:rPr>
      <w:rFonts w:ascii="Helvetica" w:hAnsi="Helvetica"/>
      <w:sz w:val="32"/>
      <w:szCs w:val="22"/>
    </w:rPr>
  </w:style>
  <w:style w:type="paragraph" w:styleId="List2">
    <w:name w:val="List 2"/>
    <w:basedOn w:val="Normal"/>
    <w:uiPriority w:val="99"/>
    <w:rsid w:val="002B2ED6"/>
    <w:pPr>
      <w:spacing w:before="0" w:after="120" w:line="280" w:lineRule="atLeast"/>
      <w:ind w:left="566" w:hanging="283"/>
      <w:contextualSpacing/>
      <w:jc w:val="left"/>
    </w:pPr>
    <w:rPr>
      <w:rFonts w:ascii="Helvetica" w:hAnsi="Helvetica"/>
      <w:sz w:val="32"/>
      <w:szCs w:val="22"/>
    </w:rPr>
  </w:style>
  <w:style w:type="paragraph" w:customStyle="1" w:styleId="Paragrafoelenco1">
    <w:name w:val="Paragrafo elenco1"/>
    <w:basedOn w:val="Normal"/>
    <w:uiPriority w:val="99"/>
    <w:rsid w:val="002B2ED6"/>
    <w:pPr>
      <w:tabs>
        <w:tab w:val="left" w:pos="709"/>
      </w:tabs>
      <w:spacing w:before="480" w:after="120" w:line="280" w:lineRule="atLeast"/>
      <w:ind w:left="709" w:hanging="709"/>
      <w:jc w:val="left"/>
      <w:outlineLvl w:val="1"/>
    </w:pPr>
    <w:rPr>
      <w:rFonts w:ascii="Helvetica" w:hAnsi="Helvetica" w:cs="Arial"/>
      <w:sz w:val="32"/>
      <w:szCs w:val="20"/>
    </w:rPr>
  </w:style>
  <w:style w:type="paragraph" w:styleId="IntenseQuote">
    <w:name w:val="Intense Quote"/>
    <w:basedOn w:val="Normal"/>
    <w:next w:val="Normal"/>
    <w:link w:val="IntenseQuoteChar1"/>
    <w:uiPriority w:val="99"/>
    <w:qFormat/>
    <w:rsid w:val="002B2ED6"/>
    <w:pPr>
      <w:pBdr>
        <w:bottom w:val="single" w:sz="4" w:space="4" w:color="FFFFFF" w:themeColor="accent1"/>
      </w:pBdr>
      <w:spacing w:before="200" w:after="280" w:line="240" w:lineRule="auto"/>
      <w:ind w:left="936" w:right="936"/>
      <w:jc w:val="left"/>
    </w:pPr>
    <w:rPr>
      <w:rFonts w:asciiTheme="minorHAnsi" w:eastAsiaTheme="minorHAnsi" w:hAnsiTheme="minorHAnsi" w:cstheme="minorBidi"/>
      <w:b/>
      <w:bCs/>
      <w:i/>
      <w:iCs/>
      <w:color w:val="FFFFFF" w:themeColor="accent1"/>
      <w:sz w:val="22"/>
      <w:szCs w:val="22"/>
    </w:rPr>
  </w:style>
  <w:style w:type="character" w:customStyle="1" w:styleId="IntenseQuoteChar1">
    <w:name w:val="Intense Quote Char1"/>
    <w:basedOn w:val="DefaultParagraphFont"/>
    <w:link w:val="IntenseQuote"/>
    <w:uiPriority w:val="99"/>
    <w:rsid w:val="002B2ED6"/>
    <w:rPr>
      <w:rFonts w:asciiTheme="minorHAnsi" w:eastAsiaTheme="minorHAnsi" w:hAnsiTheme="minorHAnsi" w:cstheme="minorBidi"/>
      <w:b/>
      <w:bCs/>
      <w:i/>
      <w:iCs/>
      <w:color w:val="FFFFFF" w:themeColor="accent1"/>
      <w:sz w:val="22"/>
      <w:szCs w:val="22"/>
      <w:lang w:val="it-IT" w:eastAsia="it-IT"/>
    </w:rPr>
  </w:style>
  <w:style w:type="paragraph" w:styleId="ListBullet2">
    <w:name w:val="List Bullet 2"/>
    <w:basedOn w:val="Normal"/>
    <w:uiPriority w:val="99"/>
    <w:rsid w:val="002B2ED6"/>
    <w:pPr>
      <w:tabs>
        <w:tab w:val="num" w:pos="643"/>
      </w:tabs>
      <w:spacing w:before="0" w:after="120" w:line="280" w:lineRule="atLeast"/>
      <w:ind w:left="643" w:hanging="360"/>
      <w:contextualSpacing/>
      <w:jc w:val="left"/>
    </w:pPr>
    <w:rPr>
      <w:rFonts w:ascii="Helvetica" w:hAnsi="Helvetica"/>
      <w:sz w:val="32"/>
      <w:szCs w:val="22"/>
    </w:rPr>
  </w:style>
  <w:style w:type="paragraph" w:styleId="NoSpacing">
    <w:name w:val="No Spacing"/>
    <w:uiPriority w:val="1"/>
    <w:qFormat/>
    <w:rsid w:val="002B2ED6"/>
    <w:rPr>
      <w:rFonts w:asciiTheme="minorHAnsi" w:eastAsiaTheme="minorEastAsia" w:hAnsiTheme="minorHAnsi" w:cstheme="minorBidi"/>
      <w:sz w:val="22"/>
      <w:szCs w:val="22"/>
    </w:rPr>
  </w:style>
  <w:style w:type="paragraph" w:customStyle="1" w:styleId="NoteHead">
    <w:name w:val="NoteHead"/>
    <w:basedOn w:val="Normal"/>
    <w:next w:val="Normal"/>
    <w:uiPriority w:val="99"/>
    <w:rsid w:val="002B2ED6"/>
    <w:pPr>
      <w:spacing w:before="720" w:after="720" w:line="240" w:lineRule="auto"/>
      <w:jc w:val="center"/>
    </w:pPr>
    <w:rPr>
      <w:rFonts w:ascii="Times New Roman" w:hAnsi="Times New Roman"/>
      <w:b/>
      <w:smallCaps/>
      <w:sz w:val="24"/>
      <w:szCs w:val="20"/>
    </w:rPr>
  </w:style>
  <w:style w:type="paragraph" w:customStyle="1" w:styleId="Red2Red">
    <w:name w:val="Red2Red"/>
    <w:basedOn w:val="Normal"/>
    <w:link w:val="Red2RedCar"/>
    <w:uiPriority w:val="99"/>
    <w:qFormat/>
    <w:rsid w:val="002B2ED6"/>
    <w:pPr>
      <w:spacing w:after="60" w:line="288" w:lineRule="auto"/>
      <w:jc w:val="left"/>
    </w:pPr>
    <w:rPr>
      <w:rFonts w:ascii="Helvetica" w:hAnsi="Helvetica"/>
      <w:sz w:val="32"/>
    </w:rPr>
  </w:style>
  <w:style w:type="character" w:customStyle="1" w:styleId="Red2RedCar">
    <w:name w:val="Red2Red Car"/>
    <w:basedOn w:val="DefaultParagraphFont"/>
    <w:link w:val="Red2Red"/>
    <w:uiPriority w:val="99"/>
    <w:rsid w:val="002B2ED6"/>
    <w:rPr>
      <w:rFonts w:ascii="Helvetica" w:hAnsi="Helvetica"/>
      <w:sz w:val="32"/>
      <w:szCs w:val="24"/>
      <w:lang w:val="it-IT" w:eastAsia="it-IT"/>
    </w:rPr>
  </w:style>
  <w:style w:type="paragraph" w:customStyle="1" w:styleId="Text1">
    <w:name w:val="Text 1"/>
    <w:basedOn w:val="Normal"/>
    <w:uiPriority w:val="99"/>
    <w:rsid w:val="002B2ED6"/>
    <w:pPr>
      <w:spacing w:before="0" w:after="120" w:line="240" w:lineRule="auto"/>
      <w:ind w:left="482"/>
      <w:jc w:val="left"/>
    </w:pPr>
    <w:rPr>
      <w:rFonts w:ascii="Times New Roman" w:hAnsi="Times New Roman"/>
      <w:sz w:val="24"/>
      <w:szCs w:val="20"/>
    </w:rPr>
  </w:style>
  <w:style w:type="character" w:customStyle="1" w:styleId="FootnoteTextChar1">
    <w:name w:val="Footnote Text Char1"/>
    <w:aliases w:val="Fußnote Char,Geneva 9 Char,Font: Geneva 9 Char,Boston 10 Char,f Char,ft Char,Footnote Text Char Char Char Char Char Char Char Char Char Char Char,Footnote Text Char Char Char,Footnote Text2 Char,Footnote Text Char,Fußnote Char2"/>
    <w:uiPriority w:val="99"/>
    <w:locked/>
    <w:rsid w:val="002B2ED6"/>
    <w:rPr>
      <w:lang w:val="it-IT" w:eastAsia="it-IT" w:bidi="it-IT"/>
    </w:rPr>
  </w:style>
  <w:style w:type="paragraph" w:customStyle="1" w:styleId="Tiret1">
    <w:name w:val="Tiret 1"/>
    <w:basedOn w:val="Normal"/>
    <w:uiPriority w:val="99"/>
    <w:rsid w:val="002B2ED6"/>
    <w:pPr>
      <w:numPr>
        <w:numId w:val="19"/>
      </w:numPr>
      <w:suppressAutoHyphens/>
      <w:spacing w:before="0" w:after="120" w:line="240" w:lineRule="auto"/>
      <w:jc w:val="left"/>
    </w:pPr>
    <w:rPr>
      <w:rFonts w:ascii="Times New Roman" w:eastAsia="Calibri" w:hAnsi="Times New Roman"/>
      <w:sz w:val="24"/>
      <w:szCs w:val="20"/>
    </w:rPr>
  </w:style>
  <w:style w:type="paragraph" w:styleId="NormalIndent">
    <w:name w:val="Normal Indent"/>
    <w:basedOn w:val="Normal"/>
    <w:uiPriority w:val="99"/>
    <w:rsid w:val="002B2ED6"/>
    <w:pPr>
      <w:spacing w:before="0" w:after="120" w:line="280" w:lineRule="atLeast"/>
      <w:ind w:left="708"/>
      <w:jc w:val="left"/>
    </w:pPr>
    <w:rPr>
      <w:rFonts w:ascii="Helvetica" w:hAnsi="Helvetica"/>
      <w:sz w:val="32"/>
      <w:szCs w:val="22"/>
    </w:rPr>
  </w:style>
  <w:style w:type="paragraph" w:styleId="NoteHeading">
    <w:name w:val="Note Heading"/>
    <w:basedOn w:val="Normal"/>
    <w:next w:val="Normal"/>
    <w:link w:val="NoteHeadingChar"/>
    <w:uiPriority w:val="99"/>
    <w:rsid w:val="002B2ED6"/>
    <w:pPr>
      <w:spacing w:before="0" w:after="0" w:line="240" w:lineRule="auto"/>
      <w:jc w:val="left"/>
    </w:pPr>
    <w:rPr>
      <w:rFonts w:ascii="Helvetica" w:hAnsi="Helvetica"/>
      <w:sz w:val="32"/>
      <w:szCs w:val="22"/>
    </w:rPr>
  </w:style>
  <w:style w:type="character" w:customStyle="1" w:styleId="NoteHeadingChar">
    <w:name w:val="Note Heading Char"/>
    <w:basedOn w:val="DefaultParagraphFont"/>
    <w:link w:val="NoteHeading"/>
    <w:uiPriority w:val="99"/>
    <w:rsid w:val="002B2ED6"/>
    <w:rPr>
      <w:rFonts w:ascii="Helvetica" w:hAnsi="Helvetica"/>
      <w:sz w:val="32"/>
      <w:szCs w:val="22"/>
      <w:lang w:val="it-IT"/>
    </w:rPr>
  </w:style>
  <w:style w:type="character" w:customStyle="1" w:styleId="at31">
    <w:name w:val="a__t31"/>
    <w:basedOn w:val="DefaultParagraphFont"/>
    <w:rsid w:val="002B2ED6"/>
    <w:rPr>
      <w:i/>
      <w:iCs/>
    </w:rPr>
  </w:style>
  <w:style w:type="paragraph" w:customStyle="1" w:styleId="Char23">
    <w:name w:val="Char23"/>
    <w:basedOn w:val="Normal"/>
    <w:rsid w:val="002B2ED6"/>
    <w:pPr>
      <w:spacing w:before="0" w:after="160" w:line="240" w:lineRule="exact"/>
      <w:jc w:val="left"/>
    </w:pPr>
    <w:rPr>
      <w:rFonts w:ascii="Tahoma" w:hAnsi="Tahoma"/>
      <w:sz w:val="32"/>
      <w:szCs w:val="20"/>
    </w:rPr>
  </w:style>
  <w:style w:type="character" w:customStyle="1" w:styleId="st">
    <w:name w:val="st"/>
    <w:basedOn w:val="DefaultParagraphFont"/>
    <w:rsid w:val="002B2ED6"/>
  </w:style>
  <w:style w:type="paragraph" w:customStyle="1" w:styleId="text-close">
    <w:name w:val="text-close"/>
    <w:basedOn w:val="Normal"/>
    <w:rsid w:val="002B2ED6"/>
    <w:pPr>
      <w:spacing w:before="100" w:beforeAutospacing="1" w:after="100" w:afterAutospacing="1" w:line="240" w:lineRule="auto"/>
      <w:jc w:val="left"/>
    </w:pPr>
    <w:rPr>
      <w:rFonts w:ascii="Times New Roman" w:hAnsi="Times New Roman"/>
      <w:sz w:val="24"/>
    </w:rPr>
  </w:style>
  <w:style w:type="paragraph" w:customStyle="1" w:styleId="Normlnysozarkami1">
    <w:name w:val="Normálny so zarážkami1"/>
    <w:basedOn w:val="Normal"/>
    <w:link w:val="normalindentChar"/>
    <w:uiPriority w:val="99"/>
    <w:qFormat/>
    <w:rsid w:val="002B2ED6"/>
    <w:pPr>
      <w:spacing w:before="0" w:after="0" w:line="240" w:lineRule="auto"/>
      <w:ind w:firstLine="357"/>
      <w:jc w:val="left"/>
    </w:pPr>
    <w:rPr>
      <w:rFonts w:ascii="Times New Roman" w:hAnsi="Times New Roman"/>
      <w:sz w:val="22"/>
    </w:rPr>
  </w:style>
  <w:style w:type="character" w:customStyle="1" w:styleId="normalindentChar">
    <w:name w:val="normal indent Char"/>
    <w:basedOn w:val="DefaultParagraphFont"/>
    <w:link w:val="Normlnysozarkami1"/>
    <w:uiPriority w:val="99"/>
    <w:locked/>
    <w:rsid w:val="002B2ED6"/>
    <w:rPr>
      <w:sz w:val="22"/>
      <w:szCs w:val="24"/>
      <w:lang w:val="it-IT" w:eastAsia="it-IT"/>
    </w:rPr>
  </w:style>
  <w:style w:type="paragraph" w:customStyle="1" w:styleId="Normlnysozarkami12">
    <w:name w:val="Normálny so zarážkami12"/>
    <w:basedOn w:val="Normal"/>
    <w:uiPriority w:val="99"/>
    <w:qFormat/>
    <w:rsid w:val="002B2ED6"/>
    <w:pPr>
      <w:spacing w:before="0" w:after="0" w:line="240" w:lineRule="auto"/>
      <w:ind w:firstLine="357"/>
      <w:jc w:val="left"/>
    </w:pPr>
    <w:rPr>
      <w:rFonts w:ascii="Times New Roman" w:hAnsi="Times New Roman"/>
      <w:sz w:val="22"/>
    </w:rPr>
  </w:style>
  <w:style w:type="paragraph" w:customStyle="1" w:styleId="Mypodkapitola">
    <w:name w:val="My podkapitola"/>
    <w:basedOn w:val="Normal"/>
    <w:rsid w:val="002B2ED6"/>
    <w:pPr>
      <w:numPr>
        <w:numId w:val="21"/>
      </w:numPr>
      <w:spacing w:before="0" w:after="200" w:line="276" w:lineRule="auto"/>
      <w:jc w:val="left"/>
    </w:pPr>
    <w:rPr>
      <w:rFonts w:ascii="Calibri" w:eastAsia="Calibri" w:hAnsi="Calibri"/>
      <w:sz w:val="22"/>
      <w:szCs w:val="22"/>
    </w:rPr>
  </w:style>
  <w:style w:type="table" w:styleId="MediumShading2-Accent3">
    <w:name w:val="Medium Shading 2 Accent 3"/>
    <w:basedOn w:val="TableNormal"/>
    <w:uiPriority w:val="64"/>
    <w:rsid w:val="002B2ED6"/>
    <w:rPr>
      <w:rFonts w:asciiTheme="minorHAnsi" w:eastAsiaTheme="minorHAnsi" w:hAnsiTheme="minorHAnsi"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DDDDDD" w:themeColor="background1"/>
      </w:rPr>
      <w:tblPr/>
      <w:tcPr>
        <w:tcBorders>
          <w:top w:val="single" w:sz="18" w:space="0" w:color="auto"/>
          <w:left w:val="nil"/>
          <w:bottom w:val="single" w:sz="18" w:space="0" w:color="auto"/>
          <w:right w:val="nil"/>
          <w:insideH w:val="nil"/>
          <w:insideV w:val="nil"/>
        </w:tcBorders>
        <w:shd w:val="clear" w:color="auto" w:fill="546393"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DDDDDD" w:themeFill="background1"/>
      </w:tcPr>
    </w:tblStylePr>
    <w:tblStylePr w:type="firstCol">
      <w:rPr>
        <w:b/>
        <w:bCs/>
        <w:color w:val="DDDDDD" w:themeColor="background1"/>
      </w:rPr>
      <w:tblPr/>
      <w:tcPr>
        <w:tcBorders>
          <w:top w:val="nil"/>
          <w:left w:val="nil"/>
          <w:bottom w:val="single" w:sz="18" w:space="0" w:color="auto"/>
          <w:right w:val="nil"/>
          <w:insideH w:val="nil"/>
          <w:insideV w:val="nil"/>
        </w:tcBorders>
        <w:shd w:val="clear" w:color="auto" w:fill="546393" w:themeFill="accent3"/>
      </w:tcPr>
    </w:tblStylePr>
    <w:tblStylePr w:type="lastCol">
      <w:rPr>
        <w:b/>
        <w:bCs/>
        <w:color w:val="DDDDDD" w:themeColor="background1"/>
      </w:rPr>
      <w:tblPr/>
      <w:tcPr>
        <w:tcBorders>
          <w:left w:val="nil"/>
          <w:right w:val="nil"/>
          <w:insideH w:val="nil"/>
          <w:insideV w:val="nil"/>
        </w:tcBorders>
        <w:shd w:val="clear" w:color="auto" w:fill="546393" w:themeFill="accent3"/>
      </w:tcPr>
    </w:tblStylePr>
    <w:tblStylePr w:type="band1Vert">
      <w:tblPr/>
      <w:tcPr>
        <w:tcBorders>
          <w:left w:val="nil"/>
          <w:right w:val="nil"/>
          <w:insideH w:val="nil"/>
          <w:insideV w:val="nil"/>
        </w:tcBorders>
        <w:shd w:val="clear" w:color="auto" w:fill="BBBBBB" w:themeFill="background1" w:themeFillShade="D8"/>
      </w:tcPr>
    </w:tblStylePr>
    <w:tblStylePr w:type="band1Horz">
      <w:tblPr/>
      <w:tcPr>
        <w:shd w:val="clear" w:color="auto" w:fill="BBBBBB"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DDDDDD"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apple-converted-space">
    <w:name w:val="apple-converted-space"/>
    <w:basedOn w:val="DefaultParagraphFont"/>
    <w:rsid w:val="002B2ED6"/>
  </w:style>
  <w:style w:type="table" w:styleId="MediumShading1-Accent3">
    <w:name w:val="Medium Shading 1 Accent 3"/>
    <w:basedOn w:val="TableNormal"/>
    <w:uiPriority w:val="63"/>
    <w:rsid w:val="002B2ED6"/>
    <w:rPr>
      <w:rFonts w:asciiTheme="minorHAnsi" w:eastAsiaTheme="minorHAnsi" w:hAnsiTheme="minorHAnsi" w:cstheme="minorBidi"/>
      <w:sz w:val="22"/>
      <w:szCs w:val="22"/>
    </w:rPr>
    <w:tblPr>
      <w:tblStyleRowBandSize w:val="1"/>
      <w:tblStyleColBandSize w:val="1"/>
      <w:tblBorders>
        <w:top w:val="single" w:sz="8" w:space="0" w:color="7A87B3" w:themeColor="accent3" w:themeTint="BF"/>
        <w:left w:val="single" w:sz="8" w:space="0" w:color="7A87B3" w:themeColor="accent3" w:themeTint="BF"/>
        <w:bottom w:val="single" w:sz="8" w:space="0" w:color="7A87B3" w:themeColor="accent3" w:themeTint="BF"/>
        <w:right w:val="single" w:sz="8" w:space="0" w:color="7A87B3" w:themeColor="accent3" w:themeTint="BF"/>
        <w:insideH w:val="single" w:sz="8" w:space="0" w:color="7A87B3" w:themeColor="accent3" w:themeTint="BF"/>
      </w:tblBorders>
    </w:tblPr>
    <w:tblStylePr w:type="firstRow">
      <w:pPr>
        <w:spacing w:before="0" w:after="0" w:line="240" w:lineRule="auto"/>
      </w:pPr>
      <w:rPr>
        <w:b/>
        <w:bCs/>
        <w:color w:val="DDDDDD" w:themeColor="background1"/>
      </w:rPr>
      <w:tblPr/>
      <w:tcPr>
        <w:tcBorders>
          <w:top w:val="single" w:sz="8" w:space="0" w:color="7A87B3" w:themeColor="accent3" w:themeTint="BF"/>
          <w:left w:val="single" w:sz="8" w:space="0" w:color="7A87B3" w:themeColor="accent3" w:themeTint="BF"/>
          <w:bottom w:val="single" w:sz="8" w:space="0" w:color="7A87B3" w:themeColor="accent3" w:themeTint="BF"/>
          <w:right w:val="single" w:sz="8" w:space="0" w:color="7A87B3" w:themeColor="accent3" w:themeTint="BF"/>
          <w:insideH w:val="nil"/>
          <w:insideV w:val="nil"/>
        </w:tcBorders>
        <w:shd w:val="clear" w:color="auto" w:fill="546393" w:themeFill="accent3"/>
      </w:tcPr>
    </w:tblStylePr>
    <w:tblStylePr w:type="lastRow">
      <w:pPr>
        <w:spacing w:before="0" w:after="0" w:line="240" w:lineRule="auto"/>
      </w:pPr>
      <w:rPr>
        <w:b/>
        <w:bCs/>
      </w:rPr>
      <w:tblPr/>
      <w:tcPr>
        <w:tcBorders>
          <w:top w:val="double" w:sz="6" w:space="0" w:color="7A87B3" w:themeColor="accent3" w:themeTint="BF"/>
          <w:left w:val="single" w:sz="8" w:space="0" w:color="7A87B3" w:themeColor="accent3" w:themeTint="BF"/>
          <w:bottom w:val="single" w:sz="8" w:space="0" w:color="7A87B3" w:themeColor="accent3" w:themeTint="BF"/>
          <w:right w:val="single" w:sz="8" w:space="0" w:color="7A87B3" w:themeColor="accent3" w:themeTint="BF"/>
          <w:insideH w:val="nil"/>
          <w:insideV w:val="nil"/>
        </w:tcBorders>
      </w:tcPr>
    </w:tblStylePr>
    <w:tblStylePr w:type="firstCol">
      <w:rPr>
        <w:b/>
        <w:bCs/>
      </w:rPr>
    </w:tblStylePr>
    <w:tblStylePr w:type="lastCol">
      <w:rPr>
        <w:b/>
        <w:bCs/>
      </w:rPr>
    </w:tblStylePr>
    <w:tblStylePr w:type="band1Vert">
      <w:tblPr/>
      <w:tcPr>
        <w:shd w:val="clear" w:color="auto" w:fill="D3D7E6" w:themeFill="accent3" w:themeFillTint="3F"/>
      </w:tcPr>
    </w:tblStylePr>
    <w:tblStylePr w:type="band1Horz">
      <w:tblPr/>
      <w:tcPr>
        <w:tcBorders>
          <w:insideH w:val="nil"/>
          <w:insideV w:val="nil"/>
        </w:tcBorders>
        <w:shd w:val="clear" w:color="auto" w:fill="D3D7E6" w:themeFill="accent3" w:themeFillTint="3F"/>
      </w:tcPr>
    </w:tblStylePr>
    <w:tblStylePr w:type="band2Horz">
      <w:tblPr/>
      <w:tcPr>
        <w:tcBorders>
          <w:insideH w:val="nil"/>
          <w:insideV w:val="nil"/>
        </w:tcBorders>
      </w:tcPr>
    </w:tblStylePr>
  </w:style>
  <w:style w:type="table" w:customStyle="1" w:styleId="MediumShading1-Accent31">
    <w:name w:val="Medium Shading 1 - Accent 31"/>
    <w:basedOn w:val="TableNormal"/>
    <w:next w:val="MediumShading1-Accent3"/>
    <w:uiPriority w:val="63"/>
    <w:rsid w:val="002B2ED6"/>
    <w:rPr>
      <w:rFonts w:asciiTheme="minorHAnsi" w:eastAsiaTheme="minorHAnsi" w:hAnsiTheme="minorHAnsi" w:cstheme="minorBidi"/>
      <w:sz w:val="22"/>
      <w:szCs w:val="22"/>
    </w:rPr>
    <w:tblPr>
      <w:tblStyleRowBandSize w:val="1"/>
      <w:tblStyleColBandSize w:val="1"/>
      <w:tblBorders>
        <w:top w:val="single" w:sz="8" w:space="0" w:color="7A87B3" w:themeColor="accent3" w:themeTint="BF"/>
        <w:left w:val="single" w:sz="8" w:space="0" w:color="7A87B3" w:themeColor="accent3" w:themeTint="BF"/>
        <w:bottom w:val="single" w:sz="8" w:space="0" w:color="7A87B3" w:themeColor="accent3" w:themeTint="BF"/>
        <w:right w:val="single" w:sz="8" w:space="0" w:color="7A87B3" w:themeColor="accent3" w:themeTint="BF"/>
        <w:insideH w:val="single" w:sz="8" w:space="0" w:color="7A87B3" w:themeColor="accent3" w:themeTint="BF"/>
      </w:tblBorders>
    </w:tblPr>
    <w:tblStylePr w:type="firstRow">
      <w:pPr>
        <w:spacing w:before="0" w:after="0" w:line="240" w:lineRule="auto"/>
      </w:pPr>
      <w:rPr>
        <w:b/>
        <w:bCs/>
        <w:color w:val="DDDDDD" w:themeColor="background1"/>
      </w:rPr>
      <w:tblPr/>
      <w:tcPr>
        <w:tcBorders>
          <w:top w:val="single" w:sz="8" w:space="0" w:color="7A87B3" w:themeColor="accent3" w:themeTint="BF"/>
          <w:left w:val="single" w:sz="8" w:space="0" w:color="7A87B3" w:themeColor="accent3" w:themeTint="BF"/>
          <w:bottom w:val="single" w:sz="8" w:space="0" w:color="7A87B3" w:themeColor="accent3" w:themeTint="BF"/>
          <w:right w:val="single" w:sz="8" w:space="0" w:color="7A87B3" w:themeColor="accent3" w:themeTint="BF"/>
          <w:insideH w:val="nil"/>
          <w:insideV w:val="nil"/>
        </w:tcBorders>
        <w:shd w:val="clear" w:color="auto" w:fill="546393" w:themeFill="accent3"/>
      </w:tcPr>
    </w:tblStylePr>
    <w:tblStylePr w:type="lastRow">
      <w:pPr>
        <w:spacing w:before="0" w:after="0" w:line="240" w:lineRule="auto"/>
      </w:pPr>
      <w:rPr>
        <w:b/>
        <w:bCs/>
      </w:rPr>
      <w:tblPr/>
      <w:tcPr>
        <w:tcBorders>
          <w:top w:val="double" w:sz="6" w:space="0" w:color="7A87B3" w:themeColor="accent3" w:themeTint="BF"/>
          <w:left w:val="single" w:sz="8" w:space="0" w:color="7A87B3" w:themeColor="accent3" w:themeTint="BF"/>
          <w:bottom w:val="single" w:sz="8" w:space="0" w:color="7A87B3" w:themeColor="accent3" w:themeTint="BF"/>
          <w:right w:val="single" w:sz="8" w:space="0" w:color="7A87B3" w:themeColor="accent3" w:themeTint="BF"/>
          <w:insideH w:val="nil"/>
          <w:insideV w:val="nil"/>
        </w:tcBorders>
      </w:tcPr>
    </w:tblStylePr>
    <w:tblStylePr w:type="firstCol">
      <w:rPr>
        <w:b/>
        <w:bCs/>
      </w:rPr>
    </w:tblStylePr>
    <w:tblStylePr w:type="lastCol">
      <w:rPr>
        <w:b/>
        <w:bCs/>
      </w:rPr>
    </w:tblStylePr>
    <w:tblStylePr w:type="band1Vert">
      <w:tblPr/>
      <w:tcPr>
        <w:shd w:val="clear" w:color="auto" w:fill="D3D7E6" w:themeFill="accent3" w:themeFillTint="3F"/>
      </w:tcPr>
    </w:tblStylePr>
    <w:tblStylePr w:type="band1Horz">
      <w:tblPr/>
      <w:tcPr>
        <w:tcBorders>
          <w:insideH w:val="nil"/>
          <w:insideV w:val="nil"/>
        </w:tcBorders>
        <w:shd w:val="clear" w:color="auto" w:fill="D3D7E6" w:themeFill="accent3" w:themeFillTint="3F"/>
      </w:tcPr>
    </w:tblStylePr>
    <w:tblStylePr w:type="band2Horz">
      <w:tblPr/>
      <w:tcPr>
        <w:tcBorders>
          <w:insideH w:val="nil"/>
          <w:insideV w:val="nil"/>
        </w:tcBorders>
      </w:tcPr>
    </w:tblStylePr>
  </w:style>
  <w:style w:type="paragraph" w:customStyle="1" w:styleId="CM1">
    <w:name w:val="CM1"/>
    <w:basedOn w:val="Default"/>
    <w:next w:val="Default"/>
    <w:uiPriority w:val="99"/>
    <w:rsid w:val="002B2ED6"/>
    <w:rPr>
      <w:rFonts w:ascii="EUAlbertina" w:hAnsi="EUAlbertina"/>
      <w:color w:val="auto"/>
    </w:rPr>
  </w:style>
  <w:style w:type="paragraph" w:customStyle="1" w:styleId="CM3">
    <w:name w:val="CM3"/>
    <w:basedOn w:val="Default"/>
    <w:next w:val="Default"/>
    <w:uiPriority w:val="99"/>
    <w:rsid w:val="002B2ED6"/>
    <w:rPr>
      <w:rFonts w:ascii="EUAlbertina" w:hAnsi="EUAlbertina"/>
      <w:color w:val="auto"/>
    </w:rPr>
  </w:style>
  <w:style w:type="paragraph" w:customStyle="1" w:styleId="Pavpage3">
    <w:name w:val="Pavé page 3"/>
    <w:basedOn w:val="Normal"/>
    <w:qFormat/>
    <w:rsid w:val="002B2ED6"/>
    <w:pPr>
      <w:spacing w:before="0" w:after="120" w:line="280" w:lineRule="atLeast"/>
      <w:jc w:val="left"/>
    </w:pPr>
    <w:rPr>
      <w:rFonts w:ascii="Helvetica" w:hAnsi="Helvetica" w:cs="Arial"/>
      <w:smallCaps/>
      <w:color w:val="DF6532"/>
      <w:sz w:val="44"/>
      <w:szCs w:val="44"/>
    </w:rPr>
  </w:style>
  <w:style w:type="paragraph" w:customStyle="1" w:styleId="Normal22PT">
    <w:name w:val="Normal + 22PT"/>
    <w:aliases w:val="couleur Orange"/>
    <w:basedOn w:val="Normal"/>
    <w:qFormat/>
    <w:rsid w:val="002B2ED6"/>
    <w:pPr>
      <w:spacing w:before="0" w:after="120" w:line="280" w:lineRule="atLeast"/>
      <w:jc w:val="left"/>
    </w:pPr>
    <w:rPr>
      <w:rFonts w:ascii="Helvetica" w:hAnsi="Helvetica" w:cs="Arial"/>
      <w:bCs/>
      <w:smallCaps/>
      <w:color w:val="DF6532"/>
      <w:sz w:val="44"/>
      <w:szCs w:val="44"/>
    </w:rPr>
  </w:style>
  <w:style w:type="paragraph" w:customStyle="1" w:styleId="Normal12PTcouleurgris">
    <w:name w:val="Normal + 12PT couleur gris"/>
    <w:basedOn w:val="Normal"/>
    <w:qFormat/>
    <w:rsid w:val="002B2ED6"/>
    <w:pPr>
      <w:spacing w:before="0" w:after="0" w:line="280" w:lineRule="atLeast"/>
      <w:jc w:val="left"/>
    </w:pPr>
    <w:rPr>
      <w:rFonts w:ascii="Helvetica" w:hAnsi="Helvetica" w:cs="Arial"/>
      <w:color w:val="6F6F6F"/>
      <w:sz w:val="24"/>
      <w:szCs w:val="18"/>
      <w14:textFill>
        <w14:solidFill>
          <w14:srgbClr w14:val="6F6F6F">
            <w14:lumMod w14:val="75000"/>
          </w14:srgbClr>
        </w14:solidFill>
      </w14:textFill>
    </w:rPr>
  </w:style>
  <w:style w:type="character" w:styleId="SubtleReference">
    <w:name w:val="Subtle Reference"/>
    <w:basedOn w:val="DefaultParagraphFont"/>
    <w:uiPriority w:val="31"/>
    <w:qFormat/>
    <w:rsid w:val="002B2ED6"/>
    <w:rPr>
      <w:rFonts w:ascii="Helvetica" w:hAnsi="Helvetica"/>
      <w:b/>
      <w:i w:val="0"/>
      <w:smallCaps/>
      <w:color w:val="E7B837"/>
      <w:sz w:val="24"/>
      <w:u w:val="single"/>
    </w:rPr>
  </w:style>
  <w:style w:type="character" w:styleId="IntenseReference">
    <w:name w:val="Intense Reference"/>
    <w:basedOn w:val="DefaultParagraphFont"/>
    <w:uiPriority w:val="32"/>
    <w:qFormat/>
    <w:rsid w:val="002B2ED6"/>
    <w:rPr>
      <w:rFonts w:ascii="Helvetica" w:hAnsi="Helvetica"/>
      <w:b/>
      <w:bCs/>
      <w:i w:val="0"/>
      <w:smallCaps/>
      <w:color w:val="9B3930"/>
      <w:spacing w:val="5"/>
      <w:sz w:val="28"/>
      <w:u w:val="single"/>
    </w:rPr>
  </w:style>
  <w:style w:type="paragraph" w:customStyle="1" w:styleId="H-Titre2">
    <w:name w:val="H-Titre 2"/>
    <w:basedOn w:val="Normal22PT"/>
    <w:qFormat/>
    <w:rsid w:val="002B2ED6"/>
    <w:rPr>
      <w:color w:val="6F6F6F"/>
    </w:rPr>
  </w:style>
  <w:style w:type="paragraph" w:customStyle="1" w:styleId="H-Titre1">
    <w:name w:val="H-Titre 1"/>
    <w:basedOn w:val="Normal"/>
    <w:qFormat/>
    <w:rsid w:val="002B2ED6"/>
    <w:pPr>
      <w:spacing w:before="0" w:after="120" w:line="280" w:lineRule="atLeast"/>
      <w:jc w:val="left"/>
    </w:pPr>
    <w:rPr>
      <w:rFonts w:ascii="Helvetica" w:hAnsi="Helvetica" w:cs="Arial"/>
      <w:smallCaps/>
      <w:color w:val="F07E31"/>
      <w:sz w:val="60"/>
      <w:szCs w:val="60"/>
    </w:rPr>
  </w:style>
  <w:style w:type="paragraph" w:customStyle="1" w:styleId="H-Titre3">
    <w:name w:val="H-Titre 3"/>
    <w:basedOn w:val="Normal"/>
    <w:qFormat/>
    <w:rsid w:val="002B2ED6"/>
    <w:pPr>
      <w:spacing w:before="0" w:after="120" w:line="280" w:lineRule="atLeast"/>
      <w:jc w:val="left"/>
    </w:pPr>
    <w:rPr>
      <w:rFonts w:ascii="Helvetica" w:hAnsi="Helvetica" w:cs="Arial"/>
      <w:smallCaps/>
      <w:color w:val="6F6F6F"/>
      <w:sz w:val="28"/>
      <w:szCs w:val="28"/>
    </w:rPr>
  </w:style>
  <w:style w:type="paragraph" w:customStyle="1" w:styleId="H-Standard">
    <w:name w:val="H-Standard"/>
    <w:basedOn w:val="Normal12PTcouleurgris"/>
    <w:qFormat/>
    <w:rsid w:val="002B2ED6"/>
    <w:pPr>
      <w:spacing w:after="120"/>
      <w:jc w:val="both"/>
    </w:pPr>
    <w:rPr>
      <w:color w:val="535353" w:themeColor="text1" w:themeShade="BF"/>
      <w:sz w:val="20"/>
      <w14:textFill>
        <w14:solidFill>
          <w14:schemeClr w14:val="tx1">
            <w14:lumMod w14:val="75000"/>
            <w14:lumMod w14:val="75000"/>
          </w14:schemeClr>
        </w14:solidFill>
      </w14:textFill>
    </w:rPr>
  </w:style>
  <w:style w:type="paragraph" w:customStyle="1" w:styleId="H-Standard22PT">
    <w:name w:val="H-Standard + 22PT"/>
    <w:basedOn w:val="Normal22PT"/>
    <w:qFormat/>
    <w:rsid w:val="002B2ED6"/>
    <w:rPr>
      <w:color w:val="F07E31"/>
    </w:rPr>
  </w:style>
  <w:style w:type="paragraph" w:customStyle="1" w:styleId="H-Header">
    <w:name w:val="H-Header"/>
    <w:basedOn w:val="Header"/>
    <w:qFormat/>
    <w:rsid w:val="002B2ED6"/>
    <w:pPr>
      <w:pBdr>
        <w:bottom w:val="none" w:sz="0" w:space="0" w:color="auto"/>
      </w:pBdr>
      <w:tabs>
        <w:tab w:val="clear" w:pos="8618"/>
        <w:tab w:val="center" w:pos="4536"/>
        <w:tab w:val="right" w:pos="9072"/>
      </w:tabs>
      <w:spacing w:before="0"/>
      <w:ind w:left="0" w:right="0"/>
      <w:jc w:val="right"/>
    </w:pPr>
    <w:rPr>
      <w:rFonts w:ascii="Helvetica" w:hAnsi="Helvetica"/>
      <w:snapToGrid w:val="0"/>
      <w:color w:val="DF6532"/>
      <w:sz w:val="20"/>
      <w:szCs w:val="18"/>
    </w:rPr>
  </w:style>
  <w:style w:type="paragraph" w:customStyle="1" w:styleId="H-Content">
    <w:name w:val="H-Content"/>
    <w:basedOn w:val="Normal12PTcouleurgris"/>
    <w:qFormat/>
    <w:rsid w:val="002B2ED6"/>
    <w:rPr>
      <w:b/>
      <w:bCs/>
    </w:rPr>
  </w:style>
  <w:style w:type="paragraph" w:customStyle="1" w:styleId="H-Heading1">
    <w:name w:val="H-Heading 1"/>
    <w:basedOn w:val="Heading1"/>
    <w:qFormat/>
    <w:rsid w:val="002B2ED6"/>
    <w:pPr>
      <w:framePr w:hSpace="0" w:vSpace="0" w:wrap="auto" w:vAnchor="margin" w:hAnchor="text" w:yAlign="inline"/>
      <w:numPr>
        <w:numId w:val="23"/>
      </w:numPr>
      <w:pBdr>
        <w:left w:val="none" w:sz="0" w:space="0" w:color="auto"/>
      </w:pBdr>
      <w:tabs>
        <w:tab w:val="clear" w:pos="227"/>
      </w:tabs>
      <w:suppressAutoHyphens w:val="0"/>
      <w:spacing w:before="360" w:after="360" w:line="280" w:lineRule="atLeast"/>
    </w:pPr>
    <w:rPr>
      <w:rFonts w:ascii="Helvetica" w:hAnsi="Helvetica" w:cs="Times New Roman"/>
      <w:caps/>
      <w:color w:val="F07E31"/>
      <w:szCs w:val="24"/>
    </w:rPr>
  </w:style>
  <w:style w:type="paragraph" w:customStyle="1" w:styleId="H-ParagraphList">
    <w:name w:val="H-Paragraph List"/>
    <w:basedOn w:val="ListParagraph"/>
    <w:qFormat/>
    <w:rsid w:val="002B2ED6"/>
    <w:pPr>
      <w:numPr>
        <w:numId w:val="22"/>
      </w:numPr>
      <w:tabs>
        <w:tab w:val="clear" w:pos="709"/>
      </w:tabs>
      <w:jc w:val="both"/>
      <w:outlineLvl w:val="9"/>
    </w:pPr>
    <w:rPr>
      <w:rFonts w:cs="Arial"/>
      <w:color w:val="000000"/>
      <w:sz w:val="20"/>
    </w:rPr>
  </w:style>
  <w:style w:type="paragraph" w:customStyle="1" w:styleId="H-Heading2">
    <w:name w:val="H-Heading 2"/>
    <w:basedOn w:val="H-Heading1"/>
    <w:qFormat/>
    <w:rsid w:val="002B2ED6"/>
    <w:pPr>
      <w:numPr>
        <w:numId w:val="0"/>
      </w:numPr>
      <w:spacing w:before="240" w:after="240"/>
      <w:ind w:left="720" w:hanging="360"/>
    </w:pPr>
    <w:rPr>
      <w:caps w:val="0"/>
      <w:color w:val="6F6F6F"/>
      <w:sz w:val="20"/>
    </w:rPr>
  </w:style>
  <w:style w:type="paragraph" w:customStyle="1" w:styleId="H-Heading3">
    <w:name w:val="H-Heading 3"/>
    <w:basedOn w:val="H-Heading2"/>
    <w:rsid w:val="002B2ED6"/>
    <w:pPr>
      <w:numPr>
        <w:ilvl w:val="2"/>
        <w:numId w:val="23"/>
      </w:numPr>
    </w:pPr>
    <w:rPr>
      <w:b w:val="0"/>
      <w:color w:val="F07E31"/>
    </w:rPr>
  </w:style>
  <w:style w:type="numbering" w:customStyle="1" w:styleId="MaListe">
    <w:name w:val="MaListe"/>
    <w:uiPriority w:val="99"/>
    <w:rsid w:val="002B2ED6"/>
    <w:pPr>
      <w:numPr>
        <w:numId w:val="24"/>
      </w:numPr>
    </w:pPr>
  </w:style>
  <w:style w:type="paragraph" w:customStyle="1" w:styleId="H-Table">
    <w:name w:val="H-Table"/>
    <w:next w:val="H-Standard"/>
    <w:qFormat/>
    <w:rsid w:val="002B2ED6"/>
    <w:pPr>
      <w:numPr>
        <w:numId w:val="25"/>
      </w:numPr>
      <w:ind w:left="510" w:hanging="510"/>
    </w:pPr>
    <w:rPr>
      <w:rFonts w:ascii="Helvetica" w:hAnsi="Helvetica"/>
      <w:b/>
      <w:bCs/>
      <w:color w:val="6F6F6F"/>
      <w:sz w:val="16"/>
    </w:rPr>
  </w:style>
  <w:style w:type="paragraph" w:customStyle="1" w:styleId="H-Heading4">
    <w:name w:val="H-Heading 4"/>
    <w:basedOn w:val="HHeading5"/>
    <w:qFormat/>
    <w:rsid w:val="00C71423"/>
    <w:pPr>
      <w:keepNext/>
      <w:keepLines/>
      <w:widowControl/>
    </w:pPr>
    <w:rPr>
      <w:rFonts w:cs="Arial"/>
    </w:rPr>
  </w:style>
  <w:style w:type="paragraph" w:customStyle="1" w:styleId="H-Figure">
    <w:name w:val="H-Figure"/>
    <w:basedOn w:val="H-Table"/>
    <w:next w:val="H-Standard"/>
    <w:qFormat/>
    <w:rsid w:val="002B2ED6"/>
    <w:pPr>
      <w:numPr>
        <w:numId w:val="26"/>
      </w:numPr>
      <w:ind w:left="510" w:hanging="510"/>
    </w:pPr>
  </w:style>
  <w:style w:type="paragraph" w:customStyle="1" w:styleId="H-Box">
    <w:name w:val="H-Box"/>
    <w:basedOn w:val="H-Table"/>
    <w:next w:val="H-Standard"/>
    <w:qFormat/>
    <w:rsid w:val="002B2ED6"/>
    <w:pPr>
      <w:numPr>
        <w:numId w:val="27"/>
      </w:numPr>
      <w:ind w:left="510" w:hanging="510"/>
    </w:pPr>
  </w:style>
  <w:style w:type="paragraph" w:customStyle="1" w:styleId="Cuerpo">
    <w:name w:val="Cuerpo"/>
    <w:rsid w:val="002B2ED6"/>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table" w:customStyle="1" w:styleId="TableGrid1">
    <w:name w:val="Table Grid1"/>
    <w:basedOn w:val="TableNormal"/>
    <w:next w:val="TableGrid"/>
    <w:uiPriority w:val="39"/>
    <w:rsid w:val="002B2E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2B2E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2B2E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2B2E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4C139D"/>
    <w:pPr>
      <w:spacing w:before="100" w:beforeAutospacing="1" w:after="100" w:afterAutospacing="1" w:line="240" w:lineRule="auto"/>
      <w:jc w:val="left"/>
    </w:pPr>
    <w:rPr>
      <w:rFonts w:ascii="Times New Roman" w:hAnsi="Times New Roman"/>
      <w:sz w:val="24"/>
    </w:rPr>
  </w:style>
  <w:style w:type="paragraph" w:styleId="Index2">
    <w:name w:val="index 2"/>
    <w:basedOn w:val="Normal"/>
    <w:next w:val="Normal"/>
    <w:autoRedefine/>
    <w:semiHidden/>
    <w:rsid w:val="00EF6079"/>
    <w:pPr>
      <w:spacing w:before="0" w:after="120" w:line="240" w:lineRule="auto"/>
      <w:ind w:left="480" w:hanging="240"/>
    </w:pPr>
    <w:rPr>
      <w:rFonts w:ascii="Times New Roman" w:hAnsi="Times New Roman"/>
      <w:sz w:val="22"/>
      <w:szCs w:val="20"/>
    </w:rPr>
  </w:style>
  <w:style w:type="paragraph" w:customStyle="1" w:styleId="Releasable">
    <w:name w:val="Releasable"/>
    <w:basedOn w:val="Normal"/>
    <w:qFormat/>
    <w:rsid w:val="00080C42"/>
    <w:pPr>
      <w:spacing w:before="0" w:after="0" w:line="240" w:lineRule="auto"/>
      <w:jc w:val="center"/>
    </w:pPr>
    <w:rPr>
      <w:rFonts w:ascii="Times New Roman" w:hAnsi="Times New Roman"/>
      <w:b/>
      <w:caps/>
      <w:sz w:val="3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6818178">
      <w:bodyDiv w:val="1"/>
      <w:marLeft w:val="0"/>
      <w:marRight w:val="0"/>
      <w:marTop w:val="0"/>
      <w:marBottom w:val="0"/>
      <w:divBdr>
        <w:top w:val="none" w:sz="0" w:space="0" w:color="auto"/>
        <w:left w:val="none" w:sz="0" w:space="0" w:color="auto"/>
        <w:bottom w:val="none" w:sz="0" w:space="0" w:color="auto"/>
        <w:right w:val="none" w:sz="0" w:space="0" w:color="auto"/>
      </w:divBdr>
    </w:div>
    <w:div w:id="426587007">
      <w:bodyDiv w:val="1"/>
      <w:marLeft w:val="0"/>
      <w:marRight w:val="0"/>
      <w:marTop w:val="0"/>
      <w:marBottom w:val="0"/>
      <w:divBdr>
        <w:top w:val="none" w:sz="0" w:space="0" w:color="auto"/>
        <w:left w:val="none" w:sz="0" w:space="0" w:color="auto"/>
        <w:bottom w:val="none" w:sz="0" w:space="0" w:color="auto"/>
        <w:right w:val="none" w:sz="0" w:space="0" w:color="auto"/>
      </w:divBdr>
    </w:div>
    <w:div w:id="1498687180">
      <w:bodyDiv w:val="1"/>
      <w:marLeft w:val="0"/>
      <w:marRight w:val="0"/>
      <w:marTop w:val="0"/>
      <w:marBottom w:val="0"/>
      <w:divBdr>
        <w:top w:val="none" w:sz="0" w:space="0" w:color="auto"/>
        <w:left w:val="none" w:sz="0" w:space="0" w:color="auto"/>
        <w:bottom w:val="none" w:sz="0" w:space="0" w:color="auto"/>
        <w:right w:val="none" w:sz="0" w:space="0" w:color="auto"/>
      </w:divBdr>
    </w:div>
    <w:div w:id="1766533613">
      <w:bodyDiv w:val="1"/>
      <w:marLeft w:val="0"/>
      <w:marRight w:val="0"/>
      <w:marTop w:val="0"/>
      <w:marBottom w:val="0"/>
      <w:divBdr>
        <w:top w:val="none" w:sz="0" w:space="0" w:color="auto"/>
        <w:left w:val="none" w:sz="0" w:space="0" w:color="auto"/>
        <w:bottom w:val="none" w:sz="0" w:space="0" w:color="auto"/>
        <w:right w:val="none" w:sz="0" w:space="0" w:color="auto"/>
      </w:divBdr>
    </w:div>
    <w:div w:id="1808932691">
      <w:bodyDiv w:val="1"/>
      <w:marLeft w:val="0"/>
      <w:marRight w:val="0"/>
      <w:marTop w:val="0"/>
      <w:marBottom w:val="0"/>
      <w:divBdr>
        <w:top w:val="none" w:sz="0" w:space="0" w:color="auto"/>
        <w:left w:val="none" w:sz="0" w:space="0" w:color="auto"/>
        <w:bottom w:val="none" w:sz="0" w:space="0" w:color="auto"/>
        <w:right w:val="none" w:sz="0" w:space="0" w:color="auto"/>
      </w:divBdr>
    </w:div>
    <w:div w:id="1938177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footer" Target="footer1.xml"/><Relationship Id="rId26" Type="http://schemas.openxmlformats.org/officeDocument/2006/relationships/header" Target="header4.xml"/><Relationship Id="rId39" Type="http://schemas.openxmlformats.org/officeDocument/2006/relationships/hyperlink" Target="http://enrd.ec.europa.eu/evaluation/publications/e-library_en" TargetMode="External"/><Relationship Id="rId21" Type="http://schemas.openxmlformats.org/officeDocument/2006/relationships/footer" Target="footer3.xml"/><Relationship Id="rId34" Type="http://schemas.openxmlformats.org/officeDocument/2006/relationships/header" Target="header6.xml"/><Relationship Id="rId42" Type="http://schemas.openxmlformats.org/officeDocument/2006/relationships/hyperlink" Target="http://enrd.ec.europa.eu/evaluation/publications/e-library_en" TargetMode="External"/><Relationship Id="rId47" Type="http://schemas.openxmlformats.org/officeDocument/2006/relationships/hyperlink" Target="http://enrd.ec.europa.eu/evaluation/publications/e-library_en" TargetMode="External"/><Relationship Id="rId50" Type="http://schemas.openxmlformats.org/officeDocument/2006/relationships/hyperlink" Target="https://metisvienna.sharepoint.com/Freigegebene%20Dokumente/9_TWG/9.1_TWG_01_rep2017/4_Content/2_2nd%20draft/Delivered%20by%20experts/nrd.ec.europa.eu/enrd-static/evaluation/library/evaluation-helpdesk-publications/en/evaluation-helpdesk-publications_en.html" TargetMode="External"/><Relationship Id="rId55" Type="http://schemas.openxmlformats.org/officeDocument/2006/relationships/header" Target="header9.xml"/><Relationship Id="rId63" Type="http://schemas.openxmlformats.org/officeDocument/2006/relationships/header" Target="header11.xml"/><Relationship Id="rId68" Type="http://schemas.openxmlformats.org/officeDocument/2006/relationships/hyperlink" Target="http://ec.europa.eu/eurostat/web/esa-supply-use-input-tables" TargetMode="External"/><Relationship Id="rId76" Type="http://schemas.openxmlformats.org/officeDocument/2006/relationships/header" Target="header12.xml"/><Relationship Id="rId84" Type="http://schemas.openxmlformats.org/officeDocument/2006/relationships/footer" Target="footer14.xml"/><Relationship Id="rId7" Type="http://schemas.openxmlformats.org/officeDocument/2006/relationships/settings" Target="settings.xml"/><Relationship Id="rId71" Type="http://schemas.openxmlformats.org/officeDocument/2006/relationships/hyperlink" Target="http://www.oecd.org/statistics/how-s-life-23089679.htm" TargetMode="Externa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footer" Target="footer5.xml"/><Relationship Id="rId11" Type="http://schemas.openxmlformats.org/officeDocument/2006/relationships/hyperlink" Target="https://enrd.ec.europa.eu/evaluation/publications/guidelines-assessment-rdp-results-how-prepare-reporting-evaluation-2017_en" TargetMode="External"/><Relationship Id="rId24" Type="http://schemas.openxmlformats.org/officeDocument/2006/relationships/image" Target="media/image7.emf"/><Relationship Id="rId32" Type="http://schemas.openxmlformats.org/officeDocument/2006/relationships/hyperlink" Target="http://enrd.ec.europa.eu/evaluation/publications/e-library_en" TargetMode="External"/><Relationship Id="rId37" Type="http://schemas.openxmlformats.org/officeDocument/2006/relationships/footer" Target="footer7.xml"/><Relationship Id="rId40" Type="http://schemas.openxmlformats.org/officeDocument/2006/relationships/hyperlink" Target="http://enrd.ec.europa.eu/enrd-static/evaluation/library/evaluation-helpdesk-publications/en/evaluation-helpdesk-publications_en.html" TargetMode="External"/><Relationship Id="rId45" Type="http://schemas.openxmlformats.org/officeDocument/2006/relationships/hyperlink" Target="http://enrd.ec.europa.eu/evaluation/publications/e-library_en" TargetMode="External"/><Relationship Id="rId53" Type="http://schemas.openxmlformats.org/officeDocument/2006/relationships/header" Target="header8.xml"/><Relationship Id="rId58" Type="http://schemas.openxmlformats.org/officeDocument/2006/relationships/hyperlink" Target="http://ec.europa.eu/agriculture/ricaprod/liaisonagency_en.cfm" TargetMode="External"/><Relationship Id="rId66" Type="http://schemas.openxmlformats.org/officeDocument/2006/relationships/hyperlink" Target="http://eur-lex.europa.eu/legal-content/en/ALL/?uri=CELEX:32014R0808" TargetMode="External"/><Relationship Id="rId74" Type="http://schemas.openxmlformats.org/officeDocument/2006/relationships/hyperlink" Target="http://enrd.ec.europa.eu/enrd-static/evaluation/library/evaluation-helpdesk-publications/en/evaluation-helpdesk-publications_en.html" TargetMode="External"/><Relationship Id="rId79" Type="http://schemas.openxmlformats.org/officeDocument/2006/relationships/footer" Target="footer13.xml"/><Relationship Id="rId87"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eader" Target="header10.xml"/><Relationship Id="rId82" Type="http://schemas.openxmlformats.org/officeDocument/2006/relationships/image" Target="media/image18.png"/><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image" Target="media/image5.emf"/><Relationship Id="rId27" Type="http://schemas.openxmlformats.org/officeDocument/2006/relationships/footer" Target="footer4.xml"/><Relationship Id="rId30" Type="http://schemas.openxmlformats.org/officeDocument/2006/relationships/image" Target="media/image9.emf"/><Relationship Id="rId35" Type="http://schemas.openxmlformats.org/officeDocument/2006/relationships/footer" Target="footer6.xml"/><Relationship Id="rId43" Type="http://schemas.openxmlformats.org/officeDocument/2006/relationships/image" Target="media/image12.emf"/><Relationship Id="rId48" Type="http://schemas.openxmlformats.org/officeDocument/2006/relationships/hyperlink" Target="http://enrd.ec.europa.eu/evaluation/publications/e-library_en" TargetMode="External"/><Relationship Id="rId56" Type="http://schemas.openxmlformats.org/officeDocument/2006/relationships/footer" Target="footer9.xml"/><Relationship Id="rId64" Type="http://schemas.openxmlformats.org/officeDocument/2006/relationships/footer" Target="footer11.xml"/><Relationship Id="rId69" Type="http://schemas.openxmlformats.org/officeDocument/2006/relationships/hyperlink" Target="https://www.gtap.agecon.purdue.edu/" TargetMode="External"/><Relationship Id="rId77" Type="http://schemas.openxmlformats.org/officeDocument/2006/relationships/footer" Target="footer12.xml"/><Relationship Id="rId8" Type="http://schemas.openxmlformats.org/officeDocument/2006/relationships/webSettings" Target="webSettings.xml"/><Relationship Id="rId51" Type="http://schemas.openxmlformats.org/officeDocument/2006/relationships/image" Target="media/image14.jpeg"/><Relationship Id="rId72" Type="http://schemas.openxmlformats.org/officeDocument/2006/relationships/hyperlink" Target="file:///C:\Users\Lenovo\Desktop\2_2nd%20draft\Delivered%20by%20experts\gallup-healthways%20global%20well-being%20index%202015" TargetMode="External"/><Relationship Id="rId80" Type="http://schemas.openxmlformats.org/officeDocument/2006/relationships/image" Target="media/image16.emf"/><Relationship Id="rId85" Type="http://schemas.openxmlformats.org/officeDocument/2006/relationships/header" Target="header15.xml"/><Relationship Id="rId3" Type="http://schemas.openxmlformats.org/officeDocument/2006/relationships/customXml" Target="../customXml/item3.xml"/><Relationship Id="rId12" Type="http://schemas.openxmlformats.org/officeDocument/2006/relationships/hyperlink" Target="https://enrd.ec.europa.eu/evaluation/publications/guidelines-assessment-rdp-results-how-prepare-reporting-evaluation-2017_en" TargetMode="External"/><Relationship Id="rId17" Type="http://schemas.openxmlformats.org/officeDocument/2006/relationships/header" Target="header2.xml"/><Relationship Id="rId25" Type="http://schemas.openxmlformats.org/officeDocument/2006/relationships/image" Target="media/image8.emf"/><Relationship Id="rId33" Type="http://schemas.openxmlformats.org/officeDocument/2006/relationships/image" Target="media/image10.jpeg"/><Relationship Id="rId38" Type="http://schemas.openxmlformats.org/officeDocument/2006/relationships/hyperlink" Target="http://enrd.ec.europa.eu/evaluation/publications/e-library_en" TargetMode="External"/><Relationship Id="rId46" Type="http://schemas.openxmlformats.org/officeDocument/2006/relationships/hyperlink" Target="http://enrd.ec.europa.eu/enrd-static/evaluation/library/evaluation-helpdesk-publications/en/evaluation-helpdesk-publications_en.html" TargetMode="External"/><Relationship Id="rId59" Type="http://schemas.openxmlformats.org/officeDocument/2006/relationships/hyperlink" Target="http://ec.europa.eu/eurostat/web/esa-supply-use-input-tables/data/database" TargetMode="External"/><Relationship Id="rId67" Type="http://schemas.openxmlformats.org/officeDocument/2006/relationships/hyperlink" Target="http://ec.europa.eu/agriculture/ricaprod/database/database_en.cfm" TargetMode="External"/><Relationship Id="rId20" Type="http://schemas.openxmlformats.org/officeDocument/2006/relationships/header" Target="header3.xml"/><Relationship Id="rId41" Type="http://schemas.openxmlformats.org/officeDocument/2006/relationships/image" Target="media/image11.emf"/><Relationship Id="rId54" Type="http://schemas.openxmlformats.org/officeDocument/2006/relationships/footer" Target="footer8.xml"/><Relationship Id="rId62" Type="http://schemas.openxmlformats.org/officeDocument/2006/relationships/footer" Target="footer10.xml"/><Relationship Id="rId70" Type="http://schemas.openxmlformats.org/officeDocument/2006/relationships/hyperlink" Target="http://ec.europa.eu/eurostat/statistics-explained/index.php/Quality_of_life_in_Europe_-_facts_and_views_-_overall_life_satisfaction" TargetMode="External"/><Relationship Id="rId75" Type="http://schemas.openxmlformats.org/officeDocument/2006/relationships/hyperlink" Target="http://ec.europa.eu/agriculture/rurdev/eval/index_en.htm" TargetMode="External"/><Relationship Id="rId83" Type="http://schemas.openxmlformats.org/officeDocument/2006/relationships/header" Target="header14.xm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jpeg"/><Relationship Id="rId23" Type="http://schemas.openxmlformats.org/officeDocument/2006/relationships/image" Target="media/image6.emf"/><Relationship Id="rId28" Type="http://schemas.openxmlformats.org/officeDocument/2006/relationships/header" Target="header5.xml"/><Relationship Id="rId36" Type="http://schemas.openxmlformats.org/officeDocument/2006/relationships/header" Target="header7.xml"/><Relationship Id="rId49" Type="http://schemas.openxmlformats.org/officeDocument/2006/relationships/hyperlink" Target="http://enrd.ec.europa.eu/enrd-static/app_templates/enrd_assets/pdf/evaluation/epe_master.pdf" TargetMode="External"/><Relationship Id="rId57" Type="http://schemas.openxmlformats.org/officeDocument/2006/relationships/hyperlink" Target="http://ec.europa.eu/agriculture/ricaprod/" TargetMode="External"/><Relationship Id="rId10" Type="http://schemas.openxmlformats.org/officeDocument/2006/relationships/endnotes" Target="endnotes.xml"/><Relationship Id="rId31" Type="http://schemas.openxmlformats.org/officeDocument/2006/relationships/hyperlink" Target="http://enrd.ec.europa.eu/evaluation/publications/e-library_en" TargetMode="External"/><Relationship Id="rId44" Type="http://schemas.openxmlformats.org/officeDocument/2006/relationships/image" Target="media/image13.emf"/><Relationship Id="rId52" Type="http://schemas.openxmlformats.org/officeDocument/2006/relationships/hyperlink" Target="https://metisvienna.sharepoint.com/Freigegebene%20Dokumente/9_TWG/9.1_TWG_01_rep2017/4_Content/2_2nd%20draft/Delivered%20by%20experts/nrd.ec.europa.eu/enrd-static/evaluation/library/evaluation-helpdesk-publications/en/evaluation-helpdesk-publications_en.html" TargetMode="External"/><Relationship Id="rId60" Type="http://schemas.openxmlformats.org/officeDocument/2006/relationships/hyperlink" Target="https://www.gtap.agecon.purdue.edu/" TargetMode="External"/><Relationship Id="rId65" Type="http://schemas.openxmlformats.org/officeDocument/2006/relationships/image" Target="media/image15.jpeg"/><Relationship Id="rId73" Type="http://schemas.openxmlformats.org/officeDocument/2006/relationships/hyperlink" Target="http://enrd.ec.europa.eu/enrd-static/app_templates/enrd_assets/pdf/evaluation/epe_master.pdf" TargetMode="External"/><Relationship Id="rId78" Type="http://schemas.openxmlformats.org/officeDocument/2006/relationships/header" Target="header13.xml"/><Relationship Id="rId81" Type="http://schemas.openxmlformats.org/officeDocument/2006/relationships/image" Target="media/image17.emf"/><Relationship Id="rId86" Type="http://schemas.openxmlformats.org/officeDocument/2006/relationships/footer" Target="footer15.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footnotes.xml.rels><?xml version="1.0" encoding="UTF-8" standalone="yes"?>
<Relationships xmlns="http://schemas.openxmlformats.org/package/2006/relationships"><Relationship Id="rId8" Type="http://schemas.openxmlformats.org/officeDocument/2006/relationships/hyperlink" Target="http://enrd.ec.europa.eu/en/evaluation-helpdesks-publications" TargetMode="External"/><Relationship Id="rId13" Type="http://schemas.openxmlformats.org/officeDocument/2006/relationships/hyperlink" Target="http://enrd.ec.europa.eu/enrd-static/evaluation/library/evaluation-helpdesk-publications/en/evaluation-helpdesk-publications_en.html" TargetMode="External"/><Relationship Id="rId18" Type="http://schemas.openxmlformats.org/officeDocument/2006/relationships/hyperlink" Target="http://ec.europa.eu/fisheries/reform/emff/doc/09-performance-framework_en.pdf" TargetMode="External"/><Relationship Id="rId3" Type="http://schemas.openxmlformats.org/officeDocument/2006/relationships/hyperlink" Target="http://enrd.ec.europa.eu/enrd-static/evaluation/library/evaluation-helpdesk-publications/en/evaluation-helpdesk-publications_en.html" TargetMode="External"/><Relationship Id="rId7" Type="http://schemas.openxmlformats.org/officeDocument/2006/relationships/hyperlink" Target="http://enrd.ec.europa.eu/enrd-static/evaluation/library/evaluation-helpdesk-publications/en/evaluation-helpdesk-publications_en.html" TargetMode="External"/><Relationship Id="rId12" Type="http://schemas.openxmlformats.org/officeDocument/2006/relationships/hyperlink" Target="file:///\\\enrd.ec.europa.eu\enrd-static\evaluation\good-practices-workshops\national-rural-networks\en\national-rural-networks_en.html" TargetMode="External"/><Relationship Id="rId17" Type="http://schemas.openxmlformats.org/officeDocument/2006/relationships/hyperlink" Target="http://enrd.ec.europa.eu/enrd-static/evaluation/library/evaluation-helpdesk-publications/en/evaluation-helpdesk-publications_en.html" TargetMode="External"/><Relationship Id="rId2" Type="http://schemas.openxmlformats.org/officeDocument/2006/relationships/hyperlink" Target="https://enrd.ec.europa.eu/en/evaluation-helpdesks-publications" TargetMode="External"/><Relationship Id="rId16" Type="http://schemas.openxmlformats.org/officeDocument/2006/relationships/hyperlink" Target="http://enrd.ec.europa.eu/enrd-static/evaluation/library/evaluation-helpdesk-publications/en/evaluation-helpdesk-publications_en.html" TargetMode="External"/><Relationship Id="rId1" Type="http://schemas.openxmlformats.org/officeDocument/2006/relationships/hyperlink" Target="https://www.statpac.com/surveys/sampling.htm" TargetMode="External"/><Relationship Id="rId6" Type="http://schemas.openxmlformats.org/officeDocument/2006/relationships/hyperlink" Target="http://enrd.ec.europa.eu/enrd-static/evaluation/library/evaluation-helpdesk-publications/en/evaluation-helpdesk-publications_en.html" TargetMode="External"/><Relationship Id="rId11" Type="http://schemas.openxmlformats.org/officeDocument/2006/relationships/hyperlink" Target="http://ec.europa.eu/agriculture/glossary/index_en.htm" TargetMode="External"/><Relationship Id="rId5" Type="http://schemas.openxmlformats.org/officeDocument/2006/relationships/hyperlink" Target="http://ec.europa.eu/agriculture/cap-post-2013/" TargetMode="External"/><Relationship Id="rId15" Type="http://schemas.openxmlformats.org/officeDocument/2006/relationships/hyperlink" Target="http://enrd.ec.europa.eu/enrd-static/evaluation/library/evaluation-helpdesk-publications/en/evaluation-helpdesk-publications_en.html" TargetMode="External"/><Relationship Id="rId10" Type="http://schemas.openxmlformats.org/officeDocument/2006/relationships/hyperlink" Target="http://ec.europa.eu/agriculture/glossary_it" TargetMode="External"/><Relationship Id="rId19" Type="http://schemas.openxmlformats.org/officeDocument/2006/relationships/hyperlink" Target="https://enrd.ec.europa.eu/en/evaluation-helpdesks-publications" TargetMode="External"/><Relationship Id="rId4" Type="http://schemas.openxmlformats.org/officeDocument/2006/relationships/hyperlink" Target="https://ec.europa.eu/info/strategy/european-semester/framework/europe-2020-strategy_en" TargetMode="External"/><Relationship Id="rId9" Type="http://schemas.openxmlformats.org/officeDocument/2006/relationships/hyperlink" Target="http://enrd.ec.europa.eu/evaluation/publications/e-library_en" TargetMode="External"/><Relationship Id="rId14" Type="http://schemas.openxmlformats.org/officeDocument/2006/relationships/hyperlink" Target="file:///C:\Users\Anne-Charlotte\AppData\Local\Microsoft\Windows\INetCache\Content.Outlook\BNPK50XI\nrd.ec.europa.eu\enrd-static\evaluation\library\evaluation-helpdesk-publications\en\evaluation-helpdesk-publications_en.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Z:\Vorlagen_Helpdesk\WordTemplate_Orange.dotx" TargetMode="External"/></Relationships>
</file>

<file path=word/theme/theme1.xml><?xml version="1.0" encoding="utf-8"?>
<a:theme xmlns:a="http://schemas.openxmlformats.org/drawingml/2006/main" name="Larissa-Design">
  <a:themeElements>
    <a:clrScheme name="Helpdesk">
      <a:dk1>
        <a:srgbClr val="6F6F6F"/>
      </a:dk1>
      <a:lt1>
        <a:srgbClr val="DDDDDD"/>
      </a:lt1>
      <a:dk2>
        <a:srgbClr val="000000"/>
      </a:dk2>
      <a:lt2>
        <a:srgbClr val="F07E31"/>
      </a:lt2>
      <a:accent1>
        <a:srgbClr val="FFFFFF"/>
      </a:accent1>
      <a:accent2>
        <a:srgbClr val="BE4A35"/>
      </a:accent2>
      <a:accent3>
        <a:srgbClr val="546393"/>
      </a:accent3>
      <a:accent4>
        <a:srgbClr val="57825E"/>
      </a:accent4>
      <a:accent5>
        <a:srgbClr val="F7A833"/>
      </a:accent5>
      <a:accent6>
        <a:srgbClr val="8BAB80"/>
      </a:accent6>
      <a:hlink>
        <a:srgbClr val="F07E31"/>
      </a:hlink>
      <a:folHlink>
        <a:srgbClr val="F07E31"/>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294d1de4-3ac5-42cb-af17-fa7f1cfff024">
      <UserInfo>
        <DisplayName>Valerie Dumont</DisplayName>
        <AccountId>19</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1279C08E096F64D9575D7E38D98307C" ma:contentTypeVersion="4" ma:contentTypeDescription="Create a new document." ma:contentTypeScope="" ma:versionID="54c4719b5ff005df694b746d88989967">
  <xsd:schema xmlns:xsd="http://www.w3.org/2001/XMLSchema" xmlns:xs="http://www.w3.org/2001/XMLSchema" xmlns:p="http://schemas.microsoft.com/office/2006/metadata/properties" xmlns:ns2="294d1de4-3ac5-42cb-af17-fa7f1cfff024" targetNamespace="http://schemas.microsoft.com/office/2006/metadata/properties" ma:root="true" ma:fieldsID="0f67e70fc4462b3fd2d53971a22fa736" ns2:_="">
    <xsd:import namespace="294d1de4-3ac5-42cb-af17-fa7f1cfff024"/>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4d1de4-3ac5-42cb-af17-fa7f1cfff02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441A83-4497-4D4A-8080-AD6A06C09CB9}">
  <ds:schemaRefs>
    <ds:schemaRef ds:uri="http://schemas.microsoft.com/sharepoint/v3/contenttype/forms"/>
  </ds:schemaRefs>
</ds:datastoreItem>
</file>

<file path=customXml/itemProps2.xml><?xml version="1.0" encoding="utf-8"?>
<ds:datastoreItem xmlns:ds="http://schemas.openxmlformats.org/officeDocument/2006/customXml" ds:itemID="{7880324F-3300-4FCF-A4DC-67090B6F8728}">
  <ds:schemaRefs>
    <ds:schemaRef ds:uri="http://schemas.microsoft.com/office/2006/metadata/properties"/>
    <ds:schemaRef ds:uri="http://schemas.microsoft.com/office/infopath/2007/PartnerControls"/>
    <ds:schemaRef ds:uri="294d1de4-3ac5-42cb-af17-fa7f1cfff024"/>
  </ds:schemaRefs>
</ds:datastoreItem>
</file>

<file path=customXml/itemProps3.xml><?xml version="1.0" encoding="utf-8"?>
<ds:datastoreItem xmlns:ds="http://schemas.openxmlformats.org/officeDocument/2006/customXml" ds:itemID="{65E58510-E82C-450D-B008-9AFDBCF0B1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4d1de4-3ac5-42cb-af17-fa7f1cfff0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444F8E2-A575-4C50-86AA-0A181F15A2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WordTemplate_Orange</Template>
  <TotalTime>2</TotalTime>
  <Pages>133</Pages>
  <Words>43310</Words>
  <Characters>246872</Characters>
  <Application>Microsoft Office Word</Application>
  <DocSecurity>0</DocSecurity>
  <Lines>2057</Lines>
  <Paragraphs>579</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170025</vt:lpstr>
      <vt:lpstr>170025</vt:lpstr>
    </vt:vector>
  </TitlesOfParts>
  <Company>metis</Company>
  <LinksUpToDate>false</LinksUpToDate>
  <CharactersWithSpaces>289603</CharactersWithSpaces>
  <SharedDoc>false</SharedDoc>
  <HLinks>
    <vt:vector size="6" baseType="variant">
      <vt:variant>
        <vt:i4>1048625</vt:i4>
      </vt:variant>
      <vt:variant>
        <vt:i4>2</vt:i4>
      </vt:variant>
      <vt:variant>
        <vt:i4>0</vt:i4>
      </vt:variant>
      <vt:variant>
        <vt:i4>5</vt:i4>
      </vt:variant>
      <vt:variant>
        <vt:lpwstr/>
      </vt:variant>
      <vt:variant>
        <vt:lpwstr>_Toc222036237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170025</dc:title>
  <dc:creator>Evaluation Helpdesk</dc:creator>
  <cp:lastModifiedBy>Myles Stiffler</cp:lastModifiedBy>
  <cp:revision>3</cp:revision>
  <cp:lastPrinted>2016-10-28T09:01:00Z</cp:lastPrinted>
  <dcterms:created xsi:type="dcterms:W3CDTF">2017-03-01T09:31:00Z</dcterms:created>
  <dcterms:modified xsi:type="dcterms:W3CDTF">2017-03-08T14:01:00Z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0x01010061279C08E096F64D9575D7E38D98307C</vt:lpwstr>
  </property>
  <property fmtid="{D5CDD505-2E9C-101B-9397-08002B2CF9AE}" pid="3" name="_NewReviewCycle">
    <vt:lpwstr/>
  </property>
</Properties>
</file>